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F2B" w14:textId="77777777" w:rsidR="00A9412F" w:rsidRPr="00761175" w:rsidRDefault="00A9412F" w:rsidP="00A9412F">
      <w:pPr>
        <w:pStyle w:val="Style11"/>
        <w:tabs>
          <w:tab w:val="left" w:pos="0"/>
          <w:tab w:val="left" w:pos="851"/>
          <w:tab w:val="left" w:pos="1418"/>
        </w:tabs>
        <w:spacing w:before="120" w:after="120" w:line="264" w:lineRule="auto"/>
        <w:ind w:firstLine="567"/>
        <w:jc w:val="center"/>
        <w:rPr>
          <w:sz w:val="28"/>
          <w:szCs w:val="28"/>
          <w:lang w:val="nl-NL"/>
        </w:rPr>
      </w:pPr>
      <w:bookmarkStart w:id="0" w:name="_Hlk212452051"/>
      <w:r w:rsidRPr="00761175">
        <w:rPr>
          <w:b/>
          <w:sz w:val="28"/>
          <w:szCs w:val="28"/>
          <w:lang w:val="nl-NL"/>
        </w:rPr>
        <w:t>Phần 2. YÊU CẦU VỀ KỸ THUẬT</w:t>
      </w:r>
    </w:p>
    <w:p w14:paraId="601BD982" w14:textId="77777777" w:rsidR="00A9412F" w:rsidRPr="00761175" w:rsidRDefault="00A9412F" w:rsidP="00A9412F">
      <w:pPr>
        <w:pStyle w:val="Style11"/>
        <w:tabs>
          <w:tab w:val="left" w:pos="0"/>
          <w:tab w:val="left" w:pos="851"/>
          <w:tab w:val="left" w:pos="1418"/>
        </w:tabs>
        <w:spacing w:before="120" w:after="120" w:line="264" w:lineRule="auto"/>
        <w:ind w:firstLine="567"/>
        <w:jc w:val="center"/>
        <w:rPr>
          <w:b/>
          <w:sz w:val="28"/>
          <w:szCs w:val="28"/>
          <w:lang w:val="vi-VN"/>
        </w:rPr>
      </w:pPr>
      <w:r w:rsidRPr="00761175">
        <w:rPr>
          <w:sz w:val="28"/>
          <w:szCs w:val="28"/>
          <w:lang w:val="nl-NL"/>
        </w:rPr>
        <w:t xml:space="preserve"> </w:t>
      </w:r>
      <w:r w:rsidRPr="00761175">
        <w:rPr>
          <w:b/>
          <w:sz w:val="28"/>
          <w:szCs w:val="28"/>
          <w:lang w:val="vi-VN"/>
        </w:rPr>
        <w:t>Chương V. YÊU CẦU VỀ KỸ THUẬT</w:t>
      </w:r>
    </w:p>
    <w:p w14:paraId="277437DB" w14:textId="77777777" w:rsidR="00A9412F" w:rsidRPr="00761175" w:rsidRDefault="00A9412F" w:rsidP="00A9412F">
      <w:pPr>
        <w:tabs>
          <w:tab w:val="left" w:pos="1418"/>
        </w:tabs>
        <w:spacing w:before="120" w:after="120" w:line="264" w:lineRule="auto"/>
        <w:ind w:firstLine="709"/>
        <w:rPr>
          <w:b/>
          <w:sz w:val="28"/>
          <w:szCs w:val="28"/>
          <w:lang w:val="vi-VN"/>
        </w:rPr>
      </w:pPr>
      <w:r w:rsidRPr="00761175">
        <w:rPr>
          <w:b/>
          <w:sz w:val="28"/>
          <w:szCs w:val="28"/>
          <w:lang w:val="vi-VN"/>
        </w:rPr>
        <w:t>I. Giới thiệu về gói thầu</w:t>
      </w:r>
    </w:p>
    <w:p w14:paraId="308F880E" w14:textId="77777777" w:rsidR="00A9412F" w:rsidRPr="00761175" w:rsidRDefault="00A9412F" w:rsidP="00A9412F">
      <w:pPr>
        <w:shd w:val="clear" w:color="auto" w:fill="FFFFFF"/>
        <w:spacing w:before="60" w:after="60"/>
        <w:ind w:firstLine="720"/>
        <w:rPr>
          <w:b/>
          <w:sz w:val="28"/>
          <w:szCs w:val="28"/>
          <w:lang w:val="it-IT"/>
        </w:rPr>
      </w:pPr>
      <w:r w:rsidRPr="00761175">
        <w:rPr>
          <w:b/>
          <w:sz w:val="28"/>
          <w:szCs w:val="28"/>
          <w:lang w:val="it-IT"/>
        </w:rPr>
        <w:t>1. Phạm vi công việc của gói thầu</w:t>
      </w:r>
    </w:p>
    <w:p w14:paraId="0D633D1B" w14:textId="77777777" w:rsidR="00A9412F" w:rsidRDefault="00A9412F" w:rsidP="00A9412F">
      <w:pPr>
        <w:spacing w:before="60"/>
        <w:ind w:firstLine="720"/>
        <w:rPr>
          <w:bCs/>
          <w:sz w:val="28"/>
          <w:szCs w:val="28"/>
          <w:lang w:val="pt-BR"/>
        </w:rPr>
      </w:pPr>
      <w:r>
        <w:rPr>
          <w:bCs/>
          <w:i/>
          <w:iCs/>
          <w:sz w:val="28"/>
          <w:szCs w:val="28"/>
          <w:lang w:val="pt-BR"/>
        </w:rPr>
        <w:t xml:space="preserve">(Căn cứ </w:t>
      </w:r>
      <w:r w:rsidRPr="00E27D02">
        <w:rPr>
          <w:bCs/>
          <w:i/>
          <w:iCs/>
          <w:sz w:val="28"/>
          <w:szCs w:val="28"/>
          <w:lang w:val="pt-BR"/>
        </w:rPr>
        <w:t>cứ Quyết định số 14/QĐ-BQLDA ngày 11/6/2026của Giám đốc Ban quản lý dự án đầu tư xây dựng xã Trung Kênh về việc phê duyệt thiết kế xây dựng triển khai sau thiết kế cơ sở và dự toán Dự án: Lắp đặt hệ thống điện chiếu sáng nông thôn trên địa bàn xã Trung Kênh (giai đoạn 1)</w:t>
      </w:r>
      <w:r>
        <w:rPr>
          <w:bCs/>
          <w:i/>
          <w:iCs/>
          <w:sz w:val="28"/>
          <w:szCs w:val="28"/>
          <w:lang w:val="pt-BR"/>
        </w:rPr>
        <w:t>)</w:t>
      </w:r>
      <w:r w:rsidRPr="00761175">
        <w:rPr>
          <w:bCs/>
          <w:sz w:val="28"/>
          <w:szCs w:val="28"/>
          <w:lang w:val="pt-BR"/>
        </w:rPr>
        <w:t>.</w:t>
      </w:r>
    </w:p>
    <w:p w14:paraId="332BFB3E" w14:textId="77777777" w:rsidR="00A9412F" w:rsidRPr="00E27D02" w:rsidRDefault="00A9412F" w:rsidP="00A9412F">
      <w:pPr>
        <w:spacing w:before="120" w:after="60" w:line="264" w:lineRule="auto"/>
        <w:ind w:firstLine="720"/>
        <w:rPr>
          <w:bCs/>
          <w:iCs/>
          <w:sz w:val="28"/>
          <w:szCs w:val="28"/>
          <w:lang w:val="de-DE"/>
        </w:rPr>
      </w:pPr>
      <w:r w:rsidRPr="000C3F10">
        <w:rPr>
          <w:bCs/>
          <w:iCs/>
          <w:sz w:val="28"/>
          <w:szCs w:val="28"/>
          <w:lang w:val="de-DE"/>
        </w:rPr>
        <w:t>Lắp đặt hệ thống điện chiếu sáng nông thôn trên địa bàn xã Trung Kênh (Giai đoạn 1) thực hiện trên địa bàn các thôn Hoàng Kênh, Quan Kênh, Lai Nguyễn, Tháp Dương, Cáp Trại, Cáp Hạ, Cáp Trên, Tảo Hoà. Tổng chiều dài toàn tuyến đường dây điện 29,185 km (gồm 6,519 km đi ngầm dưới đất, 22,666 km đi nổi được căng, kéo trên cột hạ thế), lắp đặt mới 227 cột thép liền cần 7m, 21 tủ điện điều khiển chiếu sáng, 977 bóng đèn led 80W (lắp trên cột thép 227 bóng, trên các cột hạ thế 750 bóng)</w:t>
      </w:r>
      <w:r w:rsidRPr="00E27D02">
        <w:rPr>
          <w:bCs/>
          <w:iCs/>
          <w:sz w:val="28"/>
          <w:szCs w:val="28"/>
          <w:lang w:val="de-DE"/>
        </w:rPr>
        <w:t xml:space="preserve">. </w:t>
      </w:r>
    </w:p>
    <w:p w14:paraId="39524979"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xml:space="preserve">* Giải pháp kỹ thuật: </w:t>
      </w:r>
    </w:p>
    <w:p w14:paraId="24D97988"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Móng cột thép: Đổ BTXM mác 200#, đặt sẵn khung bu lông móng M16x240x240x525mm và ống HDPE để luồn cáp;</w:t>
      </w:r>
    </w:p>
    <w:p w14:paraId="46181053"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Cột thép: Cột thép liền cần đơn cao 7m, cần đèn dài 2m, độ vươn cần đèn 1,5m.</w:t>
      </w:r>
    </w:p>
    <w:p w14:paraId="243729A7"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Cần đèn lắp trên cột hạ thế: Sử dụng cần đèn chữ L bằng thép mạ kẽm, chiều dài 2m, dày 2mm, độ cao cần đèn 1,3m và độ vươn cần đèn 1m.</w:t>
      </w:r>
    </w:p>
    <w:p w14:paraId="7345BBEA"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Bộ xà bắt cần đèn: Bằng thép mạ kẽm V63x63x6mm và thép dẹt 60x6mm.</w:t>
      </w:r>
    </w:p>
    <w:p w14:paraId="5546EE73"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Bộ xà bắt dây: Bằng thép mạ kẽm V63x63x6mm.</w:t>
      </w:r>
    </w:p>
    <w:p w14:paraId="1D36A817"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Bóng đèn: Sử dụng bóng đèn led 80W, dim 5 cấp công suất.</w:t>
      </w:r>
    </w:p>
    <w:p w14:paraId="54DB4CED"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xml:space="preserve">- Dây cáp ngầm: Sử dụng dây Cu/XLPE/PVC/DSTA/PVC 4x6mm2. </w:t>
      </w:r>
    </w:p>
    <w:p w14:paraId="7C230061"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Dây cáp đi nổi, kéo căng trên các cột điện hạ thế: Sử dụng dây cáp điện nhôm vặn xoắn Al/XLPE 4x25mm2, 4x16mm2.</w:t>
      </w:r>
    </w:p>
    <w:p w14:paraId="65D272BC"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Dây lên bóng đèn: Sử dụng dây Cu/PVC/PVC 2x1,5mm2 và 3x1,5mm2.</w:t>
      </w:r>
    </w:p>
    <w:p w14:paraId="55888CE8"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xml:space="preserve">- Tủ điều khiển: Hệ thống điện chiếu sáng được điều khiển tự động thông qua hệ thống rơ le thời gian và bộ khởi động từ đặt trong tủ; Đóng cắt, bảo vệ quá tải, </w:t>
      </w:r>
      <w:r w:rsidRPr="00E27D02">
        <w:rPr>
          <w:bCs/>
          <w:iCs/>
          <w:sz w:val="28"/>
          <w:szCs w:val="28"/>
          <w:lang w:val="de-DE"/>
        </w:rPr>
        <w:lastRenderedPageBreak/>
        <w:t>ngắn mạch cho toàn bộ hệ thống chiếu sáng bằng các automat 3 pha đặt trong tủ điều khiển.</w:t>
      </w:r>
    </w:p>
    <w:p w14:paraId="72928EB9"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xml:space="preserve">- An toàn điện: </w:t>
      </w:r>
    </w:p>
    <w:p w14:paraId="7B7A455E"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Toàn bộ cột thép đều được nối đất an toàn nhờ các cọc tiếp địa T1C-2,5. Hệ thống tiếp địa được nối liên hoàn với nhau bằng dây đồng trần M6 đặt chung ống luồn cáp chôn trong rãnh của tuyến cáp ngầm.</w:t>
      </w:r>
    </w:p>
    <w:p w14:paraId="1CC41239" w14:textId="77777777" w:rsidR="00A9412F" w:rsidRPr="00E27D02" w:rsidRDefault="00A9412F" w:rsidP="00A9412F">
      <w:pPr>
        <w:spacing w:before="120" w:after="60" w:line="264" w:lineRule="auto"/>
        <w:ind w:firstLine="720"/>
        <w:rPr>
          <w:bCs/>
          <w:iCs/>
          <w:sz w:val="28"/>
          <w:szCs w:val="28"/>
          <w:lang w:val="de-DE"/>
        </w:rPr>
      </w:pPr>
      <w:r w:rsidRPr="00E27D02">
        <w:rPr>
          <w:bCs/>
          <w:iCs/>
          <w:sz w:val="28"/>
          <w:szCs w:val="28"/>
          <w:lang w:val="de-DE"/>
        </w:rPr>
        <w:t>+ Trên tuyến bố trí tiếp địa lặp lại T4C-1,5 tại vị trí tủ điện chiếu sáng, vị trí cột cuối tuyến, và một số vị trí trên tuyến.</w:t>
      </w:r>
    </w:p>
    <w:p w14:paraId="28FBDDEA" w14:textId="77777777" w:rsidR="00A9412F" w:rsidRPr="00761175" w:rsidRDefault="00A9412F" w:rsidP="00A9412F">
      <w:pPr>
        <w:spacing w:before="60"/>
        <w:ind w:firstLine="720"/>
        <w:rPr>
          <w:bCs/>
          <w:sz w:val="28"/>
          <w:szCs w:val="28"/>
          <w:lang w:val="pt-BR"/>
        </w:rPr>
      </w:pPr>
      <w:r w:rsidRPr="00E27D02">
        <w:rPr>
          <w:bCs/>
          <w:iCs/>
          <w:sz w:val="28"/>
          <w:szCs w:val="28"/>
          <w:lang w:val="de-DE"/>
        </w:rPr>
        <w:t>+ Đóng cắt, bảo vệ quá tải, ngắn mạch cho toàn bộ hệ thống bằng các Aptomat và cầu chì đặt trong tủ điều khiển. Đóng cắt, bảo vệ riêng cho các bóng đèn chiếu sáng bằng aptomat 6A tại bảng điện cửa cột.</w:t>
      </w:r>
    </w:p>
    <w:p w14:paraId="617D1F3D" w14:textId="77777777" w:rsidR="00A9412F" w:rsidRPr="00761175" w:rsidRDefault="00A9412F" w:rsidP="00A9412F">
      <w:pPr>
        <w:shd w:val="clear" w:color="auto" w:fill="FFFFFF"/>
        <w:spacing w:before="60" w:after="60"/>
        <w:ind w:firstLine="720"/>
        <w:rPr>
          <w:bCs/>
          <w:i/>
          <w:iCs/>
          <w:sz w:val="28"/>
          <w:szCs w:val="28"/>
          <w:lang w:val="pt-BR"/>
        </w:rPr>
      </w:pPr>
      <w:r w:rsidRPr="00761175">
        <w:rPr>
          <w:bCs/>
          <w:i/>
          <w:iCs/>
          <w:sz w:val="28"/>
          <w:szCs w:val="28"/>
          <w:lang w:val="it-IT"/>
        </w:rPr>
        <w:t xml:space="preserve">(Chi tiết tại hồ sơ thiết </w:t>
      </w:r>
      <w:r>
        <w:rPr>
          <w:bCs/>
          <w:i/>
          <w:iCs/>
          <w:sz w:val="28"/>
          <w:szCs w:val="28"/>
          <w:lang w:val="it-IT"/>
        </w:rPr>
        <w:t>kế xây dựng triển khai sau thiết kế cơ sở</w:t>
      </w:r>
      <w:r w:rsidRPr="00761175">
        <w:rPr>
          <w:bCs/>
          <w:i/>
          <w:iCs/>
          <w:sz w:val="28"/>
          <w:szCs w:val="28"/>
          <w:lang w:val="it-IT"/>
        </w:rPr>
        <w:t xml:space="preserve"> và các tài liệu đính kèm E-HSMT).</w:t>
      </w:r>
    </w:p>
    <w:p w14:paraId="18246112" w14:textId="77777777" w:rsidR="00A9412F" w:rsidRPr="00761175" w:rsidRDefault="00A9412F" w:rsidP="00A9412F">
      <w:pPr>
        <w:spacing w:before="60"/>
        <w:ind w:firstLine="720"/>
        <w:rPr>
          <w:bCs/>
          <w:sz w:val="28"/>
          <w:szCs w:val="28"/>
          <w:lang w:val="pt-BR"/>
        </w:rPr>
      </w:pPr>
      <w:r w:rsidRPr="00761175">
        <w:rPr>
          <w:bCs/>
          <w:sz w:val="28"/>
          <w:szCs w:val="28"/>
          <w:lang w:val="pt-BR"/>
        </w:rPr>
        <w:t xml:space="preserve">2. Thời hạn hoàn thành: Không quá </w:t>
      </w:r>
      <w:r>
        <w:rPr>
          <w:bCs/>
          <w:sz w:val="28"/>
          <w:szCs w:val="28"/>
          <w:lang w:val="pt-BR"/>
        </w:rPr>
        <w:t>12</w:t>
      </w:r>
      <w:r w:rsidRPr="00761175">
        <w:rPr>
          <w:bCs/>
          <w:sz w:val="28"/>
          <w:szCs w:val="28"/>
          <w:lang w:val="pt-BR"/>
        </w:rPr>
        <w:t>0 ngày kể từ ngày hợp đồng có hiệu lực.</w:t>
      </w:r>
    </w:p>
    <w:p w14:paraId="46ACB752" w14:textId="77777777" w:rsidR="00A9412F" w:rsidRPr="00761175" w:rsidRDefault="00A9412F" w:rsidP="00A9412F">
      <w:pPr>
        <w:spacing w:before="60"/>
        <w:ind w:firstLine="720"/>
        <w:rPr>
          <w:bCs/>
          <w:sz w:val="28"/>
          <w:szCs w:val="28"/>
          <w:lang w:val="pt-BR"/>
        </w:rPr>
      </w:pPr>
      <w:r w:rsidRPr="00761175">
        <w:rPr>
          <w:bCs/>
          <w:sz w:val="28"/>
          <w:szCs w:val="28"/>
          <w:lang w:val="pt-BR"/>
        </w:rPr>
        <w:t>3. Giới thiệu về KHLCNT gói thầu</w:t>
      </w:r>
    </w:p>
    <w:p w14:paraId="6B019F13" w14:textId="77777777" w:rsidR="00A9412F" w:rsidRPr="00D91DE3" w:rsidRDefault="00A9412F" w:rsidP="00A9412F">
      <w:pPr>
        <w:spacing w:before="60"/>
        <w:ind w:firstLine="720"/>
        <w:rPr>
          <w:bCs/>
          <w:i/>
          <w:iCs/>
          <w:sz w:val="28"/>
          <w:szCs w:val="28"/>
          <w:lang w:val="pt-BR"/>
        </w:rPr>
      </w:pPr>
      <w:r w:rsidRPr="00D91DE3">
        <w:rPr>
          <w:bCs/>
          <w:i/>
          <w:iCs/>
          <w:sz w:val="28"/>
          <w:szCs w:val="28"/>
          <w:lang w:val="pt-BR"/>
        </w:rPr>
        <w:t>(Căn cứ Quyết định số 15/QĐ-BQLDA ngày 11/6/2026 của Giám đốc Ban quản lý dự án đầu tư xây dựng xã Trung Kênh về việc phê duyệt kế hoạch lựa chọn nhà thầu gói thầu số 09, 10, 11, 12, 13 thuộc Dự án: Lắp đặt hệ thống điện chiếu sáng nông thôn trên địa bàn xã Trung Kênh).</w:t>
      </w:r>
    </w:p>
    <w:p w14:paraId="38409763" w14:textId="77777777" w:rsidR="00A9412F" w:rsidRPr="00761175" w:rsidRDefault="00A9412F" w:rsidP="00A9412F">
      <w:pPr>
        <w:spacing w:before="60"/>
        <w:ind w:firstLine="720"/>
        <w:rPr>
          <w:bCs/>
          <w:sz w:val="28"/>
          <w:szCs w:val="28"/>
          <w:lang w:val="pt-BR"/>
        </w:rPr>
      </w:pPr>
      <w:r w:rsidRPr="00761175">
        <w:rPr>
          <w:bCs/>
          <w:sz w:val="28"/>
          <w:szCs w:val="28"/>
          <w:lang w:val="pt-BR"/>
        </w:rPr>
        <w:t>+ Tên chủ đầu tư</w:t>
      </w:r>
      <w:r>
        <w:rPr>
          <w:bCs/>
          <w:sz w:val="28"/>
          <w:szCs w:val="28"/>
          <w:lang w:val="pt-BR"/>
        </w:rPr>
        <w:t xml:space="preserve">: </w:t>
      </w:r>
      <w:r w:rsidRPr="00D91DE3">
        <w:rPr>
          <w:bCs/>
          <w:sz w:val="28"/>
          <w:szCs w:val="28"/>
          <w:lang w:val="pt-BR"/>
        </w:rPr>
        <w:t>Ban quản lý dự án đầu tư xây dựng xã Trung Kên</w:t>
      </w:r>
      <w:r w:rsidRPr="00761175">
        <w:rPr>
          <w:bCs/>
          <w:sz w:val="28"/>
          <w:szCs w:val="28"/>
          <w:lang w:val="pt-BR"/>
        </w:rPr>
        <w:t>..</w:t>
      </w:r>
    </w:p>
    <w:p w14:paraId="20FC71A1" w14:textId="77777777" w:rsidR="00A9412F" w:rsidRPr="00761175" w:rsidRDefault="00A9412F" w:rsidP="00A9412F">
      <w:pPr>
        <w:spacing w:before="60"/>
        <w:ind w:firstLine="720"/>
        <w:rPr>
          <w:bCs/>
          <w:sz w:val="28"/>
          <w:szCs w:val="28"/>
          <w:lang w:val="pt-BR"/>
        </w:rPr>
      </w:pPr>
      <w:r w:rsidRPr="00761175">
        <w:rPr>
          <w:bCs/>
          <w:sz w:val="28"/>
          <w:szCs w:val="28"/>
          <w:lang w:val="pt-BR"/>
        </w:rPr>
        <w:t xml:space="preserve">+ Tên gói thầu: </w:t>
      </w:r>
      <w:r w:rsidRPr="00D91DE3">
        <w:rPr>
          <w:bCs/>
          <w:sz w:val="28"/>
          <w:szCs w:val="28"/>
          <w:lang w:val="pt-BR"/>
        </w:rPr>
        <w:t>Gói thầu số 09: Thi công xây dựng và lắp đặt thiết bị của giai đoạn 1</w:t>
      </w:r>
      <w:r w:rsidRPr="00761175">
        <w:rPr>
          <w:bCs/>
          <w:sz w:val="28"/>
          <w:szCs w:val="28"/>
          <w:lang w:val="pt-BR"/>
        </w:rPr>
        <w:t>.</w:t>
      </w:r>
    </w:p>
    <w:p w14:paraId="0F9FFDF7" w14:textId="77777777" w:rsidR="00A9412F" w:rsidRPr="00761175" w:rsidRDefault="00A9412F" w:rsidP="00A9412F">
      <w:pPr>
        <w:spacing w:before="60"/>
        <w:ind w:firstLine="720"/>
        <w:rPr>
          <w:bCs/>
          <w:sz w:val="28"/>
          <w:szCs w:val="28"/>
          <w:lang w:val="pt-BR"/>
        </w:rPr>
      </w:pPr>
      <w:r w:rsidRPr="00761175">
        <w:rPr>
          <w:bCs/>
          <w:sz w:val="28"/>
          <w:szCs w:val="28"/>
          <w:lang w:val="pt-BR"/>
        </w:rPr>
        <w:t xml:space="preserve">+ Giá gói thầu: </w:t>
      </w:r>
      <w:r w:rsidRPr="00D91DE3">
        <w:rPr>
          <w:bCs/>
          <w:sz w:val="28"/>
          <w:szCs w:val="28"/>
          <w:lang w:val="pt-BR"/>
        </w:rPr>
        <w:t>17.841.375.000</w:t>
      </w:r>
      <w:r>
        <w:rPr>
          <w:bCs/>
          <w:sz w:val="28"/>
          <w:szCs w:val="28"/>
          <w:lang w:val="pt-BR"/>
        </w:rPr>
        <w:t xml:space="preserve"> đồng (đã bao gồm thuế VAT 8%)</w:t>
      </w:r>
      <w:r w:rsidRPr="00761175">
        <w:rPr>
          <w:bCs/>
          <w:sz w:val="28"/>
          <w:szCs w:val="28"/>
          <w:lang w:val="pt-BR"/>
        </w:rPr>
        <w:t xml:space="preserve">. </w:t>
      </w:r>
    </w:p>
    <w:p w14:paraId="07DEA35B" w14:textId="77777777" w:rsidR="00A9412F" w:rsidRPr="00761175" w:rsidRDefault="00A9412F" w:rsidP="00A9412F">
      <w:pPr>
        <w:spacing w:before="60"/>
        <w:ind w:firstLine="720"/>
        <w:rPr>
          <w:bCs/>
          <w:sz w:val="28"/>
          <w:szCs w:val="28"/>
          <w:lang w:val="pt-BR"/>
        </w:rPr>
      </w:pPr>
      <w:r w:rsidRPr="00761175">
        <w:rPr>
          <w:bCs/>
          <w:sz w:val="28"/>
          <w:szCs w:val="28"/>
          <w:lang w:val="pt-BR"/>
        </w:rPr>
        <w:t xml:space="preserve">+ Nguồn vốn: </w:t>
      </w:r>
      <w:r w:rsidRPr="00D91DE3">
        <w:rPr>
          <w:bCs/>
          <w:sz w:val="28"/>
          <w:szCs w:val="28"/>
          <w:lang w:val="pt-BR"/>
        </w:rPr>
        <w:t>Ngân sách xã trong Kế hoạch đầu tư công giai đoạn 2026-2030 hoặc nguồn vốn hợp pháp khá</w:t>
      </w:r>
      <w:r w:rsidRPr="00761175">
        <w:rPr>
          <w:bCs/>
          <w:sz w:val="28"/>
          <w:szCs w:val="28"/>
          <w:lang w:val="pt-BR"/>
        </w:rPr>
        <w:t>..</w:t>
      </w:r>
    </w:p>
    <w:p w14:paraId="032D9D80" w14:textId="77777777" w:rsidR="00A9412F" w:rsidRPr="00761175" w:rsidRDefault="00A9412F" w:rsidP="00A9412F">
      <w:pPr>
        <w:spacing w:before="60"/>
        <w:ind w:firstLine="720"/>
        <w:rPr>
          <w:bCs/>
          <w:sz w:val="28"/>
          <w:szCs w:val="28"/>
          <w:lang w:val="pt-BR"/>
        </w:rPr>
      </w:pPr>
      <w:r w:rsidRPr="00761175">
        <w:rPr>
          <w:bCs/>
          <w:sz w:val="28"/>
          <w:szCs w:val="28"/>
          <w:lang w:val="pt-BR"/>
        </w:rPr>
        <w:t>+ Hình thức lựa chọn nhà thầu: Đấu thầu rộng rãi trong nước, lựa chọn nhà thầu qua mạng.</w:t>
      </w:r>
    </w:p>
    <w:p w14:paraId="07FFD6E6" w14:textId="71847588" w:rsidR="00A9412F" w:rsidRPr="00761175" w:rsidRDefault="00A9412F" w:rsidP="00A9412F">
      <w:pPr>
        <w:spacing w:before="60"/>
        <w:ind w:firstLine="720"/>
        <w:rPr>
          <w:bCs/>
          <w:sz w:val="28"/>
          <w:szCs w:val="28"/>
          <w:lang w:val="pt-BR"/>
        </w:rPr>
      </w:pPr>
      <w:r w:rsidRPr="00761175">
        <w:rPr>
          <w:bCs/>
          <w:sz w:val="28"/>
          <w:szCs w:val="28"/>
          <w:lang w:val="pt-BR"/>
        </w:rPr>
        <w:t>+ Phương thức lựa chọn nhà thầu: Một giai đoạn</w:t>
      </w:r>
      <w:r>
        <w:rPr>
          <w:bCs/>
          <w:sz w:val="28"/>
          <w:szCs w:val="28"/>
          <w:lang w:val="pt-BR"/>
        </w:rPr>
        <w:t>,</w:t>
      </w:r>
      <w:r w:rsidRPr="00761175">
        <w:rPr>
          <w:bCs/>
          <w:sz w:val="28"/>
          <w:szCs w:val="28"/>
          <w:lang w:val="pt-BR"/>
        </w:rPr>
        <w:t xml:space="preserve"> một túi hồ sơ.</w:t>
      </w:r>
    </w:p>
    <w:p w14:paraId="7CE3ED27" w14:textId="7E828DBD" w:rsidR="00A9412F" w:rsidRPr="00761175" w:rsidRDefault="00A9412F" w:rsidP="00A9412F">
      <w:pPr>
        <w:spacing w:before="60"/>
        <w:ind w:firstLine="720"/>
        <w:rPr>
          <w:bCs/>
          <w:sz w:val="28"/>
          <w:szCs w:val="28"/>
          <w:lang w:val="pt-BR"/>
        </w:rPr>
      </w:pPr>
      <w:r w:rsidRPr="00761175">
        <w:rPr>
          <w:bCs/>
          <w:sz w:val="28"/>
          <w:szCs w:val="28"/>
          <w:lang w:val="pt-BR"/>
        </w:rPr>
        <w:t xml:space="preserve">+ Loại hợp đồng: </w:t>
      </w:r>
      <w:r>
        <w:rPr>
          <w:bCs/>
          <w:sz w:val="28"/>
          <w:szCs w:val="28"/>
          <w:lang w:val="pt-BR"/>
        </w:rPr>
        <w:t>Trọn gói</w:t>
      </w:r>
    </w:p>
    <w:p w14:paraId="4F0DD975" w14:textId="77777777" w:rsidR="00A9412F" w:rsidRPr="00761175" w:rsidRDefault="00A9412F" w:rsidP="00A9412F">
      <w:pPr>
        <w:spacing w:before="60"/>
        <w:ind w:firstLine="720"/>
        <w:rPr>
          <w:bCs/>
          <w:sz w:val="28"/>
          <w:szCs w:val="28"/>
          <w:lang w:val="pt-BR"/>
        </w:rPr>
      </w:pPr>
      <w:r w:rsidRPr="00761175">
        <w:rPr>
          <w:bCs/>
          <w:sz w:val="28"/>
          <w:szCs w:val="28"/>
          <w:lang w:val="pt-BR"/>
        </w:rPr>
        <w:t xml:space="preserve">+ Thời gian thực hiện gói thầu: </w:t>
      </w:r>
      <w:r>
        <w:rPr>
          <w:bCs/>
          <w:sz w:val="28"/>
          <w:szCs w:val="28"/>
          <w:lang w:val="pt-BR"/>
        </w:rPr>
        <w:t>120</w:t>
      </w:r>
      <w:r w:rsidRPr="00761175">
        <w:rPr>
          <w:bCs/>
          <w:sz w:val="28"/>
          <w:szCs w:val="28"/>
          <w:lang w:val="pt-BR"/>
        </w:rPr>
        <w:t xml:space="preserve"> ngày kể từ ngày hợp đồng có hiệu lực.</w:t>
      </w:r>
    </w:p>
    <w:p w14:paraId="615C4893" w14:textId="77777777" w:rsidR="00A9412F" w:rsidRPr="00761175" w:rsidRDefault="00A9412F" w:rsidP="00A9412F">
      <w:pPr>
        <w:spacing w:before="60"/>
        <w:ind w:firstLine="720"/>
        <w:rPr>
          <w:b/>
          <w:sz w:val="28"/>
          <w:szCs w:val="28"/>
          <w:lang w:val="vi-VN"/>
        </w:rPr>
      </w:pPr>
      <w:r w:rsidRPr="00761175">
        <w:rPr>
          <w:bCs/>
          <w:sz w:val="28"/>
          <w:szCs w:val="28"/>
          <w:lang w:val="pt-BR"/>
        </w:rPr>
        <w:t xml:space="preserve">2.3. Thời hạn hoàn thành: Không quá </w:t>
      </w:r>
      <w:r>
        <w:rPr>
          <w:bCs/>
          <w:sz w:val="28"/>
          <w:szCs w:val="28"/>
          <w:lang w:val="pt-BR"/>
        </w:rPr>
        <w:t>120</w:t>
      </w:r>
      <w:r w:rsidRPr="00761175">
        <w:rPr>
          <w:bCs/>
          <w:sz w:val="28"/>
          <w:szCs w:val="28"/>
          <w:lang w:val="pt-BR"/>
        </w:rPr>
        <w:t xml:space="preserve"> ngày kể từ ngày hợp đồng có hiệu lực.</w:t>
      </w:r>
    </w:p>
    <w:p w14:paraId="2C591EE6" w14:textId="77777777" w:rsidR="00A9412F" w:rsidRPr="00761175" w:rsidRDefault="00A9412F" w:rsidP="00A9412F">
      <w:pPr>
        <w:widowControl w:val="0"/>
        <w:tabs>
          <w:tab w:val="left" w:pos="1418"/>
        </w:tabs>
        <w:spacing w:before="120" w:after="120" w:line="264" w:lineRule="auto"/>
        <w:ind w:firstLine="709"/>
        <w:rPr>
          <w:b/>
          <w:sz w:val="28"/>
          <w:szCs w:val="28"/>
          <w:lang w:val="vi-VN"/>
        </w:rPr>
      </w:pPr>
      <w:r w:rsidRPr="00761175">
        <w:rPr>
          <w:b/>
          <w:sz w:val="28"/>
          <w:szCs w:val="28"/>
          <w:lang w:val="vi-VN"/>
        </w:rPr>
        <w:t>II. Yêu cầu về tiến độ thực hiện</w:t>
      </w:r>
    </w:p>
    <w:p w14:paraId="72031BD1" w14:textId="77777777" w:rsidR="00A9412F" w:rsidRPr="00761175" w:rsidRDefault="00A9412F" w:rsidP="00A9412F">
      <w:pPr>
        <w:widowControl w:val="0"/>
        <w:tabs>
          <w:tab w:val="left" w:pos="1418"/>
        </w:tabs>
        <w:spacing w:before="120" w:after="120" w:line="264" w:lineRule="auto"/>
        <w:ind w:firstLine="709"/>
        <w:rPr>
          <w:sz w:val="28"/>
          <w:szCs w:val="28"/>
          <w:lang w:val="vi-VN"/>
        </w:rPr>
      </w:pPr>
      <w:r w:rsidRPr="00DB38AE">
        <w:rPr>
          <w:sz w:val="28"/>
          <w:szCs w:val="28"/>
          <w:lang w:val="vi-VN"/>
        </w:rPr>
        <w:lastRenderedPageBreak/>
        <w:t>Thời gian từ khi khởi công đến khi hoàn thành hợp đồng: Không quá 120 ngày. Trong đó: Thời gian thi công toàn bộ phần xây dựng và lắp đặt thiết bị để đóng điện không quá 90 ngày</w:t>
      </w:r>
      <w:r w:rsidRPr="00761175">
        <w:rPr>
          <w:sz w:val="28"/>
          <w:szCs w:val="28"/>
          <w:lang w:val="vi-VN"/>
        </w:rPr>
        <w:t xml:space="preserve">. </w:t>
      </w:r>
    </w:p>
    <w:p w14:paraId="7C4F1EF4" w14:textId="77777777" w:rsidR="00A9412F" w:rsidRPr="00761175" w:rsidRDefault="00A9412F" w:rsidP="00A9412F">
      <w:pPr>
        <w:widowControl w:val="0"/>
        <w:tabs>
          <w:tab w:val="left" w:pos="700"/>
          <w:tab w:val="left" w:pos="1418"/>
        </w:tabs>
        <w:spacing w:before="120" w:after="120" w:line="264" w:lineRule="auto"/>
        <w:ind w:firstLine="709"/>
        <w:rPr>
          <w:b/>
          <w:bCs/>
          <w:sz w:val="28"/>
          <w:szCs w:val="28"/>
        </w:rPr>
      </w:pPr>
      <w:r w:rsidRPr="00761175">
        <w:rPr>
          <w:b/>
          <w:bCs/>
          <w:sz w:val="28"/>
          <w:szCs w:val="28"/>
        </w:rPr>
        <w:t xml:space="preserve">III. </w:t>
      </w:r>
      <w:proofErr w:type="spellStart"/>
      <w:r w:rsidRPr="00761175">
        <w:rPr>
          <w:b/>
          <w:bCs/>
          <w:sz w:val="28"/>
          <w:szCs w:val="28"/>
        </w:rPr>
        <w:t>Yêu</w:t>
      </w:r>
      <w:proofErr w:type="spellEnd"/>
      <w:r w:rsidRPr="00761175">
        <w:rPr>
          <w:b/>
          <w:bCs/>
          <w:sz w:val="28"/>
          <w:szCs w:val="28"/>
        </w:rPr>
        <w:t xml:space="preserve"> </w:t>
      </w:r>
      <w:proofErr w:type="spellStart"/>
      <w:r w:rsidRPr="00761175">
        <w:rPr>
          <w:b/>
          <w:bCs/>
          <w:sz w:val="28"/>
          <w:szCs w:val="28"/>
        </w:rPr>
        <w:t>cầu</w:t>
      </w:r>
      <w:proofErr w:type="spellEnd"/>
      <w:r w:rsidRPr="00761175">
        <w:rPr>
          <w:b/>
          <w:bCs/>
          <w:sz w:val="28"/>
          <w:szCs w:val="28"/>
        </w:rPr>
        <w:t xml:space="preserve"> </w:t>
      </w:r>
      <w:proofErr w:type="spellStart"/>
      <w:r w:rsidRPr="00761175">
        <w:rPr>
          <w:b/>
          <w:bCs/>
          <w:sz w:val="28"/>
          <w:szCs w:val="28"/>
        </w:rPr>
        <w:t>về</w:t>
      </w:r>
      <w:proofErr w:type="spellEnd"/>
      <w:r w:rsidRPr="00761175">
        <w:rPr>
          <w:b/>
          <w:bCs/>
          <w:sz w:val="28"/>
          <w:szCs w:val="28"/>
        </w:rPr>
        <w:t xml:space="preserve"> </w:t>
      </w:r>
      <w:proofErr w:type="spellStart"/>
      <w:r w:rsidRPr="00761175">
        <w:rPr>
          <w:b/>
          <w:bCs/>
          <w:sz w:val="28"/>
          <w:szCs w:val="28"/>
        </w:rPr>
        <w:t>kỹ</w:t>
      </w:r>
      <w:proofErr w:type="spellEnd"/>
      <w:r w:rsidRPr="00761175">
        <w:rPr>
          <w:b/>
          <w:bCs/>
          <w:sz w:val="28"/>
          <w:szCs w:val="28"/>
        </w:rPr>
        <w:t xml:space="preserve"> </w:t>
      </w:r>
      <w:proofErr w:type="spellStart"/>
      <w:r w:rsidRPr="00761175">
        <w:rPr>
          <w:b/>
          <w:bCs/>
          <w:sz w:val="28"/>
          <w:szCs w:val="28"/>
        </w:rPr>
        <w:t>thuật</w:t>
      </w:r>
      <w:proofErr w:type="spellEnd"/>
      <w:r w:rsidRPr="00761175">
        <w:rPr>
          <w:b/>
          <w:bCs/>
          <w:sz w:val="28"/>
          <w:szCs w:val="28"/>
        </w:rPr>
        <w:t>/</w:t>
      </w:r>
      <w:proofErr w:type="spellStart"/>
      <w:r w:rsidRPr="00761175">
        <w:rPr>
          <w:b/>
          <w:bCs/>
          <w:sz w:val="28"/>
          <w:szCs w:val="28"/>
        </w:rPr>
        <w:t>chỉ</w:t>
      </w:r>
      <w:proofErr w:type="spellEnd"/>
      <w:r w:rsidRPr="00761175">
        <w:rPr>
          <w:b/>
          <w:bCs/>
          <w:sz w:val="28"/>
          <w:szCs w:val="28"/>
        </w:rPr>
        <w:t xml:space="preserve"> </w:t>
      </w:r>
      <w:proofErr w:type="spellStart"/>
      <w:r w:rsidRPr="00761175">
        <w:rPr>
          <w:b/>
          <w:bCs/>
          <w:sz w:val="28"/>
          <w:szCs w:val="28"/>
        </w:rPr>
        <w:t>dẫn</w:t>
      </w:r>
      <w:proofErr w:type="spellEnd"/>
      <w:r w:rsidRPr="00761175">
        <w:rPr>
          <w:b/>
          <w:bCs/>
          <w:sz w:val="28"/>
          <w:szCs w:val="28"/>
        </w:rPr>
        <w:t xml:space="preserve"> </w:t>
      </w:r>
      <w:proofErr w:type="spellStart"/>
      <w:r w:rsidRPr="00761175">
        <w:rPr>
          <w:b/>
          <w:bCs/>
          <w:sz w:val="28"/>
          <w:szCs w:val="28"/>
        </w:rPr>
        <w:t>kỹ</w:t>
      </w:r>
      <w:proofErr w:type="spellEnd"/>
      <w:r w:rsidRPr="00761175">
        <w:rPr>
          <w:b/>
          <w:bCs/>
          <w:sz w:val="28"/>
          <w:szCs w:val="28"/>
        </w:rPr>
        <w:t xml:space="preserve"> </w:t>
      </w:r>
      <w:proofErr w:type="spellStart"/>
      <w:r w:rsidRPr="00761175">
        <w:rPr>
          <w:b/>
          <w:bCs/>
          <w:sz w:val="28"/>
          <w:szCs w:val="28"/>
        </w:rPr>
        <w:t>thuật</w:t>
      </w:r>
      <w:proofErr w:type="spellEnd"/>
    </w:p>
    <w:p w14:paraId="02636491"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1. Quy trình, quy phạm áp dụng cho việc thi công, nghiệm thu công trình</w:t>
      </w:r>
    </w:p>
    <w:p w14:paraId="3A15ADC6"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Áp dụng tiêu chuẩn Việt Nam hiện hành có liên quan.</w:t>
      </w:r>
    </w:p>
    <w:p w14:paraId="6CB84704" w14:textId="55A38C41"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Áp dụng các tiêu chuẩn quy định tại </w:t>
      </w:r>
      <w:r w:rsidRPr="00D91DE3">
        <w:rPr>
          <w:bCs/>
          <w:sz w:val="28"/>
          <w:szCs w:val="28"/>
          <w:lang w:val="it-IT"/>
        </w:rPr>
        <w:t>Quyết định số 14/QĐ-BQLDA ngày 11/6/2026của Giám đốc Ban quản lý dự án đầu tư xây dựng xã Trung Kênh về việc phê duyệt thiết kế xây dựng triển khai sau thiết kế cơ sở và dự toán Dự án: Lắp đặt hệ thống điện chiếu sáng nông thôn trên địa bàn xã Trung Kênh</w:t>
      </w:r>
      <w:r w:rsidRPr="00761175">
        <w:rPr>
          <w:bCs/>
          <w:sz w:val="28"/>
          <w:szCs w:val="28"/>
          <w:lang w:val="it-IT"/>
        </w:rPr>
        <w:t>.</w:t>
      </w:r>
    </w:p>
    <w:p w14:paraId="74895D3C"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2. Yêu cầu chung về tổ chức kỹ thuật thi công, giám sát</w:t>
      </w:r>
    </w:p>
    <w:p w14:paraId="54CABF81"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kỹ sư tư vấn giám sát. Nhà thầu phải tuân thủ và làm đúng các chỉ dẫn của kỹ sư tư vấn giám sát về mọi vấn đề có nêu hay không nêu trong hợp đồng.</w:t>
      </w:r>
    </w:p>
    <w:p w14:paraId="0121A9AF"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chịu hoàn toàn trách nhiệm về tính chất ổn định, an toàn của tất cả các hoạt động ở công trường trong suốt thời gian thi công, hoàn thiện công trình, nghiệm thu bàn giao và trong giai đoạn bảo hành, nhà thầu phải:</w:t>
      </w:r>
    </w:p>
    <w:p w14:paraId="03774EAF"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Quan tâm đầy đủ đến sức khoẻ an toàn của người lao động trên công trường. Đảm bảo trật tự, an ninh, an toàn cho công trình không để xảy ra tình trạng nguy hiểm hoặc mất an toàn cho người lao động, cán bộ tham gia dự án.</w:t>
      </w:r>
    </w:p>
    <w:p w14:paraId="13123438"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Bằng mọi biện pháp hợp lý, nhà thầu phải có kế hoạch bảo vệ môi trường ở trong và ngoài công trường nhằm tránh gây thiệt hại, giảm thiểu các tác động về tài sản và người ở công trường và khu vực lân cận.</w:t>
      </w:r>
    </w:p>
    <w:p w14:paraId="3C6A0080"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49A1F2E4"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4EFF050"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lastRenderedPageBreak/>
        <w:t xml:space="preserve">- Cung cấp toàn bộ nguyên vật liệu đưa vào thi công công trình phải đúng yêu cầu kỹ thuật theo hồ sơ thiết kế. </w:t>
      </w:r>
    </w:p>
    <w:p w14:paraId="63E324F2"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Tổ chức thực hiện thi công công trình đạt yêu cầu kỹ thuật và theo đúng thời hạn hoàn thành công trình đã nêu trong hồ sơ dự thầu được chấp thuận.</w:t>
      </w:r>
    </w:p>
    <w:p w14:paraId="1C0D49BC"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44D26167"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Giám sát theo dõi những khối lượng do mình thực hiện ở công trường trong thời gian thi công và ngay cả trong thời gian bảo hành công trình. </w:t>
      </w:r>
    </w:p>
    <w:p w14:paraId="55EF776C"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Nếu Chủ đầu tư/Tư vấn giám sát nhận thấy không thể chấp nhận những đại diện của nhà thầu mà theo ý kiến của Chủ đầu tư/Tư vấn giám sát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5EC53D41"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báo cáo các chi tiết về bất kỳ tai nạn, hư hỏng, sự cố nào trong hoặc ngoài công trường. Trong trường hợp có tai nạn nghiêm trọng, hư hỏng, sự cố hay chết người, nhà thầu phải báo cáo ngay lập tức cho Chủ đầu tư/Tư vấn giám sát bằng các phương tiện nhanh nhất sẵn có.</w:t>
      </w:r>
    </w:p>
    <w:p w14:paraId="4FCBCA58"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Sau khi thi công hoàn thiện công trình và trước khi nghiệm thu công trình, nhà thầu phải thu dọn, san trả hiện trường, vệ sinh công nghiệp và làm cho khu vực công trường được sạch sẽ.</w:t>
      </w:r>
    </w:p>
    <w:p w14:paraId="581E62BE"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chịu trách nhiệm lập đầy đủ hồ sơ hoàn công công trình theo đúng yêu cầu của Chủ đầu tư/Tư vấn giám sát và các tiêu chuẩn nghiệm thu công trình.</w:t>
      </w:r>
    </w:p>
    <w:p w14:paraId="20BEE586"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Ngoài ra nhà thầu phải tuân thủ đúng quy định hiện hành của nhà nước về việc tổ chức chức thi công, đáp ứng yêu cầu về kỹ thuật thi công và giám sát chất lượng thi công.</w:t>
      </w:r>
    </w:p>
    <w:p w14:paraId="5677F8A1"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3. Yêu cầu về chủng loại, chất lượng vật tư, vật liệu</w:t>
      </w:r>
    </w:p>
    <w:p w14:paraId="538A261C"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3.1. Yêu cầu chung về vật tư, vật liệu</w:t>
      </w:r>
    </w:p>
    <w:p w14:paraId="75E4D00B"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Tất cả các loại vật vât tư, vật liệu và thiết bị đưa vào thi công và lắp đặt cho công trình phải có nguồn gốc, xuất xứ rõ ràng. Yêu cầu phải có chứng nhận nguồn gốc xuất xứ của các loại vật tư, vật liệu và thiết bị. Các thiết bị phục vụ thi công phải là những thiết bị tốt, có công suất phù hợp và được kiểm nghiệm theo định kỳ. Chủng </w:t>
      </w:r>
      <w:r w:rsidRPr="00761175">
        <w:rPr>
          <w:bCs/>
          <w:sz w:val="28"/>
          <w:szCs w:val="28"/>
          <w:lang w:val="it-IT"/>
        </w:rPr>
        <w:lastRenderedPageBreak/>
        <w:t>loại vật tư, vật liệu phải tuân thủ theo đúng hồ sơ thiết kế quy định và theo các tiêu chuẩn kỹ thuật hiện hành, được nghiệm thu và thử nghiệm theo quy phạm quy định.</w:t>
      </w:r>
    </w:p>
    <w:p w14:paraId="660E27F6"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Khi có yêu cầu của Chủ đầu tư hoặc các cơ quan quản lý có thẩm quyền, nhà thầu phải xuất trình hồ sơ lý lịch, xuất xứ về vật tư, vật liệu mà nhà thầu sử dụng vào công trình.</w:t>
      </w:r>
    </w:p>
    <w:p w14:paraId="481FECD9"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Một số chủng loại vật tư, vật liệu cần có mẫu thử, nhà thầu phải tiến hành thử nghiệm tại nơi kiểm tra theo yêu cầu và có sự giám sát của phía Chủ đầu tư/Tư vấn giám sát.</w:t>
      </w:r>
    </w:p>
    <w:p w14:paraId="0BCE0A91"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Những chủng loại vật tư, vật liệu nào không đảm bảo theo yêu cầu về chất lượng, mẫu mã..., đều phải lập biên bản và đưa ra khỏi công trình trong thời gian không quá 24 giờ kể từ thời điểm bắt đầu lập biên bản.</w:t>
      </w:r>
    </w:p>
    <w:p w14:paraId="7A7805F5"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3.2. Yêu cầu về đặc tính/thông số kỹ thuật vật tư, vật liệu</w:t>
      </w:r>
    </w:p>
    <w:p w14:paraId="69898B6D"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cam kết, trong trường hợp trúng thầu sẽ cung cấp đầy đủ vật tư, vật liệu và thiết bị đúng theo yêu cầu về số lượng, đảm bảo chất lượng, tiêu chuẩn kỹ thuật thiết kế và kịp thời đáp ứng tiến độ thi công. Đồng thời, nhà thầu phải cam kết các vật tư, thiết bị cho gói thầu này mới 100%, có mã ký hiệu, nhãn hiệu, xuất xứ rõ ràng kèm theo đầy đủ các tài liệu theo yêu cầu của E-HSMT.</w:t>
      </w:r>
    </w:p>
    <w:p w14:paraId="5CB6C583"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có cam kết cung cấp Giấy chứng nhận xuất xứ hàng hóa (C/O) và Giấy chứng nhận chất lượng hàng hóa (C/Q) và các tài liệu liên quan đối với các vật tư, thiết bị nhập khẩu.</w:t>
      </w:r>
    </w:p>
    <w:p w14:paraId="6AC42886"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4. Các yêu cầu về trình tự thi công, lắp đặt</w:t>
      </w:r>
    </w:p>
    <w:p w14:paraId="02539924"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yêu cầu kỹ thuật của dự án và nghiệm thu hiện hành của Nhà nước. Trước khi khởi công công trình nhà thầu phải lập biện pháp thi công tổng thể và chi tiết để trình Chủ đầu tư/Tư vấn giám sát kiểm tra, phê duyệt cũng như theo dõi, giám sát trong quá trình thi công.</w:t>
      </w:r>
    </w:p>
    <w:p w14:paraId="5C26A250"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Đối với từng hạng mục công việc chính nhà thầu phải:</w:t>
      </w:r>
    </w:p>
    <w:p w14:paraId="512DC5A9"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Trích dẫn tiêu chuẩn, quy trình và quy phạm thi công.</w:t>
      </w:r>
    </w:p>
    <w:p w14:paraId="6404B2C5"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Mô tả phương án thi công chính.</w:t>
      </w:r>
    </w:p>
    <w:p w14:paraId="234B0942"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Qui trình và thủ tục nghiệm thu.</w:t>
      </w:r>
    </w:p>
    <w:p w14:paraId="10AEECB7"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lastRenderedPageBreak/>
        <w:t>+ Biện pháp đảm bảo chất lượng thi công.</w:t>
      </w:r>
    </w:p>
    <w:p w14:paraId="21BBE3C0"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Đảm bảo an toàn giao thông đường thủy trong quá trình thi công.</w:t>
      </w:r>
    </w:p>
    <w:p w14:paraId="401D0A3A"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5. Các yêu cầu về phòng, chống cháy, nổ</w:t>
      </w:r>
    </w:p>
    <w:p w14:paraId="351E25DE"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Ngay sau khi nhận bàn giao mặt bằng thi công, nhà thầu phải thực hiện:</w:t>
      </w:r>
    </w:p>
    <w:p w14:paraId="609F8479"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Có nội quy quy định về việc phòng cháy, chữa cháy đặt tại công trình.</w:t>
      </w:r>
    </w:p>
    <w:p w14:paraId="62A9F317"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Trang bị đầy đủ các phương tiện, thiết bị phòng cháy chữa cháy, cứu nạn cứu hộ theo quy định, luôn trong trạng thái sẵn sàng hoạt động và phải thường xuyên kiểm tra, bổ sung kịp thời.</w:t>
      </w:r>
    </w:p>
    <w:p w14:paraId="2CDFB118"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Có bố trí lực lượng phòng cháy chữa cháy đã qua tập huấn theo quy định, đảm bảo luôn luôn có mặt kịp thời khi xảy ra sự cố.</w:t>
      </w:r>
    </w:p>
    <w:p w14:paraId="1C99A33D"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Nhà thầu khi sử dụng nguồn điện trên công trường phải thiết kế hệ thống điện thi công và tuân thủ các quy định về an toàn sử dụng điện, phòng chống cháy nổ. Hệ thống điện đèn bảo vệ, đèn báo phải tách riêng với mạng điện thi công.</w:t>
      </w:r>
    </w:p>
    <w:p w14:paraId="4D181381"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Trong quá trình thi công xây dựng, nhà thầu phải tuân thủ các biện pháp đảm bảo an toàn phòng cháy chữa cháy, cứu nạn cứu hộ theo các quy định pháp luật về phòng cháy chữa cháy hiện hành và các nội dung sau:</w:t>
      </w:r>
    </w:p>
    <w:p w14:paraId="2FB12C7B"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Thực hiện các giải pháp phòng cháy chữa cháy, cứu nạn cứu hộ phù hợp với các quy chuẩn, tiêu chuẩn hiện hành và phù hợp với đặc điểm công trình thuộc dự án. </w:t>
      </w:r>
    </w:p>
    <w:p w14:paraId="3B0444BF"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Phải xây dựng phương án phòng cháy chữa cháy và cứu nạn cứu hộ đảm bảo khả năng thoát nạn an toàn và cứu người, bảo vệ tài sản khi cháy xảy ra trong công trình đang thi công xây dựng và trên toàn bộ công trường.</w:t>
      </w:r>
    </w:p>
    <w:p w14:paraId="2DCE39F7"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Nhà thầu thực hiện các nội dung khác theo quy định của pháp luật về phòng, chống cháy, nổ.</w:t>
      </w:r>
    </w:p>
    <w:p w14:paraId="5B9285C1"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6. Yêu cầu về bảo vệ môi trường</w:t>
      </w:r>
    </w:p>
    <w:p w14:paraId="1F2232D4"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Nhà thầu phải thực hiện tất cả các biện pháp quản lý, phòng ngừa hợp lý nhằm bảo vệ và tránh những tác hại đến môi trường trong phạm vi công trường và môi trường xung quanh, gồm: </w:t>
      </w:r>
    </w:p>
    <w:p w14:paraId="7E04B033"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Chuẩn bị nhân lực, các phương tiện vệ sinh công cộng nhằm ngăn ngừa sự ô nhiễm về sinh thái hoặc ô nhiễm về công nghiệp tại hiện trường.</w:t>
      </w:r>
    </w:p>
    <w:p w14:paraId="14E895C8"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Phế thải xây dựng phải được tập kết, thu dọn gọn gàng và vận chuyển kịp thời </w:t>
      </w:r>
      <w:r w:rsidRPr="00761175">
        <w:rPr>
          <w:bCs/>
          <w:sz w:val="28"/>
          <w:szCs w:val="28"/>
          <w:lang w:val="it-IT"/>
        </w:rPr>
        <w:lastRenderedPageBreak/>
        <w:t>trong thời gian ngắn nhất chống cản trở giao thông và ảnh hưởng đến môi trường cảnh quan khu vực. Nhà thầu phải tuân thủ các biện pháp bảo vệ môi trường, vận chuyển vật liệu và phế thải theo đúng quy định hiện hành. Trong quá trình vận chuyển vật liệu xây dựng, phế thải phải có biện pháp che chắn bảo đảm an toàn, vệ sinh môi trường.</w:t>
      </w:r>
    </w:p>
    <w:p w14:paraId="39C6D9DF"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Có giải pháp để giảm thiểu tiếng ồn khi thi công, tuân thủ quy định về mức ồn tối đa cho phép trong công trình xây dựng theo tiêu chuẩn hiện hành.</w:t>
      </w:r>
    </w:p>
    <w:p w14:paraId="1CA10D0A"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Thực hiện kế hoạch quản lý và bảo vệ môi trường và các quy định về bảo vệ môi trường trong quá trình thi công gói thầu.</w:t>
      </w:r>
    </w:p>
    <w:p w14:paraId="697E07FB"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Xây dựng và thực hiện nội quy, quy định về bảo vệ môi trường trong thi công xây dựng công trình.</w:t>
      </w:r>
    </w:p>
    <w:p w14:paraId="23050FBD"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Bố trí nhân sự phụ trách về môi trường theo quy định của pháp luật về bảo vệ môi trường để thực hiện các biện pháp bảo vệ môi trường phù hợp với quy định của tỉnh Bắc Ninh. </w:t>
      </w:r>
    </w:p>
    <w:p w14:paraId="14397A30"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Tổ chức lập, trình Tư vấn giám sát, Chủ đầu tư chấp thuận các giải pháp kỹ thuật, biện pháp bảo vệ môi trường trong thi công xây dựng công trình.</w:t>
      </w:r>
    </w:p>
    <w:p w14:paraId="7C114393"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Tổ chức tập huấn, phổ biến hướng dẫn các nội quy, quy trình, biện pháp bảo vệ môi trường cho cán bộ, công nhân, người lao động và các đối tượng có liên quan trên công trường.</w:t>
      </w:r>
    </w:p>
    <w:p w14:paraId="3D5A4AD3"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Phải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4BF55432"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Phải thực hiện các biện pháp bảo đảm về môi trường cho người lao động trên công trường và bảo vệ môi trường xung quanh, bao gồm có biện pháp chống bụi, chống ồn, xử lý phế thải và thu dọn hiện trường. </w:t>
      </w:r>
    </w:p>
    <w:p w14:paraId="1DABF050"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Dừng thi công xây dựng công trình khi phát hiện nguy cơ xảy ra ô nhiễm, sự cố môi trường nghiêm trọng và có biện pháp khắc phục để đảm bảo tuân thủ các yêu cầu về bảo vệ môi trường trước khi tiếp tục thi công.</w:t>
      </w:r>
    </w:p>
    <w:p w14:paraId="682EE0FC"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Chuẩn bị các phương tiện vệ sinh công cộng nhằm ngăn ngừa sự ô nhiễm về sinh thái hoặc ô nhiễm về công nghiệp tại hiện trường. Trên công trường phải bố trí hệ thống thoát nước thi công, thiết kế biện pháp đấu nối hợp lý đảm bảo tiêu nước </w:t>
      </w:r>
      <w:r w:rsidRPr="00761175">
        <w:rPr>
          <w:bCs/>
          <w:sz w:val="28"/>
          <w:szCs w:val="28"/>
          <w:lang w:val="it-IT"/>
        </w:rPr>
        <w:lastRenderedPageBreak/>
        <w:t>triệt để, không gây ngập úng trong suốt quá trình thi công.</w:t>
      </w:r>
    </w:p>
    <w:p w14:paraId="697A1F07"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Nếu nhà thầu để xảy ra các hành vi làm tổn hại đến môi trường trong quá trình thi công xây dựng công trình thì phải chịu trách nhiệm trước pháp luật và bồi thường thiệt hại do lỗi của nhà thầu gây ra. Thực hiện các nội dung khác theo quy định của pháp luật về bảo vệ môi trường.</w:t>
      </w:r>
    </w:p>
    <w:p w14:paraId="0D053693"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7. Yêu cầu về an toàn lao động</w:t>
      </w:r>
    </w:p>
    <w:p w14:paraId="1C0B4F84"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thi công xây dựng phải lập các biện pháp an toàn cho người, máy móc thiết bị và công trình trên công trường thi công xây dựng, kể cả các công trình phụ cận. Trường hợp các biện pháp an toàn liên quan đến nhiều bên thì phải được các bên thống nhất.</w:t>
      </w:r>
    </w:p>
    <w:p w14:paraId="78F63193"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Biện pháp an toàn, nội quy về an toàn lao động phải được thể hiện công khai trên công trường xây dựng để mọi người biết và chấp hành; những vị trí nguy hiểm trên công trường phải được bố trí người hướng dẫn, cảnh báo đề phòng tai nạn.</w:t>
      </w:r>
    </w:p>
    <w:p w14:paraId="17D8BE34"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thi công xây dựng, chủ đầu tư và các bên liên quan sẽ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10596A5"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thi công xây dựng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7E713C43"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thi công xây dựng có trách nhiệm cấp đầy đủ các trang thiết bị bảo hộ lao động, an toàn lao động cho người lao động theo quy định khi sử dụng lao động trên công trường.</w:t>
      </w:r>
    </w:p>
    <w:p w14:paraId="5921CE26"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Khi có sự cố về an toàn lao động, nhà thầu thi công xây dựng và các bên liên quan có trách nhiệm xử lý và báo cáo cơ quan quản lý nhà nước về an toàn lao động theo quy định của pháp luật đồng thời chịu trách nhiệm khắc phục và bồi thường những thiệt hại do nhà thầu không đảm bảo.</w:t>
      </w:r>
    </w:p>
    <w:p w14:paraId="00EE72BB"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Biện pháp huy động nhân lực và thiết bị phục vụ thi công;</w:t>
      </w:r>
    </w:p>
    <w:p w14:paraId="56B42B20"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Nhà thầu phải có các nhân lực như: chỉ huy trưởng công trường, cán bộ phụ trách kỹ thuật, cán bộ phụ trách an toàn lao động, đội trưởng thi công và công nhân thường xuyên có mặt tại công trình để điều hành và thực hiện việc thi công xây lắp (lập danh sách chi tiết và trình độ của công nhân tham gia thi công của công trình </w:t>
      </w:r>
      <w:r w:rsidRPr="00761175">
        <w:rPr>
          <w:bCs/>
          <w:sz w:val="28"/>
          <w:szCs w:val="28"/>
          <w:lang w:val="it-IT"/>
        </w:rPr>
        <w:lastRenderedPageBreak/>
        <w:t>này). Biểu đồ huy động nhân lực phù hợp với các giai đoạn của quá trình thi công.</w:t>
      </w:r>
    </w:p>
    <w:p w14:paraId="58E7577F"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có bảng tiến độ, trong đó nêu rõ thời gian, khối lượng huy động máy móc, thiết bị chính để thi công Dự án, phù hợp với các giai đoạn của quá trình thi công.</w:t>
      </w:r>
    </w:p>
    <w:p w14:paraId="3E148585"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45305C0"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Yêu cầu về biện pháp tổ chức thi công tổng thể và các hạng mục;</w:t>
      </w:r>
    </w:p>
    <w:p w14:paraId="701066B2"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nêu rõ các biện pháp tổ chức thi công tổng thể và chi tiết các hạng mục công trình theo đúng các quy định của nhà nước, ngành điện và yêu cầu cụ thể trong thiết kế bản vẽ thi công Dự án được duyệt và điều kiện thực tế của công trình.</w:t>
      </w:r>
    </w:p>
    <w:p w14:paraId="4040B399"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8. Biện pháp huy động nhân lực và thiết bị phục vụ thi công:</w:t>
      </w:r>
    </w:p>
    <w:p w14:paraId="0D36D505"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có giải pháp huy động nhân lực, máy móc, thiết bị thi công để thực hiện gói thầu theo đúng các yêu cầu đề ra trong hồ sơ mời thầu.</w:t>
      </w:r>
    </w:p>
    <w:p w14:paraId="0B96CB87"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Nhà thầu phải chuẩn bị sẵn sàng để huy động các nhân sự chủ chốt yêu cầu tại Bảng số 02 Chương III trong quá trình thực hiện hợp đồng. </w:t>
      </w:r>
    </w:p>
    <w:p w14:paraId="330AC20D"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9. Yêu cầu về biện pháp tổ chức thi công tổng thể các hạng mục</w:t>
      </w:r>
    </w:p>
    <w:p w14:paraId="3EC3358E"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Nhà thầu phải có giải pháp thi công tổng thể cho các hạng mục, bố trí chung mặt bằng thi công trên công trường, giải pháp thi công chi tiết cho các hạng mục công trình.</w:t>
      </w:r>
    </w:p>
    <w:p w14:paraId="61EA5157"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10. Yêu cầu về hệ thống kiểm tra, giám sát chất lượng của Nhà thầu</w:t>
      </w:r>
    </w:p>
    <w:p w14:paraId="753F5EC1"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Nhà thầu phải có hệ thống quản lý thi công xây dựng, kiểm tra, giám sát chất lượng phù hợp với quy định tại Nghị định số 06/2021/NĐ-CP ngày 26/01/2021 của Chính phủ về quy định chi tiết một số nội dung về quản lý chất lượng, thi công xây dựng và bảo trì công trình xây dựng; Nghị định số 35/2023/NĐ-CP ngày 20/6/2023 của Chính phủ về sửa đổi, bổ sung một số điều của các Nghị định thuộc lĩnh vực quản lý nhà nước của Bộ Xây dựng; Thông tư số 10/2021/TT-BXD ngày 25/8/2021 của Bộ Xây dựng hướng dẫn một số điều và biện pháp thi hành Nghị định số 06/2021/NĐ-CP ngày 26/01/2021 và Nghị định số 44/2016/NĐ-CP ngày 15/5/2016 của Chính phủ; Các quy định khác có liên quan.</w:t>
      </w:r>
    </w:p>
    <w:p w14:paraId="1B22FE63"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Nhà thầu phải bố trí cán bộ giám sát chất lượng trên công trường phụ trách </w:t>
      </w:r>
      <w:r w:rsidRPr="00761175">
        <w:rPr>
          <w:bCs/>
          <w:sz w:val="28"/>
          <w:szCs w:val="28"/>
          <w:lang w:val="it-IT"/>
        </w:rPr>
        <w:lastRenderedPageBreak/>
        <w:t xml:space="preserve">công tác nghiệm thu nội bộ các hạng mục công trình và thực hiện công tác nghiệm thu theo đúng các quy định hiện hành. </w:t>
      </w:r>
    </w:p>
    <w:p w14:paraId="2885E193"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11. Một số chỉ dẫn về lập giá dự thầu</w:t>
      </w:r>
    </w:p>
    <w:p w14:paraId="332B946D"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Bảng tiên lượng (khối lượng mời thầu) được hiểu là toàn bộ khối lượng trong Hồ sơ thiết kế xây dựng triển khai sau thiết kế cơ sở của gói thầu đã được Chủ đầu tư/Cơ quan có thẩm quyền thẩm định, phê duyệt. Do vậy, trong quá trình lập giá dự thầu, nhà thầu cần nghiên cứu kỹ hồ sơ thiết kế xây dựng triển khai sau thiết kế cơ sở, chỉ dẫn kỹ thuật được duyệt và bằng năng lực kinh nghiệm của mình để xác định khối lượng, tính toán đầy đủ các chi phí, các thành phần công việc có liên quan để phân bổ vào đơn giá dự thầu, đảm bảo đúng, đầy đủ, phù hợp với các hạng mục công việc, khối lượng trong Bảng tiên lượng mời thầu.</w:t>
      </w:r>
    </w:p>
    <w:p w14:paraId="29E9F323"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Tất cả các hạng mục công việc trong bảng khối lượng mời thầu đều tính theo đơn vị khối lượng hoàn thành. Nhà thầu cần xem xét, tính toán xác định giá dự thầu bao gồm đầy đủ các nội dung theo đúng yêu cầu của hồ sơ thiết kế xây dựng triển khai sau thiết kế cơ sở, chỉ dẫn kỹ thuật được duyệt.</w:t>
      </w:r>
    </w:p>
    <w:p w14:paraId="0F2161E1"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Giá dự thầu của nhà thầu được xác định đã bao gồm 8% thuế giá trị gia tăng; Việc miễn giảm thuế GTGT theo Nghị định số 180/2024/NĐ-CP ngày 31/12/2024 của Chính phủ được thực hiện trên cơ sở thời gian thi công và nghiệm thu thanh toán khối lượng hoàn thành theo quy định.</w:t>
      </w:r>
    </w:p>
    <w:p w14:paraId="0EB4B841"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12. Một số yêu cầu khác đối với nhà thầu:</w:t>
      </w:r>
    </w:p>
    <w:p w14:paraId="460D3BFA"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Thực hiện quản lý chất lượng xây dựng công trình theo Nghị định số 06/2021/NĐ-CP và chịu trách nhiệm trước pháp luật về kết quả thực hiện; quá trình thi công cần rà soát, kiểm tra, phối hợp trình tự thi công giữa các hạng mục, khối lượng công việc đảm bảo tránh trùng lặp, lãng phí; tổ chức, giám sát chặt chẽ chất lượng và khối lượng thực hiện, chịu trách nhiệm về tính chính xác và hợp pháp của khối lượng thanh quyết toán theo quy định của Nhà nước.</w:t>
      </w:r>
    </w:p>
    <w:p w14:paraId="04C2BFAA"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Trước khi triển khai phải thiết kế cấp phối bê tông nhựa, rải thử trước khi thi công đại trà theo các quy định hiện hành, đảm bảo các yêu cầu kỹ thuật tại các tiêu chuẩn của dự án để phòng tránh và hạn chế hiện tượng hằn lún vệt bánh xe.</w:t>
      </w:r>
    </w:p>
    <w:p w14:paraId="3E3F8811"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Lập hồ sơ phương án đảm bảo giao thông trong quá trình thi công và phối hợp xin ý kiến chấp thuận của cơ quan có thẩm quyền theo quy định</w:t>
      </w:r>
    </w:p>
    <w:p w14:paraId="2653CD91"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xml:space="preserve">- Trong quá trình thi công xây dựng phải có biện pháp đảm bảo an toàn cho các công trình lân cận, thường xuyên quan trắc sự biến dạng của các cấu kiện phụ trợ thi </w:t>
      </w:r>
      <w:r w:rsidRPr="00761175">
        <w:rPr>
          <w:bCs/>
          <w:sz w:val="28"/>
          <w:szCs w:val="28"/>
          <w:lang w:val="it-IT"/>
        </w:rPr>
        <w:lastRenderedPageBreak/>
        <w:t>công để đảm bảo an toàn theo quy định.</w:t>
      </w:r>
    </w:p>
    <w:p w14:paraId="780201E6"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Thực hiện nghiêm túc các quy định về đảm bảo trật tự, an toàn, vệ sinh môi trường, đảm bảo an toàn giao thông, quản lý chất thải rắn xây dựng, quản lý sử dụng có hiệu quả tầng đất canh tác, tập kết, thu gom, quản lý, xử lý, lưu trữ tái sử dụng đất đào (nếu đủ tiêu chuẩn để tận dụng vào các công tác phù hợp) theo các quy định hiện hành của UBND tỉnh Bắc Ninh</w:t>
      </w:r>
    </w:p>
    <w:p w14:paraId="000FC6AD"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Trong quá trình triển khai thực hiện, cần chủ động phối hợp tiến độ các hạng mục thuộc dự án, với các hạng mục thuộc dự án xung quang đang triển khai và các công trình xây dựng lân cận, hạn chế xây dựng các hạng mục công trình có vai trò trong ngắn hạn, gây lãng phí.</w:t>
      </w:r>
    </w:p>
    <w:p w14:paraId="78458089" w14:textId="77777777" w:rsidR="00A9412F" w:rsidRPr="00761175" w:rsidRDefault="00A9412F" w:rsidP="00A9412F">
      <w:pPr>
        <w:widowControl w:val="0"/>
        <w:tabs>
          <w:tab w:val="left" w:pos="1418"/>
          <w:tab w:val="left" w:pos="2127"/>
        </w:tabs>
        <w:spacing w:before="120" w:after="120" w:line="264" w:lineRule="auto"/>
        <w:ind w:firstLine="567"/>
        <w:rPr>
          <w:bCs/>
          <w:sz w:val="28"/>
          <w:szCs w:val="28"/>
          <w:lang w:val="it-IT"/>
        </w:rPr>
      </w:pPr>
      <w:r w:rsidRPr="00761175">
        <w:rPr>
          <w:bCs/>
          <w:sz w:val="28"/>
          <w:szCs w:val="28"/>
          <w:lang w:val="it-IT"/>
        </w:rPr>
        <w:t>- Trong quá trình triển khai cần phối hợp với Chủ đầu tư, Các cơ quan quản lý về xây dựng chuyên ngành, Cảnh sát giao thông, các đơn vị chức năng của tỉnh và cơ quan quản lý khai thác mạng lưới đường bộ, đường thủy để có phương án phân luồng, tổ chức giao thông phục vụ thi công, đảm bảo an toàn, hạn chế ùn tắc giao thông; thường xuyên phân công người trực bảo vệ 24/24 giờ, ban đêm phải có đèn tín hiệu đảm bảo an toàn cho người và tài sản, có biển báo, rào chắn, đảm bảo an toàn kết nối giao thông dọc và ngang tuyến, an toàn lao động và vệ sinh môi trường.</w:t>
      </w:r>
    </w:p>
    <w:p w14:paraId="1D60EFA0" w14:textId="77777777" w:rsidR="00A9412F" w:rsidRPr="00761175" w:rsidRDefault="00A9412F" w:rsidP="00A9412F">
      <w:pPr>
        <w:widowControl w:val="0"/>
        <w:tabs>
          <w:tab w:val="left" w:pos="1418"/>
          <w:tab w:val="left" w:pos="2127"/>
        </w:tabs>
        <w:spacing w:before="120" w:after="120" w:line="264" w:lineRule="auto"/>
        <w:ind w:firstLine="567"/>
        <w:rPr>
          <w:b/>
          <w:sz w:val="28"/>
          <w:szCs w:val="28"/>
          <w:lang w:val="it-IT"/>
        </w:rPr>
      </w:pPr>
      <w:r w:rsidRPr="00761175">
        <w:rPr>
          <w:b/>
          <w:sz w:val="28"/>
          <w:szCs w:val="28"/>
          <w:lang w:val="it-IT"/>
        </w:rPr>
        <w:t xml:space="preserve">IV. Các bản vẽ: </w:t>
      </w:r>
      <w:r w:rsidRPr="00761175">
        <w:rPr>
          <w:bCs/>
          <w:sz w:val="28"/>
          <w:szCs w:val="28"/>
          <w:lang w:val="it-IT"/>
        </w:rPr>
        <w:t>Được đính kèm cùng E-HSMT trên Hệ thống.</w:t>
      </w:r>
    </w:p>
    <w:bookmarkEnd w:id="0"/>
    <w:p w14:paraId="2AD584F3" w14:textId="77777777" w:rsidR="00A9412F" w:rsidRPr="00761175" w:rsidRDefault="00A9412F" w:rsidP="00A9412F">
      <w:pPr>
        <w:widowControl w:val="0"/>
        <w:tabs>
          <w:tab w:val="left" w:pos="1418"/>
          <w:tab w:val="left" w:pos="2127"/>
        </w:tabs>
        <w:spacing w:before="120" w:after="120" w:line="264" w:lineRule="auto"/>
        <w:ind w:firstLine="567"/>
        <w:rPr>
          <w:i/>
          <w:sz w:val="28"/>
          <w:szCs w:val="28"/>
        </w:rPr>
      </w:pPr>
    </w:p>
    <w:p w14:paraId="5C5A1E1D" w14:textId="77777777" w:rsidR="00A9412F" w:rsidRPr="00761175" w:rsidRDefault="00A9412F" w:rsidP="00A9412F">
      <w:pPr>
        <w:widowControl w:val="0"/>
        <w:tabs>
          <w:tab w:val="left" w:pos="1418"/>
          <w:tab w:val="left" w:pos="2127"/>
        </w:tabs>
        <w:spacing w:before="120" w:after="120" w:line="264" w:lineRule="auto"/>
        <w:ind w:firstLine="567"/>
        <w:rPr>
          <w:i/>
          <w:sz w:val="28"/>
          <w:szCs w:val="28"/>
        </w:rPr>
      </w:pPr>
    </w:p>
    <w:p w14:paraId="65BABC1D" w14:textId="77777777" w:rsidR="00A9412F" w:rsidRDefault="00A9412F"/>
    <w:sectPr w:rsidR="00A94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2F"/>
    <w:rsid w:val="00A9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DB83"/>
  <w15:chartTrackingRefBased/>
  <w15:docId w15:val="{D7470A5F-EC83-4954-A116-589917FC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12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A9412F"/>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3352</Words>
  <Characters>19113</Characters>
  <Application>Microsoft Office Word</Application>
  <DocSecurity>0</DocSecurity>
  <Lines>159</Lines>
  <Paragraphs>44</Paragraphs>
  <ScaleCrop>false</ScaleCrop>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2026-06-17T01:44:00Z</dcterms:created>
  <dcterms:modified xsi:type="dcterms:W3CDTF">2026-06-17T01:46:00Z</dcterms:modified>
</cp:coreProperties>
</file>