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F0DE" w14:textId="77777777" w:rsidR="005933F7" w:rsidRPr="005933F7" w:rsidRDefault="005933F7" w:rsidP="005933F7">
      <w:pPr>
        <w:suppressAutoHyphens/>
        <w:spacing w:before="60" w:after="60" w:line="288" w:lineRule="auto"/>
        <w:jc w:val="center"/>
        <w:outlineLvl w:val="0"/>
        <w:rPr>
          <w:rFonts w:eastAsia="Times New Roman" w:cs="Times New Roman"/>
          <w:b/>
          <w:kern w:val="0"/>
          <w:sz w:val="28"/>
          <w:szCs w:val="20"/>
          <w14:ligatures w14:val="none"/>
        </w:rPr>
      </w:pPr>
      <w:bookmarkStart w:id="0" w:name="_Toc154510933"/>
      <w:r w:rsidRPr="005933F7">
        <w:rPr>
          <w:rFonts w:eastAsia="Times New Roman" w:cs="Times New Roman"/>
          <w:b/>
          <w:kern w:val="0"/>
          <w:sz w:val="28"/>
          <w:szCs w:val="20"/>
          <w14:ligatures w14:val="none"/>
        </w:rPr>
        <w:t>CHƯƠNG V. ĐIỀU KHOẢN THAM CHIẾU</w:t>
      </w:r>
      <w:bookmarkEnd w:id="0"/>
    </w:p>
    <w:p w14:paraId="59D968C9" w14:textId="77777777" w:rsidR="005933F7" w:rsidRPr="005933F7" w:rsidRDefault="005933F7" w:rsidP="005933F7">
      <w:pPr>
        <w:spacing w:before="60" w:after="60" w:line="240" w:lineRule="auto"/>
        <w:ind w:firstLine="720"/>
        <w:jc w:val="both"/>
        <w:rPr>
          <w:rFonts w:eastAsia="Times New Roman" w:cs="Times New Roman"/>
          <w:bCs/>
          <w:i/>
          <w:iCs/>
          <w:kern w:val="0"/>
          <w:sz w:val="28"/>
          <w:szCs w:val="28"/>
          <w14:ligatures w14:val="none"/>
        </w:rPr>
      </w:pPr>
    </w:p>
    <w:p w14:paraId="0495D5D8" w14:textId="77777777" w:rsidR="005933F7" w:rsidRPr="005933F7" w:rsidRDefault="005933F7" w:rsidP="005933F7">
      <w:pPr>
        <w:spacing w:before="60" w:after="60" w:line="240" w:lineRule="auto"/>
        <w:ind w:firstLine="720"/>
        <w:jc w:val="both"/>
        <w:rPr>
          <w:rFonts w:eastAsia="Times New Roman" w:cs="Times New Roman"/>
          <w:i/>
          <w:iCs/>
          <w:kern w:val="0"/>
          <w:sz w:val="28"/>
          <w:szCs w:val="28"/>
          <w14:ligatures w14:val="none"/>
        </w:rPr>
      </w:pPr>
      <w:r w:rsidRPr="005933F7">
        <w:rPr>
          <w:rFonts w:eastAsia="Times New Roman" w:cs="Times New Roman"/>
          <w:bCs/>
          <w:i/>
          <w:iCs/>
          <w:kern w:val="0"/>
          <w:sz w:val="28"/>
          <w:szCs w:val="28"/>
          <w14:ligatures w14:val="none"/>
        </w:rPr>
        <w:t>“Điều khoản tham chiếu" bao gồm những nội dung chủ yếu sau:</w:t>
      </w:r>
    </w:p>
    <w:p w14:paraId="03396563"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bidi="vi-VN"/>
          <w14:ligatures w14:val="none"/>
        </w:rPr>
      </w:pPr>
      <w:r w:rsidRPr="005933F7">
        <w:rPr>
          <w:rFonts w:eastAsia="Times New Roman" w:cs="Times New Roman"/>
          <w:b/>
          <w:bCs/>
          <w:iCs/>
          <w:kern w:val="0"/>
          <w:sz w:val="28"/>
          <w:szCs w:val="28"/>
          <w:lang w:val="it-IT" w:bidi="vi-VN"/>
          <w14:ligatures w14:val="none"/>
        </w:rPr>
        <w:t>I. Giới thiệu</w:t>
      </w:r>
    </w:p>
    <w:p w14:paraId="4BF336FE"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bidi="vi-VN"/>
          <w14:ligatures w14:val="none"/>
        </w:rPr>
      </w:pPr>
      <w:r w:rsidRPr="005933F7">
        <w:rPr>
          <w:rFonts w:eastAsia="Times New Roman" w:cs="Times New Roman"/>
          <w:b/>
          <w:bCs/>
          <w:iCs/>
          <w:kern w:val="0"/>
          <w:sz w:val="28"/>
          <w:szCs w:val="28"/>
          <w:lang w:val="it-IT" w:bidi="vi-VN"/>
          <w14:ligatures w14:val="none"/>
        </w:rPr>
        <w:t>1. Giới thiệu về dự án:</w:t>
      </w:r>
    </w:p>
    <w:p w14:paraId="4C9198AC" w14:textId="77777777" w:rsidR="005933F7" w:rsidRPr="005933F7" w:rsidRDefault="005933F7" w:rsidP="005933F7">
      <w:pPr>
        <w:spacing w:before="120" w:after="120" w:line="240" w:lineRule="auto"/>
        <w:ind w:firstLine="567"/>
        <w:jc w:val="both"/>
        <w:rPr>
          <w:rFonts w:eastAsia="Times New Roman" w:cs="Times New Roman"/>
          <w:b/>
          <w:bCs/>
          <w:iCs/>
          <w:spacing w:val="-2"/>
          <w:kern w:val="0"/>
          <w:sz w:val="28"/>
          <w:szCs w:val="28"/>
          <w:lang w:val="it-IT"/>
          <w14:ligatures w14:val="none"/>
        </w:rPr>
      </w:pPr>
      <w:r w:rsidRPr="005933F7">
        <w:rPr>
          <w:rFonts w:eastAsia="Times New Roman" w:cs="Times New Roman"/>
          <w:b/>
          <w:bCs/>
          <w:iCs/>
          <w:spacing w:val="-2"/>
          <w:kern w:val="0"/>
          <w:sz w:val="28"/>
          <w:szCs w:val="28"/>
          <w:lang w:val="it-IT" w:bidi="vi-VN"/>
          <w14:ligatures w14:val="none"/>
        </w:rPr>
        <w:t xml:space="preserve">- Tên dự án: </w:t>
      </w:r>
      <w:r w:rsidRPr="005933F7">
        <w:rPr>
          <w:rFonts w:eastAsia="Times New Roman" w:cs="Times New Roman"/>
          <w:bCs/>
          <w:iCs/>
          <w:color w:val="0000FF"/>
          <w:spacing w:val="-2"/>
          <w:kern w:val="0"/>
          <w:sz w:val="28"/>
          <w:szCs w:val="28"/>
          <w:lang w:val="it-IT"/>
          <w14:ligatures w14:val="none"/>
        </w:rPr>
        <w:t>Dự án thành phần 2: Đầu tư xây dựng mới các công trình mở rộng, nâng cấp Bệnh viện Việt Nam - Thụy Điển</w:t>
      </w:r>
      <w:r w:rsidRPr="005933F7">
        <w:rPr>
          <w:rFonts w:eastAsia="Times New Roman" w:cs="Times New Roman"/>
          <w:bCs/>
          <w:iCs/>
          <w:spacing w:val="-2"/>
          <w:kern w:val="0"/>
          <w:sz w:val="28"/>
          <w:szCs w:val="28"/>
          <w:lang w:val="it-IT"/>
          <w14:ligatures w14:val="none"/>
        </w:rPr>
        <w:t>.</w:t>
      </w:r>
    </w:p>
    <w:p w14:paraId="089AECA2" w14:textId="77777777" w:rsidR="005933F7" w:rsidRPr="005933F7" w:rsidRDefault="005933F7" w:rsidP="005933F7">
      <w:pPr>
        <w:spacing w:before="120" w:after="120" w:line="240" w:lineRule="auto"/>
        <w:ind w:firstLine="567"/>
        <w:jc w:val="both"/>
        <w:rPr>
          <w:rFonts w:eastAsia="Times New Roman" w:cs="Times New Roman"/>
          <w:bCs/>
          <w:iCs/>
          <w:spacing w:val="-4"/>
          <w:kern w:val="0"/>
          <w:sz w:val="28"/>
          <w:szCs w:val="28"/>
          <w:lang w:val="it-IT" w:bidi="vi-VN"/>
          <w14:ligatures w14:val="none"/>
        </w:rPr>
      </w:pPr>
      <w:r w:rsidRPr="005933F7">
        <w:rPr>
          <w:rFonts w:eastAsia="Times New Roman" w:cs="Times New Roman"/>
          <w:b/>
          <w:bCs/>
          <w:iCs/>
          <w:spacing w:val="-4"/>
          <w:kern w:val="0"/>
          <w:sz w:val="28"/>
          <w:szCs w:val="28"/>
          <w:lang w:val="it-IT" w:bidi="vi-VN"/>
          <w14:ligatures w14:val="none"/>
        </w:rPr>
        <w:t xml:space="preserve">- Chủ đầu tư: </w:t>
      </w:r>
      <w:r w:rsidRPr="005933F7">
        <w:rPr>
          <w:rFonts w:eastAsia="Times New Roman" w:cs="Times New Roman"/>
          <w:bCs/>
          <w:iCs/>
          <w:color w:val="0000FF"/>
          <w:spacing w:val="-4"/>
          <w:kern w:val="0"/>
          <w:sz w:val="28"/>
          <w:szCs w:val="28"/>
          <w:lang w:val="it-IT"/>
          <w14:ligatures w14:val="none"/>
        </w:rPr>
        <w:t>Ban Quản lý dự án đầu tư xây dựng khu vực I tỉnh Quảng Ninh</w:t>
      </w:r>
      <w:r w:rsidRPr="005933F7">
        <w:rPr>
          <w:rFonts w:eastAsia="Times New Roman" w:cs="Times New Roman"/>
          <w:bCs/>
          <w:iCs/>
          <w:spacing w:val="-4"/>
          <w:kern w:val="0"/>
          <w:sz w:val="28"/>
          <w:szCs w:val="28"/>
          <w:lang w:val="it-IT" w:bidi="vi-VN"/>
          <w14:ligatures w14:val="none"/>
        </w:rPr>
        <w:t>.</w:t>
      </w:r>
    </w:p>
    <w:p w14:paraId="3A74B6C7" w14:textId="77777777" w:rsidR="005933F7" w:rsidRPr="005933F7" w:rsidRDefault="005933F7" w:rsidP="005933F7">
      <w:pPr>
        <w:spacing w:before="120" w:after="120" w:line="240" w:lineRule="auto"/>
        <w:ind w:firstLine="567"/>
        <w:jc w:val="both"/>
        <w:rPr>
          <w:rFonts w:eastAsia="Times New Roman" w:cs="Times New Roman"/>
          <w:b/>
          <w:iCs/>
          <w:kern w:val="0"/>
          <w:sz w:val="28"/>
          <w:szCs w:val="28"/>
          <w:lang w:val="it-IT" w:bidi="vi-VN"/>
          <w14:ligatures w14:val="none"/>
        </w:rPr>
      </w:pPr>
      <w:r w:rsidRPr="005933F7">
        <w:rPr>
          <w:rFonts w:eastAsia="Times New Roman" w:cs="Times New Roman"/>
          <w:b/>
          <w:iCs/>
          <w:kern w:val="0"/>
          <w:sz w:val="28"/>
          <w:szCs w:val="28"/>
          <w:lang w:val="it-IT" w:bidi="vi-VN"/>
          <w14:ligatures w14:val="none"/>
        </w:rPr>
        <w:t>- Mục tiêu đầu tư:</w:t>
      </w:r>
    </w:p>
    <w:p w14:paraId="2A94C56A" w14:textId="77777777" w:rsidR="005933F7" w:rsidRPr="005933F7" w:rsidRDefault="005933F7" w:rsidP="005933F7">
      <w:pPr>
        <w:spacing w:before="120" w:after="120" w:line="240" w:lineRule="auto"/>
        <w:ind w:firstLine="567"/>
        <w:jc w:val="both"/>
        <w:rPr>
          <w:rFonts w:eastAsia="Times New Roman" w:cs="Times New Roman"/>
          <w:bCs/>
          <w:iCs/>
          <w:color w:val="0000FF"/>
          <w:kern w:val="0"/>
          <w:sz w:val="28"/>
          <w:szCs w:val="28"/>
          <w:lang w:val="vi-VN"/>
          <w14:ligatures w14:val="none"/>
        </w:rPr>
      </w:pPr>
      <w:r w:rsidRPr="005933F7">
        <w:rPr>
          <w:rFonts w:eastAsia="Times New Roman" w:cs="Times New Roman"/>
          <w:bCs/>
          <w:iCs/>
          <w:color w:val="0000FF"/>
          <w:kern w:val="0"/>
          <w:sz w:val="28"/>
          <w:szCs w:val="28"/>
          <w:lang w:val="it-IT"/>
          <w14:ligatures w14:val="none"/>
        </w:rPr>
        <w:t>+</w:t>
      </w:r>
      <w:r w:rsidRPr="005933F7">
        <w:rPr>
          <w:rFonts w:eastAsia="Times New Roman" w:cs="Times New Roman"/>
          <w:bCs/>
          <w:iCs/>
          <w:color w:val="0000FF"/>
          <w:kern w:val="0"/>
          <w:sz w:val="28"/>
          <w:szCs w:val="28"/>
          <w:lang w:val="vi-VN"/>
          <w14:ligatures w14:val="none"/>
        </w:rPr>
        <w:t xml:space="preserve"> Đầu tư Bệnh viện Việt Nam - Thụy Điển Uông Bí nhằm thực hiện hóa định hướng xây dựng tỉnh Quảng Ninh thành một trong nhưng trung tâm dịch vụ kỹ thuật cao của cả nước để góp phần thúc đẩy phát triển du lịch, cụ thể hóa Quy hoạch tỉnh Quảng Ninh thời kỳ 2021 - 2030, tầm nhìn đến năm 2025 được Thủ tướng Chính phủ phê duyệt tại Quyết định số 80/QĐ-TTg ngày 11/02/2023.</w:t>
      </w:r>
    </w:p>
    <w:p w14:paraId="2866342C" w14:textId="77777777" w:rsidR="005933F7" w:rsidRPr="005933F7" w:rsidRDefault="005933F7" w:rsidP="005933F7">
      <w:pPr>
        <w:spacing w:before="120" w:after="120" w:line="240" w:lineRule="auto"/>
        <w:ind w:firstLine="567"/>
        <w:jc w:val="both"/>
        <w:rPr>
          <w:rFonts w:eastAsia="Times New Roman" w:cs="Times New Roman"/>
          <w:bCs/>
          <w:iCs/>
          <w:color w:val="0000FF"/>
          <w:kern w:val="0"/>
          <w:sz w:val="28"/>
          <w:szCs w:val="28"/>
          <w:lang w:val="vi-VN"/>
          <w14:ligatures w14:val="none"/>
        </w:rPr>
      </w:pPr>
      <w:r w:rsidRPr="005933F7">
        <w:rPr>
          <w:rFonts w:eastAsia="Times New Roman" w:cs="Times New Roman"/>
          <w:bCs/>
          <w:iCs/>
          <w:color w:val="0000FF"/>
          <w:kern w:val="0"/>
          <w:sz w:val="28"/>
          <w:szCs w:val="28"/>
          <w:lang w:val="vi-VN"/>
          <w14:ligatures w14:val="none"/>
        </w:rPr>
        <w:t>+ Xây dựng, phát triển Bệnh viện Việt Nam - Thụy Điển Uông Bí đến năm 2030 trở thành bệnh viện đa khoa tuyến cuối của tỉnh, là Trung tâm Y học phát triển của Vùng Đông Bắc và cả nước. Bệnh viện có cơ sở vật chất, trang thiết bị hiện đại ngang tầm với các nước trong khu vực để khám, chữa bệnh với chất lượng cao cho nhân dân, góp phần xây dựng hệ thống y tế tỉnh Quảng Ninh theo hướng công bằng, hiệu quả và phát triển. Đồng thời, là cơ sở đào tạo nguồn nhân lực ngành y tế chất lượng cao, uy tín đáp ứng nhu cầu trong nước và quốc tế.</w:t>
      </w:r>
    </w:p>
    <w:p w14:paraId="73EC4C74"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bidi="vi-VN"/>
          <w14:ligatures w14:val="none"/>
        </w:rPr>
      </w:pPr>
      <w:bookmarkStart w:id="1" w:name="bookmark2"/>
      <w:r w:rsidRPr="005933F7">
        <w:rPr>
          <w:rFonts w:eastAsia="Times New Roman" w:cs="Times New Roman"/>
          <w:b/>
          <w:bCs/>
          <w:iCs/>
          <w:kern w:val="0"/>
          <w:sz w:val="28"/>
          <w:szCs w:val="28"/>
          <w:lang w:val="it-IT" w:bidi="vi-VN"/>
          <w14:ligatures w14:val="none"/>
        </w:rPr>
        <w:t>- Nội dung và quy mô đầu tư xây dựng</w:t>
      </w:r>
      <w:bookmarkEnd w:id="1"/>
      <w:r w:rsidRPr="005933F7">
        <w:rPr>
          <w:rFonts w:eastAsia="Times New Roman" w:cs="Times New Roman"/>
          <w:b/>
          <w:bCs/>
          <w:iCs/>
          <w:kern w:val="0"/>
          <w:sz w:val="28"/>
          <w:szCs w:val="28"/>
          <w:lang w:val="it-IT" w:bidi="vi-VN"/>
          <w14:ligatures w14:val="none"/>
        </w:rPr>
        <w:t xml:space="preserve">: </w:t>
      </w:r>
    </w:p>
    <w:p w14:paraId="4B3E017D"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1. Các hạng mục công trình chính: Nhà khám, chữa bệnh, điều trị (ký hiệu M1 trên Tổng mặt bằng):</w:t>
      </w:r>
    </w:p>
    <w:p w14:paraId="24CC0249"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a. Kiến trúc và tổ chức mặt bằng:</w:t>
      </w:r>
    </w:p>
    <w:p w14:paraId="4180773F"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Thiết kế mặt bằng công trình với giao thông ngang chủ yếu sử dụng hành lang giữa, giao thông đứng thiết kế cầu thang bộ, thang máy; quy mô bố trí tổng khoảng 680 giường bệnh; tổ chức mặt bằng các tầng công trình như sau:</w:t>
      </w:r>
    </w:p>
    <w:p w14:paraId="786B85B9"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hầm: Bố trí khoa Dược; khoa Kiểm soát nhiễm khuẩn; khoa Dinh dưỡng; các kho vật tư - thiết bị y tế; lối giao thông xuống hầm; các phòng công năng khác; phòng kỹ thuật tòa nhà.</w:t>
      </w:r>
    </w:p>
    <w:p w14:paraId="4FF6023E"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xml:space="preserve"> - Tầng 01: Bố trí sảnh chính; khoa Khám bệnh; khoa Chẩn đoán hình ảnh; khoa Thăm dò chức năng; khoa Cấp cứu; các phòng công năng khác; phòng kỹ thuật tòa nhà.</w:t>
      </w:r>
    </w:p>
    <w:p w14:paraId="2BC0DE10"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02: Bố trí sảnh tầng; khoa Phẫu thuật, gây mê hồi sức, phòng mổ; khu vực Hồi sức ngoại; khu sàn kỹ thuật (cho phòng mổ); các phòng công năng khác; phòng kỹ thuật tòa nhà.</w:t>
      </w:r>
    </w:p>
    <w:p w14:paraId="2113E7FA"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lastRenderedPageBreak/>
        <w:t xml:space="preserve"> - Tầng 03: Bố trí sảnh tầng; khoa Sản; khoa Sơ sinh; khu sàn kỹ thuật (cho hệ thống xử lý không khí); các phòng công năng khác; phòng kỹ thuật tòa nhà. </w:t>
      </w:r>
    </w:p>
    <w:p w14:paraId="13B72555"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04: Bố trí sảnh tầng; khoa Phụ khoa; khoa Ngoại thần kinh; các phòng công năng khác; phòng kỹ thuật tòa nhà.</w:t>
      </w:r>
    </w:p>
    <w:p w14:paraId="741FFA9A"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05: Bố trí sảnh tầng; khoa Phẫu thuật can thiệp tim mạch, lồng ngực; Khoa Phẫu trị (phẫu thuật cho bệnh nhân ung bướu); các phòng công năng khác; phòng kỹ thuật tòa nhà.</w:t>
      </w:r>
    </w:p>
    <w:p w14:paraId="09DDE627"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xml:space="preserve">- Tầng 06: Bố trí sảnh tầng; khoa Chấn thương chỉnh hình, bỏng; các phòng công năng khác; phòng kỹ thuật tòa nhà. </w:t>
      </w:r>
    </w:p>
    <w:p w14:paraId="20D3118E"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07: Bố trí sảnh tầng; khoa Ngoại thận, tiết niệu; khoa Ngoại tiêu hóa, tổng hợp; các phòng công năng khác; phòng kỹ thuật tòa nhà.</w:t>
      </w:r>
    </w:p>
    <w:p w14:paraId="5C552E94"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Tầng 08: Bố trí sảnh tầng; khu vực Xét nghiệm; Khoa sản; khu vực hành chính của bệnh viện; các phòng công năng khác; phòng kỹ thuật tòa nhà.</w:t>
      </w:r>
    </w:p>
    <w:p w14:paraId="4AE8D43C"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xml:space="preserve">- Tum kỹ thuật: Bố trí các hạng mục kỹ thuật tòa nhà. </w:t>
      </w:r>
    </w:p>
    <w:p w14:paraId="6122CDEC"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xml:space="preserve">b. Giải pháp kết cấu và hoàn thiện công trình: </w:t>
      </w:r>
    </w:p>
    <w:p w14:paraId="0F42C58E"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Giải pháp kết cấu: Phần móng thiết kế chủ yếu phương án móng bằng bê tông cốt thép, lót móng bằng bê tông xi măng; phần thân thiết kế chủ yếu sử dụng giải pháp khung (cột, dầm), sàn bằng bê tông cốt thép đổ toàn khối; tường bao và ngăn các phòng xây gạch vữa xi măng,...</w:t>
      </w:r>
    </w:p>
    <w:p w14:paraId="0FA1A4DE"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Giải pháp hoàn thiện công trình: Tường, trần trong và ngoài nhà trát vữa xi măng, sơn trong và ngoài nhà theo màu chỉ định; mặt đứng công trình kết hợp sơn hoàn thiện các màu, lắp đặt các vách kính, lam nhôm, ốp đá và vật liệu hoàn thiện khác đáp ứng yêu cầu kiến trúc; nền, sàn các tầng lát gạch kích thước viên 600x600, 800x800,...; bậc sảnh, bậc cầu thang ốp lát đá Granite; khu vệ sinh nền lát gạch chống trơn, tường khu vệ sinh ốp gạch men kính; nền, sàn, trần các phòng công năng chuyên dụng thiết kế hoàn thiện đảm bảo yêu cầu kỹ thuật. Hệ thống cửa đi, cửa sổ, vách dùng hệ khung nhôm kính an toàn, cửa thép chống cháy sơn tĩnh điện,... cho các phòng theo công năng sử dụng; chống thấm sê nô mái và một số vị trí khác theo yêu cầu kỹ thuật...</w:t>
      </w:r>
    </w:p>
    <w:p w14:paraId="473E88AD"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c. Giải pháp thiết kế kỹ thuật trong công trình: Thiết kế hệ thống cấp điện, chiếu sáng, lắp đặt thiết bị điện, điện nhẹ, điều hòa, thông gió, chống sét, phòng cháy chữa cháy, các hệ thống công nghệ đặc thù của bệnh viện (khí y tế, khí sạch, vận chuyển mẫu bệnh phẩm, nội thất phòng mổ... các hệ thống khác...),... trang thiết bị xây dựng công trình; hệ thống cấp nước, thoát nước công trình; lắp đặt một số thiết bị đồ rời, nội thất, thiết bị y tế chuyên dùng; các giải pháp thiết kế hệ thống kỹ thuật khác của công trình đồng bộ, theo yêu cầu sử dụng</w:t>
      </w:r>
    </w:p>
    <w:p w14:paraId="450E3F3F"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2. Hạng mục công trình phụ trợ và hạ tầng kỹ thuật</w:t>
      </w:r>
    </w:p>
    <w:p w14:paraId="4E9D2B07"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xml:space="preserve">a. Nhà trung tâm khí y tế (ký hiệu M3 trên Tổng mặt bằng): Thiết kế hạng mục công trình cao 01 tầng, diện tích xây dựng khoảng 200m2; công năng bố trí </w:t>
      </w:r>
      <w:r w:rsidRPr="005933F7">
        <w:rPr>
          <w:rFonts w:eastAsia="Times New Roman" w:cs="Times New Roman"/>
          <w:iCs/>
          <w:color w:val="FF0000"/>
          <w:kern w:val="0"/>
          <w:sz w:val="28"/>
          <w:szCs w:val="28"/>
          <w:lang w:val="it-IT" w:bidi="vi-VN"/>
          <w14:ligatures w14:val="none"/>
        </w:rPr>
        <w:lastRenderedPageBreak/>
        <w:t>thiết bị khí y tế. Thiết kế đồng bộ hệ thống kỹ thuật công trình theo yêu cầu sử dụng.</w:t>
      </w:r>
    </w:p>
    <w:p w14:paraId="7E888EE5"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b. Nhà bơm (ký hiệu M4 trên Tổng mặt bằng): Thiết kế hạng mục công trình cao 01 tầng, diện tích xây dựng khoảng 62m2; công năng bố trí thiết bị bơm (nước sạch và PCCC). Thiết kế đồng bộ hệ thống kỹ thuật công trình theo yêu cầu sử dụng.</w:t>
      </w:r>
    </w:p>
    <w:p w14:paraId="57DEE1D9"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c. Nhà tập kết rác thải (ký hiệu M6 trên Tổng mặt bằng) và Nhà nghiền rác (ký hiệu M7 trên Tổng mặt bằng): Thiết kế hạng mục công trình cao 01 tầng; diện tích xây dựng Nhà tập kết rác thải khoảng 62m2, công năng bố trí tập kết rác thải; diện tích xây dựng Nhà nghiền rác khoảng 62m2, công năng bố trí xử lý rác. Thiết kế đồng bộ hệ thống kỹ thuật công trình theo yêu cầu sử dụng.</w:t>
      </w:r>
    </w:p>
    <w:p w14:paraId="1C8B2903"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d. Khu nhà điều hành xử lý nước thải (ký hiệu M8 trên Tổng mặt bằng): Thiết kế 02 hạng mục công trình cao 01 tầng, tổng diện tích xây dựng khoảng 86m2; công năng bố trí điều khiển, vận hành khu xử lý nước thải. Thiết kế đồng bộ hệ thống kỹ thuật công trình theo yêu cầu sử dụng.</w:t>
      </w:r>
    </w:p>
    <w:p w14:paraId="21B11023"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e. Nhà cầu xây mới (ký hiệu M9 trên Tổng mặt bằng): Thiết kế hạng mục công trình cao 01 tầng, diện tích xây dựng khoảng 409m2; công năng kết nối Nhà khám, chữa bệnh, điều trị xây mới và Tòa nhà Trung tâm ung bướu, điều trị nội trú. Thiết kế đồng bộ hệ thống kỹ thuật công trình theo yêu cầu sử dụng.</w:t>
      </w:r>
    </w:p>
    <w:p w14:paraId="20C4E376"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f. Nhà bảo vệ (ký hiệu M10 trên Tổng mặt bằng): Thiết kế 02 hạng mục công trình cao 01 tầng, diện tích xây dựng khoảng 22,5m2; công năng bố trí trực, bảo vệ. Thiết kế đồng bộ hệ thống kỹ thuật công trình theo yêu cầu sử dụng.</w:t>
      </w:r>
    </w:p>
    <w:p w14:paraId="3C56EA0D"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g. Nhà đặt trạm biến áp, máy phát điện (ký hiệu M2 trên Tổng mặt bằng): Thiết kế hạng mục công trình cao 01 tầng, diện tích xây dựng khoảng 368,5m2; công năng bố trí đặt máy phát điện, trạm biến áp. Thiết kế đồng bộ hệ thống kỹ thuật công trình theo yêu cầu sử dụng.</w:t>
      </w:r>
    </w:p>
    <w:p w14:paraId="6D5DD9CC"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h. Công trình phụ trợ khác và hạ tầng kỹ thuật ngoài nhà chủ yếu:</w:t>
      </w:r>
    </w:p>
    <w:p w14:paraId="44796896"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San nền; sân đường nội bộ, đường đấu nối; cổng tườn rào:</w:t>
      </w:r>
    </w:p>
    <w:p w14:paraId="00AE178A"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San nền khu đất: Trong phạm vi ranh giới khu đất dự án theo quy hoạch được phê duyệt, cao độ san nền theo quy hoạch được phê duyệt phù hợp hiện trạng khu vực; thiết kế xử lý chênh cốt một số vị trí đảm bảo yêu cầu sử dụng, thoát nước, đất san nền được đầm chặt theo yêu cầu kỹ thuật.</w:t>
      </w:r>
    </w:p>
    <w:p w14:paraId="31C9C2D4"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Sân đường nội bộ, đấu nối: Thiết kế đồng bộ sân đường giao thông nội bộ, đấu nối, bãi đỗ xe; kết cấu mặt sân nội bộ bằng bê tông xi măng (thiết kế khe dãn, khe co cho kết cấu mặt bê tông xi măng đảm bảo theo yêu cầu kỹ thuật) kết hợp thảm bê tông nhựa, vỉa hè lát gạch hoàn thiện, bó vỉa hè sử dụng viên bó vỉa vát bằng đá xẻ,...; thiết kế trồng một số cây xanh, thảm cỏ theo quy hoạch.</w:t>
      </w:r>
    </w:p>
    <w:p w14:paraId="2444139D"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Hệ thống cổng, tường rào: Thiết kế cổng chính và một số tuyến tường rào xung quanh ranh giới khu đất.</w:t>
      </w:r>
    </w:p>
    <w:p w14:paraId="62B12FC8"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lastRenderedPageBreak/>
        <w:t>- Cấp nước: Nguồn nước cấp cho dự án được đấu nối với hệ thống cấp nước của khu vực hiện trạng, qua tuyến ống cấp nước đến bể nước ngầm, sau đó bơm lên téc nước mái qua tuyến ống cấp nước sạch để cấp tới các khu vực dùng nước bên trong công trình. Thiết kế bể chứa nước sạch (bể ngầm) bằng BTCT đổ toàn khối; mặt ngoài thành bể ngập trong đất được quét lớp bitum trước khi lấp đất thành bể; trát, láng mặt trong vữa xi măng, đánh màu bằng xi măng nguyên chất.</w:t>
      </w:r>
    </w:p>
    <w:p w14:paraId="428307A0"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Thoát nước mặt: Thoát nước mưa theo nguyên tắc tự chảy; nước mưa được thu gom từ mái các hạng mục công trình, thoát ra hệ thống thoát nước chung bằng hệ thống ống dẫn thoát nước chôn ngầm đất, sau đó thoát ra rãnh thoát dọc xung quanh hạng mục công trình; thiết kế chủ yếu với các tuyến cống thoát nước chạy dọc mép sân, đường giao thông, xung quanh các khối công trình thu nước mặt sân và trên mái công trình, thoát ra hệ thống thoát nước khu vực.</w:t>
      </w:r>
    </w:p>
    <w:p w14:paraId="37C85FF0" w14:textId="77777777" w:rsidR="005933F7" w:rsidRPr="005933F7" w:rsidRDefault="005933F7" w:rsidP="005933F7">
      <w:pPr>
        <w:spacing w:before="120" w:after="120" w:line="240" w:lineRule="auto"/>
        <w:ind w:firstLine="567"/>
        <w:jc w:val="both"/>
        <w:rPr>
          <w:rFonts w:eastAsia="Times New Roman" w:cs="Times New Roman"/>
          <w:iCs/>
          <w:color w:val="FF0000"/>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Thoát nước thải: Hệ thống thoát nước thải được tách riêng hệ thống thoát nước mưa. Nước thải gồm nước thải y tế và nước thải sinh hoạt, sau khi xử lý sơ bộ qua hệ thống bể kỹ thuật,... được dẫn bằng hệ thống ống dẫn thoát nước chôn ngầm đất ra hệ thống thoát nước chung. Bố trí tuyến ống nước thu gom nước thải dẫn về khu vực đặt Hệ thống xử lý nước thải chung của dự án, nước thải sau xử lý đảm bảo quy định được đấu nối thoát vào hệ thống thoát nước chung hiện trạng.</w:t>
      </w:r>
    </w:p>
    <w:p w14:paraId="1D1559B9"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bidi="vi-VN"/>
          <w14:ligatures w14:val="none"/>
        </w:rPr>
      </w:pPr>
      <w:r w:rsidRPr="005933F7">
        <w:rPr>
          <w:rFonts w:eastAsia="Times New Roman" w:cs="Times New Roman"/>
          <w:iCs/>
          <w:color w:val="FF0000"/>
          <w:kern w:val="0"/>
          <w:sz w:val="28"/>
          <w:szCs w:val="28"/>
          <w:lang w:val="it-IT" w:bidi="vi-VN"/>
          <w14:ligatures w14:val="none"/>
        </w:rPr>
        <w:t>- Hệ thống phòng cháy chữa cháy, điện nhẹ ngoài nhà và hạ tầng kỹ thuật khác: Thiết kế hệ thống phòng cháy chữa cháy; thiết kế đồng bộ hệ thống cấp tín hiệu từ tủ trung tâm của bệnh viện đến cho các hạng mục để đảm bảo yêu cầu sử dụng; thiết kế các hạng mục, hạ tầng kỹ thuật khác theo yêu cầu dự án.</w:t>
      </w:r>
    </w:p>
    <w:p w14:paraId="571FD863"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it-IT"/>
          <w14:ligatures w14:val="none"/>
        </w:rPr>
      </w:pPr>
      <w:r w:rsidRPr="005933F7">
        <w:rPr>
          <w:rFonts w:eastAsia="Times New Roman" w:cs="Times New Roman"/>
          <w:b/>
          <w:bCs/>
          <w:iCs/>
          <w:kern w:val="0"/>
          <w:sz w:val="28"/>
          <w:szCs w:val="28"/>
          <w:lang w:val="it-IT"/>
          <w14:ligatures w14:val="none"/>
        </w:rPr>
        <w:t>-</w:t>
      </w:r>
      <w:r w:rsidRPr="005933F7">
        <w:rPr>
          <w:rFonts w:eastAsia="Times New Roman" w:cs="Times New Roman"/>
          <w:b/>
          <w:bCs/>
          <w:iCs/>
          <w:kern w:val="0"/>
          <w:sz w:val="28"/>
          <w:szCs w:val="28"/>
          <w:lang w:val="it-IT" w:bidi="vi-VN"/>
          <w14:ligatures w14:val="none"/>
        </w:rPr>
        <w:t xml:space="preserve"> Địa điểm xây dựng: </w:t>
      </w:r>
      <w:r w:rsidRPr="005933F7">
        <w:rPr>
          <w:rFonts w:eastAsia="Times New Roman" w:cs="Times New Roman"/>
          <w:bCs/>
          <w:iCs/>
          <w:color w:val="0000FF"/>
          <w:kern w:val="0"/>
          <w:sz w:val="28"/>
          <w:szCs w:val="28"/>
          <w:lang w:val="it-IT"/>
          <w14:ligatures w14:val="none"/>
        </w:rPr>
        <w:t>phường Uông Bí, tỉnh Quảng Ninh</w:t>
      </w:r>
      <w:r w:rsidRPr="005933F7">
        <w:rPr>
          <w:rFonts w:eastAsia="Times New Roman" w:cs="Times New Roman"/>
          <w:bCs/>
          <w:iCs/>
          <w:kern w:val="0"/>
          <w:sz w:val="28"/>
          <w:szCs w:val="28"/>
          <w:lang w:val="it-IT"/>
          <w14:ligatures w14:val="none"/>
        </w:rPr>
        <w:t>.</w:t>
      </w:r>
    </w:p>
    <w:p w14:paraId="7BBD210F"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it-IT"/>
          <w14:ligatures w14:val="none"/>
        </w:rPr>
      </w:pPr>
      <w:r w:rsidRPr="005933F7">
        <w:rPr>
          <w:rFonts w:eastAsia="Times New Roman" w:cs="Times New Roman"/>
          <w:b/>
          <w:bCs/>
          <w:iCs/>
          <w:kern w:val="0"/>
          <w:sz w:val="28"/>
          <w:szCs w:val="28"/>
          <w:lang w:val="it-IT"/>
          <w14:ligatures w14:val="none"/>
        </w:rPr>
        <w:t xml:space="preserve">- Loại, cấp công trình: </w:t>
      </w:r>
      <w:r w:rsidRPr="005933F7">
        <w:rPr>
          <w:rFonts w:eastAsia="Times New Roman" w:cs="Times New Roman"/>
          <w:iCs/>
          <w:color w:val="0000FF"/>
          <w:kern w:val="0"/>
          <w:sz w:val="28"/>
          <w:szCs w:val="28"/>
          <w:lang w:val="it-IT"/>
          <w14:ligatures w14:val="none"/>
        </w:rPr>
        <w:t>Dự án nhóm B, công trình dân dụng, cấp I</w:t>
      </w:r>
      <w:r w:rsidRPr="005933F7">
        <w:rPr>
          <w:rFonts w:eastAsia="Times New Roman" w:cs="Times New Roman"/>
          <w:iCs/>
          <w:kern w:val="0"/>
          <w:sz w:val="28"/>
          <w:szCs w:val="28"/>
          <w:lang w:val="it-IT"/>
          <w14:ligatures w14:val="none"/>
        </w:rPr>
        <w:t>.</w:t>
      </w:r>
    </w:p>
    <w:p w14:paraId="21AA2726"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14:ligatures w14:val="none"/>
        </w:rPr>
      </w:pPr>
      <w:r w:rsidRPr="005933F7">
        <w:rPr>
          <w:rFonts w:eastAsia="Times New Roman" w:cs="Times New Roman"/>
          <w:b/>
          <w:bCs/>
          <w:iCs/>
          <w:kern w:val="0"/>
          <w:sz w:val="28"/>
          <w:szCs w:val="28"/>
          <w:lang w:val="it-IT"/>
          <w14:ligatures w14:val="none"/>
        </w:rPr>
        <w:t xml:space="preserve">- Thời gian thực hiện dự án: </w:t>
      </w:r>
      <w:r w:rsidRPr="005933F7">
        <w:rPr>
          <w:rFonts w:eastAsia="Times New Roman" w:cs="Times New Roman"/>
          <w:iCs/>
          <w:color w:val="0000FF"/>
          <w:kern w:val="0"/>
          <w:sz w:val="28"/>
          <w:szCs w:val="28"/>
          <w:lang w:val="it-IT"/>
          <w14:ligatures w14:val="none"/>
        </w:rPr>
        <w:t>Năm 2025 - 2029</w:t>
      </w:r>
      <w:r w:rsidRPr="005933F7">
        <w:rPr>
          <w:rFonts w:eastAsia="Times New Roman" w:cs="Times New Roman"/>
          <w:iCs/>
          <w:kern w:val="0"/>
          <w:sz w:val="28"/>
          <w:szCs w:val="28"/>
          <w:lang w:val="it-IT"/>
          <w14:ligatures w14:val="none"/>
        </w:rPr>
        <w:t>.</w:t>
      </w:r>
    </w:p>
    <w:p w14:paraId="17ACA976"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14:ligatures w14:val="none"/>
        </w:rPr>
      </w:pPr>
      <w:r w:rsidRPr="005933F7">
        <w:rPr>
          <w:rFonts w:eastAsia="Times New Roman" w:cs="Times New Roman"/>
          <w:b/>
          <w:bCs/>
          <w:iCs/>
          <w:kern w:val="0"/>
          <w:sz w:val="28"/>
          <w:szCs w:val="28"/>
          <w:lang w:val="it-IT"/>
          <w14:ligatures w14:val="none"/>
        </w:rPr>
        <w:t>2. Giới thiệu về gói thầu:</w:t>
      </w:r>
    </w:p>
    <w:p w14:paraId="55EDC060"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af-ZA"/>
          <w14:ligatures w14:val="none"/>
        </w:rPr>
      </w:pPr>
      <w:r w:rsidRPr="005933F7">
        <w:rPr>
          <w:rFonts w:eastAsia="Times New Roman" w:cs="Times New Roman"/>
          <w:bCs/>
          <w:iCs/>
          <w:kern w:val="0"/>
          <w:sz w:val="28"/>
          <w:szCs w:val="28"/>
          <w:lang w:val="af-ZA"/>
          <w14:ligatures w14:val="none"/>
        </w:rPr>
        <w:t xml:space="preserve">- Tên gói thầu: </w:t>
      </w:r>
      <w:r w:rsidRPr="005933F7">
        <w:rPr>
          <w:rFonts w:eastAsia="Times New Roman" w:cs="Times New Roman"/>
          <w:bCs/>
          <w:iCs/>
          <w:color w:val="0000FF"/>
          <w:kern w:val="0"/>
          <w:sz w:val="28"/>
          <w:szCs w:val="28"/>
          <w:lang w:val="af-ZA"/>
          <w14:ligatures w14:val="none"/>
        </w:rPr>
        <w:t>Gói thầu số 20: Tư vấn kiểm toán độc lập</w:t>
      </w:r>
      <w:r w:rsidRPr="005933F7">
        <w:rPr>
          <w:rFonts w:eastAsia="Times New Roman" w:cs="Times New Roman"/>
          <w:bCs/>
          <w:iCs/>
          <w:color w:val="0000FF"/>
          <w:kern w:val="0"/>
          <w:sz w:val="28"/>
          <w:szCs w:val="28"/>
          <w:lang w:val="it-IT"/>
          <w14:ligatures w14:val="none"/>
        </w:rPr>
        <w:t>.</w:t>
      </w:r>
    </w:p>
    <w:p w14:paraId="1CF9F8AC"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af-ZA"/>
          <w14:ligatures w14:val="none"/>
        </w:rPr>
      </w:pPr>
      <w:r w:rsidRPr="005933F7">
        <w:rPr>
          <w:rFonts w:eastAsia="Times New Roman" w:cs="Times New Roman"/>
          <w:bCs/>
          <w:iCs/>
          <w:kern w:val="0"/>
          <w:sz w:val="28"/>
          <w:szCs w:val="28"/>
          <w:lang w:val="af-ZA"/>
          <w14:ligatures w14:val="none"/>
        </w:rPr>
        <w:t xml:space="preserve">- Hình thức lựa chọn nhà thầu: </w:t>
      </w:r>
      <w:r w:rsidRPr="005933F7">
        <w:rPr>
          <w:rFonts w:eastAsia="Times New Roman" w:cs="Times New Roman"/>
          <w:bCs/>
          <w:iCs/>
          <w:color w:val="0000FF"/>
          <w:kern w:val="0"/>
          <w:sz w:val="28"/>
          <w:szCs w:val="28"/>
          <w:lang w:val="af-ZA"/>
          <w14:ligatures w14:val="none"/>
        </w:rPr>
        <w:t>Đấu thầu rộng rãi trong nước, qua mạng.</w:t>
      </w:r>
    </w:p>
    <w:p w14:paraId="3CC59123"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af-ZA"/>
          <w14:ligatures w14:val="none"/>
        </w:rPr>
      </w:pPr>
      <w:r w:rsidRPr="005933F7">
        <w:rPr>
          <w:rFonts w:eastAsia="Times New Roman" w:cs="Times New Roman"/>
          <w:bCs/>
          <w:iCs/>
          <w:kern w:val="0"/>
          <w:sz w:val="28"/>
          <w:szCs w:val="28"/>
          <w:lang w:val="af-ZA"/>
          <w14:ligatures w14:val="none"/>
        </w:rPr>
        <w:t xml:space="preserve">- Phương thức lựa chọn nhà thầu: </w:t>
      </w:r>
      <w:r w:rsidRPr="005933F7">
        <w:rPr>
          <w:rFonts w:eastAsia="Times New Roman" w:cs="Times New Roman"/>
          <w:bCs/>
          <w:iCs/>
          <w:color w:val="0000FF"/>
          <w:kern w:val="0"/>
          <w:sz w:val="28"/>
          <w:szCs w:val="28"/>
          <w:lang w:val="af-ZA"/>
          <w14:ligatures w14:val="none"/>
        </w:rPr>
        <w:t>Một giai đoạn, hai túi hồ sơ.</w:t>
      </w:r>
    </w:p>
    <w:p w14:paraId="025DBD77"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af-ZA"/>
          <w14:ligatures w14:val="none"/>
        </w:rPr>
      </w:pPr>
      <w:r w:rsidRPr="005933F7">
        <w:rPr>
          <w:rFonts w:eastAsia="Times New Roman" w:cs="Times New Roman"/>
          <w:bCs/>
          <w:iCs/>
          <w:kern w:val="0"/>
          <w:sz w:val="28"/>
          <w:szCs w:val="28"/>
          <w:lang w:val="af-ZA"/>
          <w14:ligatures w14:val="none"/>
        </w:rPr>
        <w:t xml:space="preserve">- Thời gian bắt đầu tổ chức lựa chọn nhà thầu: </w:t>
      </w:r>
      <w:r w:rsidRPr="005933F7">
        <w:rPr>
          <w:rFonts w:eastAsia="Times New Roman" w:cs="Times New Roman"/>
          <w:bCs/>
          <w:iCs/>
          <w:color w:val="0000FF"/>
          <w:kern w:val="0"/>
          <w:sz w:val="28"/>
          <w:szCs w:val="28"/>
          <w:lang w:val="af-ZA"/>
          <w14:ligatures w14:val="none"/>
        </w:rPr>
        <w:t>Quý II/2026.</w:t>
      </w:r>
    </w:p>
    <w:p w14:paraId="613A3839"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af-ZA"/>
          <w14:ligatures w14:val="none"/>
        </w:rPr>
      </w:pPr>
      <w:r w:rsidRPr="005933F7">
        <w:rPr>
          <w:rFonts w:eastAsia="Times New Roman" w:cs="Times New Roman"/>
          <w:bCs/>
          <w:iCs/>
          <w:kern w:val="0"/>
          <w:sz w:val="28"/>
          <w:szCs w:val="28"/>
          <w:lang w:val="af-ZA"/>
          <w14:ligatures w14:val="none"/>
        </w:rPr>
        <w:t xml:space="preserve">- Loại hợp đồng: </w:t>
      </w:r>
      <w:r w:rsidRPr="005933F7">
        <w:rPr>
          <w:rFonts w:eastAsia="Times New Roman" w:cs="Times New Roman"/>
          <w:bCs/>
          <w:iCs/>
          <w:color w:val="0000FF"/>
          <w:kern w:val="0"/>
          <w:sz w:val="28"/>
          <w:szCs w:val="28"/>
          <w:lang w:val="af-ZA"/>
          <w14:ligatures w14:val="none"/>
        </w:rPr>
        <w:t>Hợp đồng trọn gói.</w:t>
      </w:r>
    </w:p>
    <w:p w14:paraId="118BD32E"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af-ZA"/>
          <w14:ligatures w14:val="none"/>
        </w:rPr>
      </w:pPr>
      <w:r w:rsidRPr="005933F7">
        <w:rPr>
          <w:rFonts w:eastAsia="Times New Roman" w:cs="Times New Roman"/>
          <w:b/>
          <w:bCs/>
          <w:iCs/>
          <w:kern w:val="0"/>
          <w:sz w:val="28"/>
          <w:szCs w:val="28"/>
          <w:lang w:val="af-ZA"/>
          <w14:ligatures w14:val="none"/>
        </w:rPr>
        <w:t xml:space="preserve">3. Mục đích tuyển chọn nhà thầu tư vấn: </w:t>
      </w:r>
    </w:p>
    <w:p w14:paraId="3C31487A" w14:textId="77777777" w:rsidR="005933F7" w:rsidRPr="005933F7" w:rsidRDefault="005933F7" w:rsidP="005933F7">
      <w:pPr>
        <w:spacing w:before="120" w:after="120" w:line="240" w:lineRule="auto"/>
        <w:ind w:firstLine="567"/>
        <w:jc w:val="both"/>
        <w:rPr>
          <w:rFonts w:eastAsia="Times New Roman" w:cs="Times New Roman"/>
          <w:bCs/>
          <w:color w:val="0000FF"/>
          <w:kern w:val="0"/>
          <w:sz w:val="28"/>
          <w:szCs w:val="28"/>
          <w:lang w:val="it-IT"/>
          <w14:ligatures w14:val="none"/>
        </w:rPr>
      </w:pPr>
      <w:r w:rsidRPr="005933F7">
        <w:rPr>
          <w:rFonts w:eastAsia="Times New Roman" w:cs="Times New Roman"/>
          <w:bCs/>
          <w:color w:val="0000FF"/>
          <w:kern w:val="0"/>
          <w:sz w:val="28"/>
          <w:szCs w:val="28"/>
          <w:lang w:val="it-IT"/>
          <w14:ligatures w14:val="none"/>
        </w:rPr>
        <w:t xml:space="preserve">Việc tuyển chọn nhà thầu tư vấn nhắm chọn nhà thầu có đủ tư cách pháp nhân, đủ năng lực, kinh nghiệm thực hiện việc rà soát, đánh giá và đưa ra các ý kiến nhận xét, độc lập, khách quan về mức độ phù hợp của Báo cáo quyết toán dự án hoàn thành với chuẩn mực kế toán, chế độ kế toán hiện hành, mức độ trung thực, hợp lý của số liệu quyết toán dự án hoàn thành cũng như việc tuân thủ trình tự, thủ tục đầu tư công trình theo quy định của pháp luật hiện hành về xây dựng trong quá trình quản lý thực hiện đầu tư xây dựng dự án, là cơ sở để trình cấp trên phê duyệt quyết toán dự án hoàn thành theo quy định tại Nghị định số </w:t>
      </w:r>
      <w:r w:rsidRPr="005933F7">
        <w:rPr>
          <w:rFonts w:eastAsia="Times New Roman" w:cs="Times New Roman"/>
          <w:bCs/>
          <w:color w:val="0000FF"/>
          <w:kern w:val="0"/>
          <w:sz w:val="28"/>
          <w:szCs w:val="28"/>
          <w:lang w:val="it-IT"/>
          <w14:ligatures w14:val="none"/>
        </w:rPr>
        <w:lastRenderedPageBreak/>
        <w:t>254/2025/NĐ-CP ngày 26/9/2025 của Chính phủ quy định về quản lý, thanh toán, quyết toán dự án sử dụng vốn đầu tư công và các hướng dẫn thi hành.</w:t>
      </w:r>
    </w:p>
    <w:p w14:paraId="49B65613"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af-ZA"/>
          <w14:ligatures w14:val="none"/>
        </w:rPr>
      </w:pPr>
      <w:r w:rsidRPr="005933F7">
        <w:rPr>
          <w:rFonts w:eastAsia="Times New Roman" w:cs="Times New Roman"/>
          <w:b/>
          <w:bCs/>
          <w:iCs/>
          <w:kern w:val="0"/>
          <w:sz w:val="28"/>
          <w:szCs w:val="28"/>
          <w:lang w:val="af-ZA"/>
          <w14:ligatures w14:val="none"/>
        </w:rPr>
        <w:t xml:space="preserve">II. Phạm vi công việc: </w:t>
      </w:r>
    </w:p>
    <w:p w14:paraId="7310E400"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b/>
          <w:bCs/>
          <w:iCs/>
          <w:kern w:val="0"/>
          <w:sz w:val="28"/>
          <w:szCs w:val="28"/>
          <w:lang w:val="af-ZA"/>
          <w14:ligatures w14:val="none"/>
        </w:rPr>
        <w:t>1. Yêu cầu chất lượng công tác kiểm toán:</w:t>
      </w:r>
      <w:r w:rsidRPr="005933F7">
        <w:rPr>
          <w:rFonts w:eastAsia="Times New Roman" w:cs="Times New Roman"/>
          <w:iCs/>
          <w:kern w:val="0"/>
          <w:sz w:val="28"/>
          <w:szCs w:val="28"/>
          <w:lang w:val="af-ZA"/>
          <w14:ligatures w14:val="none"/>
        </w:rPr>
        <w:t xml:space="preserve"> </w:t>
      </w:r>
    </w:p>
    <w:p w14:paraId="6A07D0AE"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Tư vấn kiểm toán thực hiện kiểm toán quyết toán dự án hoàn thành và kiểm toán các nội dung khác có liên quan theo yêu cầu của Chủ đầu tư, quá trình lập báo cáo kiểm toán phải tuân thủ Chuẩn mực kiểm toán hiện hành và các Thông tư của Bộ Tài chính quy định về quyết toán dự án hoàn thành thuộc nguồn vốn Nhà nước và các văn bản hướng dẫn liên quan khác của Nhà nước đảm bảo đáp ứng yêu cầu tiến độ, chất lượng, đúng quy trình quy phạm theo quy định hiện hành. </w:t>
      </w:r>
    </w:p>
    <w:p w14:paraId="48DD86A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b/>
          <w:bCs/>
          <w:iCs/>
          <w:kern w:val="0"/>
          <w:sz w:val="28"/>
          <w:szCs w:val="28"/>
          <w:lang w:val="af-ZA"/>
          <w14:ligatures w14:val="none"/>
        </w:rPr>
        <w:t>2. Nội dung công tác kiểm toán:</w:t>
      </w:r>
      <w:r w:rsidRPr="005933F7">
        <w:rPr>
          <w:rFonts w:eastAsia="Times New Roman" w:cs="Times New Roman"/>
          <w:iCs/>
          <w:kern w:val="0"/>
          <w:sz w:val="28"/>
          <w:szCs w:val="28"/>
          <w:lang w:val="af-ZA"/>
          <w14:ligatures w14:val="none"/>
        </w:rPr>
        <w:t xml:space="preserve"> </w:t>
      </w:r>
    </w:p>
    <w:p w14:paraId="75831CD6"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Nội dung kiểm toán được thực hiện dựa trên các quy định của Pháp luật, Nghị định số 254/2025/NĐ-CP ngày 26/9/2025 của Chính phủ quy định về quản lý, thanh toán, quyết toán dự án sử dụng vốn đầu tư công và các hướng dẫn thi hành; Thông tư số 27/2025/TT-BTC ngày 22/5/2025 của Bộ Tài chính về quyết toán dự án hoàn thành sử dụng nguồn vốn Nhà nước và các nội dung được quy định cụ thể tại Chuẩn mực kiểm toán ban hành kèm theo Quyết định số 08/2024/QĐ-KTNN ngày 15/11/2024 của Kiểm toán nhà nước ban hành hệ thống chuẩn mực kiểm toán nhà nước và các quy định điều chỉnh, bổ sung trong quá trình thực hiện của dự án. </w:t>
      </w:r>
    </w:p>
    <w:p w14:paraId="41F64716"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af-ZA"/>
          <w14:ligatures w14:val="none"/>
        </w:rPr>
      </w:pPr>
      <w:r w:rsidRPr="005933F7">
        <w:rPr>
          <w:rFonts w:eastAsia="Times New Roman" w:cs="Times New Roman"/>
          <w:b/>
          <w:bCs/>
          <w:iCs/>
          <w:kern w:val="0"/>
          <w:sz w:val="28"/>
          <w:szCs w:val="28"/>
          <w:lang w:val="af-ZA"/>
          <w14:ligatures w14:val="none"/>
        </w:rPr>
        <w:t xml:space="preserve">3. Phạm vi công việc: </w:t>
      </w:r>
    </w:p>
    <w:p w14:paraId="2011EEE3"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Thực hiện kiểm toán quyết toán dự án hoàn thành và kiểm toán các nội dung khác có liên quan Dự án thành phần 2: Đầu tư xây dựng mới các công trình mở rộng, nâng cấp Bệnh viện Việt Nam - Thụy Điển bao gồm các công việc như sau: </w:t>
      </w:r>
    </w:p>
    <w:p w14:paraId="6B063069" w14:textId="77777777" w:rsidR="005933F7" w:rsidRPr="005933F7" w:rsidRDefault="005933F7" w:rsidP="005933F7">
      <w:pPr>
        <w:spacing w:before="120" w:after="120" w:line="240" w:lineRule="auto"/>
        <w:ind w:firstLine="567"/>
        <w:jc w:val="both"/>
        <w:rPr>
          <w:rFonts w:eastAsia="Times New Roman" w:cs="Times New Roman"/>
          <w:b/>
          <w:bCs/>
          <w:i/>
          <w:kern w:val="0"/>
          <w:sz w:val="28"/>
          <w:szCs w:val="28"/>
          <w:lang w:val="af-ZA"/>
          <w14:ligatures w14:val="none"/>
        </w:rPr>
      </w:pPr>
      <w:r w:rsidRPr="005933F7">
        <w:rPr>
          <w:rFonts w:eastAsia="Times New Roman" w:cs="Times New Roman"/>
          <w:b/>
          <w:bCs/>
          <w:i/>
          <w:kern w:val="0"/>
          <w:sz w:val="28"/>
          <w:szCs w:val="28"/>
          <w:lang w:val="af-ZA"/>
          <w14:ligatures w14:val="none"/>
        </w:rPr>
        <w:t xml:space="preserve">3.1. Kiểm tra hồ sơ pháp lý: </w:t>
      </w:r>
    </w:p>
    <w:p w14:paraId="677C23F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Trình tự lập và duyệt văn bản; thẩm quyền phê duyệt văn bản; </w:t>
      </w:r>
    </w:p>
    <w:p w14:paraId="207C3291"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Việc chấp hành trình tự đầu tư và xây dựng theo quy định của pháp luật về đầu tư và xây dựng; </w:t>
      </w:r>
    </w:p>
    <w:p w14:paraId="57AC9FDE"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Việc chấp hành trình tự đấu thầu theo quy định của pháp luật về đấu thầu. </w:t>
      </w:r>
    </w:p>
    <w:p w14:paraId="147DF486"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Việc tuân thủ quy định của pháp luật về hợp đồng trong ký kết hợp đồng giữa chủ đầu tư với nhà thầu. </w:t>
      </w:r>
    </w:p>
    <w:p w14:paraId="3F1A693C" w14:textId="77777777" w:rsidR="005933F7" w:rsidRPr="005933F7" w:rsidRDefault="005933F7" w:rsidP="005933F7">
      <w:pPr>
        <w:spacing w:before="120" w:after="120" w:line="240" w:lineRule="auto"/>
        <w:ind w:firstLine="567"/>
        <w:jc w:val="both"/>
        <w:rPr>
          <w:rFonts w:eastAsia="Times New Roman" w:cs="Times New Roman"/>
          <w:b/>
          <w:bCs/>
          <w:i/>
          <w:kern w:val="0"/>
          <w:sz w:val="28"/>
          <w:szCs w:val="28"/>
          <w:lang w:val="af-ZA"/>
          <w14:ligatures w14:val="none"/>
        </w:rPr>
      </w:pPr>
      <w:r w:rsidRPr="005933F7">
        <w:rPr>
          <w:rFonts w:eastAsia="Times New Roman" w:cs="Times New Roman"/>
          <w:b/>
          <w:bCs/>
          <w:i/>
          <w:kern w:val="0"/>
          <w:sz w:val="28"/>
          <w:szCs w:val="28"/>
          <w:lang w:val="af-ZA"/>
          <w14:ligatures w14:val="none"/>
        </w:rPr>
        <w:t xml:space="preserve">3.2. Kiểm tra nguồn vốn đầu tư của dự án: </w:t>
      </w:r>
    </w:p>
    <w:p w14:paraId="7343F13E"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Kiểm tra, nhận xét, đánh giá việc chấp hành các quy định về việc quản lý và sử dụng các loại nguồn vốn đầu tư của dự án. </w:t>
      </w:r>
    </w:p>
    <w:p w14:paraId="108ADE8C" w14:textId="77777777" w:rsidR="005933F7" w:rsidRPr="005933F7" w:rsidRDefault="005933F7" w:rsidP="005933F7">
      <w:pPr>
        <w:spacing w:before="120" w:after="120" w:line="240" w:lineRule="auto"/>
        <w:ind w:firstLine="567"/>
        <w:jc w:val="both"/>
        <w:rPr>
          <w:rFonts w:eastAsia="Times New Roman" w:cs="Times New Roman"/>
          <w:b/>
          <w:bCs/>
          <w:i/>
          <w:kern w:val="0"/>
          <w:sz w:val="28"/>
          <w:szCs w:val="28"/>
          <w:lang w:val="af-ZA"/>
          <w14:ligatures w14:val="none"/>
        </w:rPr>
      </w:pPr>
      <w:r w:rsidRPr="005933F7">
        <w:rPr>
          <w:rFonts w:eastAsia="Times New Roman" w:cs="Times New Roman"/>
          <w:b/>
          <w:bCs/>
          <w:i/>
          <w:kern w:val="0"/>
          <w:sz w:val="28"/>
          <w:szCs w:val="28"/>
          <w:lang w:val="af-ZA"/>
          <w14:ligatures w14:val="none"/>
        </w:rPr>
        <w:t xml:space="preserve">3.3. Kiểm tra chi phí đầu tư: </w:t>
      </w:r>
    </w:p>
    <w:p w14:paraId="3A8860A0"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Căn cứ tổng mức đầu tư, dự toán được duyệt và Chi phí đầu tư đề nghị quyết toán theo công trình, hạng mục hoàn thành, kiểm toán thực hiện kiểm tra lần lượt theo cơ cấu chi phí ghi trong tổng mức đầu tư:</w:t>
      </w:r>
    </w:p>
    <w:p w14:paraId="1CEFA3B5"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lastRenderedPageBreak/>
        <w:t xml:space="preserve">- Chi phí xây dựng, chi phí thiết bị; </w:t>
      </w:r>
    </w:p>
    <w:p w14:paraId="3068187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Chi phí quản lý dự án; </w:t>
      </w:r>
    </w:p>
    <w:p w14:paraId="247F7289"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Chi phí tư vấn đầu tư xây dựng; </w:t>
      </w:r>
    </w:p>
    <w:p w14:paraId="4859BB6D"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Chi phí khác.</w:t>
      </w:r>
    </w:p>
    <w:p w14:paraId="35780D47"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Chi phí dự phòng. </w:t>
      </w:r>
    </w:p>
    <w:p w14:paraId="59A23DF9"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Các chi phí khác có liên quan của dự án theo yêu cầu của Chủ đầu tư. </w:t>
      </w:r>
    </w:p>
    <w:p w14:paraId="403069DA"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a) Đối với chi phí thực hiện thông qua hợp đồng: </w:t>
      </w:r>
    </w:p>
    <w:p w14:paraId="1C59955B"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Căn cứ từng loại hợp đồng được ký kết giữa chủ đầu tư và nhà thầu theo quy định tại pháp luật về xây dựng, đấu thầu, hợp đồng để kiểm tra, đối chiếu nội dung công việc, khối lượng thực hiện, đơn giá trong bảng tính giá trị quyết toán A - B với biên bản nghiệm thu khối lượng công việc hoàn thành theo các yêu cầu của hợp đồng, đơn giá theo quy định tại hợp đồng, để xác định giá trị khối lượng hoàn thành được nghiệm thu theo quy định. </w:t>
      </w:r>
    </w:p>
    <w:p w14:paraId="33C390A3"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Trường hợp có điều chỉnh về khối lượng, đơn giá, chính sách của Nhà nước: Căn cứ biên bản nghiệm thu khối lượng công việc hoàn thành, nguyên tắc điều chỉnh khối lượng, đơn giá ghi trong hợp đồng, các chính sách được áp dụng phù hợp với thời gian thực hiện hợp đồng để xác định giá trị khối lượng công việc hoàn thành đã được nghiệm thu đúng quy định. Không điều chỉnh cho trường hợp kéo dài thời gian thực hiện so với thời gian trong hợp đồng đã ký do lỗi của nhà thầu gây ra. </w:t>
      </w:r>
    </w:p>
    <w:p w14:paraId="7090891D"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Trường hợp phát sinh chi phí: Căn cứ các quy định về điều chỉnh hợp đồng tương ứng với từng loại hợp đồng và quy định của pháp luật có liên quan để kiểm tra. </w:t>
      </w:r>
    </w:p>
    <w:p w14:paraId="73E91DCF"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b) Đối với chi phí thực hiện không thông qua hợp đồng: </w:t>
      </w:r>
    </w:p>
    <w:p w14:paraId="51298D3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Đối với các khoản chi phí tính theo định mức tỷ lệ phần trăm: Kiểm tra, đối chiếu các điều kiện quy định trong việc áp dụng định mức tỷ lệ để xác định giá trị chi phí của từng loại công việc. </w:t>
      </w:r>
    </w:p>
    <w:p w14:paraId="421AD93C"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Đối với các khoản chi phí tính theo dự toán chi tiết được duyệt: Kiểm tra, đối chiếu giá trị đề nghị quyết toán với dự toán được duyệt để đánh giá mức độ hợp lý, hợp lệ của các khoản chi phí. </w:t>
      </w:r>
    </w:p>
    <w:p w14:paraId="1B0CA85E"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c. Kiểm tra chi phí quản lý dự án: </w:t>
      </w:r>
    </w:p>
    <w:p w14:paraId="4FA3E242"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Kiểm tra việc áp dụng định mức để xác định tổng mức được trích của chi phí quản lý dự án và các khoản chi phí tư vấn đầu tư xây dựng của dự án do Ban quản lý dự án thực hiện. </w:t>
      </w:r>
    </w:p>
    <w:p w14:paraId="5D2BDC16"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Đối chiếu sự phù hợp giữa số liệu đề nghị quyết toán với số liệu phân bổ chi phí quản lý dự án hàng năm theo quyết định phê duyệt quyết toán chi phí quản lý dự án hàng năm. </w:t>
      </w:r>
    </w:p>
    <w:p w14:paraId="76A71739"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d. Kiểm tra chi phí đầu tư không tính vào giá trị tài sản: </w:t>
      </w:r>
    </w:p>
    <w:p w14:paraId="0332E0BE"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lastRenderedPageBreak/>
        <w:t xml:space="preserve">- Kiểm tra các chi phí thiệt hại do các nguyên nhân bất khả kháng được phép không tính vào giá trị tài sản theo các nội dung: </w:t>
      </w:r>
    </w:p>
    <w:p w14:paraId="51E4966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Xác định đúng theo các nguyên tắc, thủ tục quy định của Nhà nước về chi phí thiệt hại. </w:t>
      </w:r>
    </w:p>
    <w:p w14:paraId="496A4B1A"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Giá trị thiệt hại theo Biên bản xác định phải được chủ đầu tư, đơn vị nhận thầu, tư vấn giám sát, nhà thầu bảo hiểm kiểm tra, xác nhận và kiến nghị xử lý.</w:t>
      </w:r>
    </w:p>
    <w:p w14:paraId="0DD00DF3"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Thẩm tra các khoản chi phí không hình thành tài sản như: chi phí đào tạo, tăng cường và nâng cao năng lực cho cơ quan quản lý hoặc cộng đồng; chi phí các ban quản lý dự án không liên quan trực tiếp đến tài sản được hình thành và bàn giao ở các địa phương; chi phí đầu tư thiệt hại do nguyên nhân chủ quan như khối lượng đầu tư bị hủy bỏ theo quyết định của cấp có thẩm quyền; chi phí đã thực hiện, không xảy ra thiệt hại, có tạo ra sản phẩm nhưng sản phẩm đó không được sử dụng cho dự án như kết quả khảo sát, thiết kế đã hoàn thành, đạt chất lượng nhưng không được sử dụng do chủ đầu tư thay đổi thiết kế; chi phí đầu tư dở dang (dự án dừng thực hiện) không hình thành tài sản; chi phí sửa chữa, khắc phục hậu quả thiên tai không được hạch toán tăng giá trị tài sản theo quy định của pháp luật về kế toán và quản lý sử dụng tài sản công. </w:t>
      </w:r>
    </w:p>
    <w:p w14:paraId="01B3CD2B"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e. Kiểm tra xác định giá trị tài sản: </w:t>
      </w:r>
    </w:p>
    <w:p w14:paraId="69D28C56"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Căn cứ kết quả kiểm tra chi phí đầu tư của dự án, xác định giá trị tài sản công trình hình thành sau đầu tư. </w:t>
      </w:r>
    </w:p>
    <w:p w14:paraId="4D5EB56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Xác định giá trị, danh mục tài sản bàn giao cho các đối tượng quản lý đơn vị quản lý, sử dụng. </w:t>
      </w:r>
    </w:p>
    <w:p w14:paraId="4562326B"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f. Kiểm tra tình hình công nợ: </w:t>
      </w:r>
    </w:p>
    <w:p w14:paraId="6335125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Căn cứ số liệu các khoản mục chi phí đã được xác định sau khi kiểm tra quyết toán, số vốn đã thanh toán và tình hình công nợ xác định các khoản nợ phải thu, phải trả giữa chủ đầu tư và các đơn vị, cá nhân có liên quan, báo cáo đề xuất chủ đầu tư để triển khai thực hiện. </w:t>
      </w:r>
    </w:p>
    <w:p w14:paraId="060D0A1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Xem xét, kiến nghị phương án xử lý đối với các khoản tiền chưa nộp ngân sách, số dư tạm ứng,... Kiểm tra cần xác định rõ từng khoản vốn phải thu hồi, thanh toán theo đúng đối tượng, đúng thực tế, đúng quy định. </w:t>
      </w:r>
    </w:p>
    <w:p w14:paraId="3D48EB93"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g. Xem xét việc chấp hành của các đơn vị có liên quan đối với ý kiến kết luận của các cơ quan Thanh tra, Kiểm tra, Kiểm toán nhà nước (nếu có): </w:t>
      </w:r>
    </w:p>
    <w:p w14:paraId="31822A5D"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Đối với dự án đã được các cơ quan thanh tra, kiểm tra của Nhà nước thực hiện công tác thanh tra, kiểm tra và có kết luận; cơ quan kiểm toán xem xét các nội dung sau: </w:t>
      </w:r>
    </w:p>
    <w:p w14:paraId="69A001F5"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Nghiên cứu và tham gia giải trình ý kiến với các cơ quan Thanh tra, Kiểm tra, Kiểm toán nhà nước về các vấn đề được các cơ quan thanh tra, kiểm tra kết luận. </w:t>
      </w:r>
    </w:p>
    <w:p w14:paraId="3A77FB7B"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Rà soát, nhận xét, đề xuất với Chủ đầu tư việc thực hiện các kết luận của cơ quan thanh tra, kiểm tra đối với các đơn vị liên quan. </w:t>
      </w:r>
    </w:p>
    <w:p w14:paraId="27F7719B"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lastRenderedPageBreak/>
        <w:t xml:space="preserve">h. Thực hiện các nội dung khác có liên quan theo quy định của nhà nước và yêu cầu của Chủ đầu tư trong công tác kiểm toán độc lập dự án: </w:t>
      </w:r>
    </w:p>
    <w:p w14:paraId="5ACE0B91"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Trường hợp quá trình triển khai thực hiện dự án có sự bổ sung, thay đổi thì cập nhật đảm bảo yêu cầu, quy định hiện hành. </w:t>
      </w:r>
    </w:p>
    <w:p w14:paraId="2D9EA5B9" w14:textId="77777777" w:rsidR="005933F7" w:rsidRPr="005933F7" w:rsidRDefault="005933F7" w:rsidP="005933F7">
      <w:pPr>
        <w:spacing w:before="120" w:after="120" w:line="240" w:lineRule="auto"/>
        <w:ind w:firstLine="567"/>
        <w:jc w:val="both"/>
        <w:rPr>
          <w:rFonts w:eastAsia="Times New Roman" w:cs="Times New Roman"/>
          <w:b/>
          <w:bCs/>
          <w:i/>
          <w:kern w:val="0"/>
          <w:sz w:val="28"/>
          <w:szCs w:val="28"/>
          <w:lang w:val="af-ZA"/>
          <w14:ligatures w14:val="none"/>
        </w:rPr>
      </w:pPr>
      <w:r w:rsidRPr="005933F7">
        <w:rPr>
          <w:rFonts w:eastAsia="Times New Roman" w:cs="Times New Roman"/>
          <w:b/>
          <w:bCs/>
          <w:i/>
          <w:kern w:val="0"/>
          <w:sz w:val="28"/>
          <w:szCs w:val="28"/>
          <w:lang w:val="af-ZA"/>
          <w14:ligatures w14:val="none"/>
        </w:rPr>
        <w:t xml:space="preserve">3.4. Kết thúc kiểm toán: </w:t>
      </w:r>
    </w:p>
    <w:p w14:paraId="3A488133"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Trong giai đoạn kết thúc kiểm toán, nhà thầu phải thực hiện các thủ tục sau:</w:t>
      </w:r>
    </w:p>
    <w:p w14:paraId="0A9156F3"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Phân tích, soát xét tổng thể kết quả cuộc kiểm toán. </w:t>
      </w:r>
    </w:p>
    <w:p w14:paraId="04C15E74"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Lập báo cáo kiểm toán (gồm báo cáo dự thảo, báo cáo chính thức) </w:t>
      </w:r>
    </w:p>
    <w:p w14:paraId="09514822"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Xử lý các công việc phát sinh sau khi phát hành báo cáo kiểm toán. </w:t>
      </w:r>
    </w:p>
    <w:p w14:paraId="0E48F87A"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a) Phân tích, soát xét tổng thể kết quả cuộc kiểm toán: </w:t>
      </w:r>
    </w:p>
    <w:p w14:paraId="207115AC"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Quy trình phân tích được thực hiện từ khi lập Kế hoạch kiểm toán, quá trình thực hiện kiểm toán nhằm đưa ra kết luận về tính trung thực và hợp lý của Báo cáo quyết toán dự án hoàn thành; chỉ ra được những điểm cần phải kiểm tra bổ sung; phát hiện những chênh lệch trọng yếu hoặc mối liên hệ mâu thuẫn thì kiểm toán viên phải thực hiện kiểm tra bổ sung để hoàn chỉnh báo cáo kiểm toán. </w:t>
      </w:r>
    </w:p>
    <w:p w14:paraId="2D59278D"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 Thực hiện quy trình phân tích, soát xét tổng thể kết quả cuộc kiểm toán nhằm giúp kiểm toán viên xác định, đưa ra ý kiến đánh giá về mức độ phù hợp của Báo cáo quyết toán dự án hoàn thành so với chuẩn mực kế toán, chế độ kế toán hiện hành, mức độ trung thực, hợp lý của số liệu quyết toán dự án cũng như việc tuân thủ trình tự, thủ tục đầu tư theo quy định của pháp luật hiện hành trong quá trình đầu tư xây dựng dự án. </w:t>
      </w:r>
    </w:p>
    <w:p w14:paraId="504F0B50"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b) Lập báo cáo kiểm toán: </w:t>
      </w:r>
    </w:p>
    <w:p w14:paraId="0371D3A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Báo cáo kiểm toán phải được lập và trình bày theo những quy định hiện hành của pháp luật về công tác kiểm toán và tuân thủ các quy định của pháp luật có liên quan. Thư quản lý (nếu có) là báo cáo của kiểm toán viên nêu lên các vấn đề đã phát hiện trong quá trình kiểm toán, giúp chủ đầu tư hoàn thiện hơn nữa về công tác quản lý dự án nói chung và quản lý tài chính nói riêng. </w:t>
      </w:r>
    </w:p>
    <w:p w14:paraId="40D1947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 xml:space="preserve">Báo cáo kiểm toán phải có chữ ký của kiểm toán viên hành nghề thực hiện kiểm toán và người đại diện theo pháp luật của doanh nghiệp kiểm toán hoặc người được ủy quyền theo quy định của pháp luật. </w:t>
      </w:r>
    </w:p>
    <w:p w14:paraId="4339A186" w14:textId="77777777" w:rsidR="005933F7" w:rsidRPr="005933F7" w:rsidRDefault="005933F7" w:rsidP="005933F7">
      <w:pPr>
        <w:spacing w:before="120" w:after="120" w:line="240" w:lineRule="auto"/>
        <w:ind w:firstLine="567"/>
        <w:jc w:val="both"/>
        <w:rPr>
          <w:rFonts w:eastAsia="Times New Roman" w:cs="Times New Roman"/>
          <w:i/>
          <w:kern w:val="0"/>
          <w:sz w:val="28"/>
          <w:szCs w:val="28"/>
          <w:lang w:val="af-ZA"/>
          <w14:ligatures w14:val="none"/>
        </w:rPr>
      </w:pPr>
      <w:r w:rsidRPr="005933F7">
        <w:rPr>
          <w:rFonts w:eastAsia="Times New Roman" w:cs="Times New Roman"/>
          <w:i/>
          <w:kern w:val="0"/>
          <w:sz w:val="28"/>
          <w:szCs w:val="28"/>
          <w:lang w:val="af-ZA"/>
          <w14:ligatures w14:val="none"/>
        </w:rPr>
        <w:t xml:space="preserve">c) Xử lý các công việc phát sinh sau khi phát hành báo cáo kiểm toán: </w:t>
      </w:r>
    </w:p>
    <w:p w14:paraId="14F67B0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af-ZA"/>
          <w14:ligatures w14:val="none"/>
        </w:rPr>
      </w:pPr>
      <w:r w:rsidRPr="005933F7">
        <w:rPr>
          <w:rFonts w:eastAsia="Times New Roman" w:cs="Times New Roman"/>
          <w:iCs/>
          <w:kern w:val="0"/>
          <w:sz w:val="28"/>
          <w:szCs w:val="28"/>
          <w:lang w:val="af-ZA"/>
          <w14:ligatures w14:val="none"/>
        </w:rPr>
        <w:t>Sau ngày công bố Báo cáo kiểm toán kèm theo Báo cáo quyết toán dự án hoàn thành, nếu kiểm toán viên và nhà thầu nhận thấy có sai sót trong kết quả kiểm toán hoặc có sự kiện phát sinh làm ảnh hưởng trọng yếu đến kết luận kiểm toán đã công bố thì kiểm toán viên và nhà thầu phải có các biện pháp xử lý theo quy định và phải được sự chấp thuận của Chủ đầu tư.</w:t>
      </w:r>
    </w:p>
    <w:p w14:paraId="4EDAA438" w14:textId="77777777" w:rsidR="005933F7" w:rsidRPr="005933F7" w:rsidRDefault="005933F7" w:rsidP="005933F7">
      <w:pPr>
        <w:spacing w:before="120" w:after="120" w:line="240" w:lineRule="auto"/>
        <w:ind w:firstLine="567"/>
        <w:jc w:val="both"/>
        <w:rPr>
          <w:rFonts w:eastAsia="Times New Roman" w:cs="Times New Roman"/>
          <w:bCs/>
          <w:kern w:val="0"/>
          <w:sz w:val="28"/>
          <w:szCs w:val="28"/>
          <w:lang w:val="it-IT"/>
          <w14:ligatures w14:val="none"/>
        </w:rPr>
      </w:pPr>
      <w:r w:rsidRPr="005933F7">
        <w:rPr>
          <w:rFonts w:eastAsia="Times New Roman" w:cs="Times New Roman"/>
          <w:b/>
          <w:iCs/>
          <w:kern w:val="0"/>
          <w:sz w:val="28"/>
          <w:szCs w:val="28"/>
          <w:lang w:val="it-IT"/>
          <w14:ligatures w14:val="none"/>
        </w:rPr>
        <w:t xml:space="preserve">4. Dự kiến thời gian chuyên gia bắt đầu thực hiện dịch vụ tư vấn: </w:t>
      </w:r>
      <w:r w:rsidRPr="005933F7">
        <w:rPr>
          <w:rFonts w:eastAsia="Times New Roman" w:cs="Times New Roman"/>
          <w:bCs/>
          <w:kern w:val="0"/>
          <w:sz w:val="28"/>
          <w:szCs w:val="28"/>
          <w:lang w:val="it-IT"/>
          <w14:ligatures w14:val="none"/>
        </w:rPr>
        <w:t>Ngay sau khi ký kết hợp đồng thực hiện dịch vụ tư vấn và được chủ đầu tư cung cấp đầy đủ các tài liệu có liên quan.</w:t>
      </w:r>
    </w:p>
    <w:p w14:paraId="34DAC8AB"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14:ligatures w14:val="none"/>
        </w:rPr>
      </w:pPr>
      <w:r w:rsidRPr="005933F7">
        <w:rPr>
          <w:rFonts w:eastAsia="Times New Roman" w:cs="Times New Roman"/>
          <w:b/>
          <w:bCs/>
          <w:iCs/>
          <w:kern w:val="0"/>
          <w:sz w:val="28"/>
          <w:szCs w:val="28"/>
          <w:lang w:val="it-IT"/>
          <w14:ligatures w14:val="none"/>
        </w:rPr>
        <w:lastRenderedPageBreak/>
        <w:t xml:space="preserve">III. Báo cáo và thời gian thực hiện: </w:t>
      </w:r>
    </w:p>
    <w:p w14:paraId="4851172C" w14:textId="77777777" w:rsidR="005933F7" w:rsidRPr="005933F7" w:rsidRDefault="005933F7" w:rsidP="005933F7">
      <w:pPr>
        <w:spacing w:before="120" w:after="120" w:line="240" w:lineRule="auto"/>
        <w:ind w:firstLine="567"/>
        <w:jc w:val="both"/>
        <w:rPr>
          <w:rFonts w:eastAsia="Times New Roman" w:cs="Times New Roman"/>
          <w:color w:val="0000FF"/>
          <w:kern w:val="0"/>
          <w:sz w:val="28"/>
          <w:szCs w:val="28"/>
          <w:lang w:val="it-IT"/>
          <w14:ligatures w14:val="none"/>
        </w:rPr>
      </w:pPr>
      <w:r w:rsidRPr="005933F7">
        <w:rPr>
          <w:rFonts w:eastAsia="Times New Roman" w:cs="Times New Roman"/>
          <w:b/>
          <w:bCs/>
          <w:kern w:val="0"/>
          <w:sz w:val="28"/>
          <w:szCs w:val="28"/>
          <w:lang w:val="it-IT"/>
          <w14:ligatures w14:val="none"/>
        </w:rPr>
        <w:t>1. Thời gian thực hiện:</w:t>
      </w:r>
      <w:r w:rsidRPr="005933F7">
        <w:rPr>
          <w:rFonts w:eastAsia="Times New Roman" w:cs="Times New Roman"/>
          <w:kern w:val="0"/>
          <w:sz w:val="28"/>
          <w:szCs w:val="28"/>
          <w:lang w:val="it-IT"/>
          <w14:ligatures w14:val="none"/>
        </w:rPr>
        <w:t xml:space="preserve"> </w:t>
      </w:r>
      <w:r w:rsidRPr="005933F7">
        <w:rPr>
          <w:rFonts w:eastAsia="Times New Roman" w:cs="Times New Roman"/>
          <w:color w:val="0000FF"/>
          <w:kern w:val="0"/>
          <w:sz w:val="28"/>
          <w:szCs w:val="28"/>
          <w:lang w:val="it-IT"/>
          <w14:ligatures w14:val="none"/>
        </w:rPr>
        <w:t>90 ngày.</w:t>
      </w:r>
    </w:p>
    <w:p w14:paraId="69F2BEA9" w14:textId="77777777" w:rsidR="005933F7" w:rsidRPr="005933F7" w:rsidRDefault="005933F7" w:rsidP="005933F7">
      <w:pPr>
        <w:spacing w:before="120" w:after="120" w:line="240" w:lineRule="auto"/>
        <w:ind w:firstLine="567"/>
        <w:jc w:val="both"/>
        <w:rPr>
          <w:rFonts w:eastAsia="Times New Roman" w:cs="Times New Roman"/>
          <w:b/>
          <w:bCs/>
          <w:kern w:val="0"/>
          <w:sz w:val="28"/>
          <w:szCs w:val="28"/>
          <w:lang w:val="it-IT"/>
          <w14:ligatures w14:val="none"/>
        </w:rPr>
      </w:pPr>
      <w:r w:rsidRPr="005933F7">
        <w:rPr>
          <w:rFonts w:eastAsia="Times New Roman" w:cs="Times New Roman"/>
          <w:b/>
          <w:bCs/>
          <w:kern w:val="0"/>
          <w:sz w:val="28"/>
          <w:szCs w:val="28"/>
          <w:lang w:val="it-IT"/>
          <w14:ligatures w14:val="none"/>
        </w:rPr>
        <w:t>2. Nội dung báo cáo:</w:t>
      </w:r>
    </w:p>
    <w:p w14:paraId="208944C5" w14:textId="77777777" w:rsidR="005933F7" w:rsidRPr="005933F7" w:rsidRDefault="005933F7" w:rsidP="005933F7">
      <w:pPr>
        <w:spacing w:before="120" w:after="120" w:line="240" w:lineRule="auto"/>
        <w:ind w:firstLine="567"/>
        <w:jc w:val="both"/>
        <w:rPr>
          <w:rFonts w:eastAsia="Times New Roman" w:cs="Times New Roman"/>
          <w:b/>
          <w:bCs/>
          <w:i/>
          <w:kern w:val="0"/>
          <w:sz w:val="28"/>
          <w:szCs w:val="28"/>
          <w:lang w:val="it-IT"/>
          <w14:ligatures w14:val="none"/>
        </w:rPr>
      </w:pPr>
      <w:r w:rsidRPr="005933F7">
        <w:rPr>
          <w:rFonts w:eastAsia="Times New Roman" w:cs="Times New Roman"/>
          <w:b/>
          <w:bCs/>
          <w:i/>
          <w:kern w:val="0"/>
          <w:sz w:val="28"/>
          <w:szCs w:val="28"/>
          <w:lang w:val="it-IT"/>
          <w14:ligatures w14:val="none"/>
        </w:rPr>
        <w:t>2.1. Thành phần hồ sơ:</w:t>
      </w:r>
    </w:p>
    <w:p w14:paraId="4D1FF835"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it-IT"/>
          <w14:ligatures w14:val="none"/>
        </w:rPr>
      </w:pPr>
      <w:r w:rsidRPr="005933F7">
        <w:rPr>
          <w:rFonts w:eastAsia="Times New Roman" w:cs="Times New Roman"/>
          <w:iCs/>
          <w:kern w:val="0"/>
          <w:sz w:val="28"/>
          <w:szCs w:val="28"/>
          <w:lang w:val="it-IT"/>
          <w14:ligatures w14:val="none"/>
        </w:rPr>
        <w:t xml:space="preserve">- Báo cáo kiểm toán theo quy định. </w:t>
      </w:r>
    </w:p>
    <w:p w14:paraId="5E81DD66"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it-IT"/>
          <w14:ligatures w14:val="none"/>
        </w:rPr>
      </w:pPr>
      <w:r w:rsidRPr="005933F7">
        <w:rPr>
          <w:rFonts w:eastAsia="Times New Roman" w:cs="Times New Roman"/>
          <w:iCs/>
          <w:kern w:val="0"/>
          <w:sz w:val="28"/>
          <w:szCs w:val="28"/>
          <w:lang w:val="it-IT"/>
          <w14:ligatures w14:val="none"/>
        </w:rPr>
        <w:t xml:space="preserve">- Biên bản làm việc với các đơn vị liên quan về công tác kiểm toán. </w:t>
      </w:r>
    </w:p>
    <w:p w14:paraId="37176B3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it-IT"/>
          <w14:ligatures w14:val="none"/>
        </w:rPr>
      </w:pPr>
      <w:r w:rsidRPr="005933F7">
        <w:rPr>
          <w:rFonts w:eastAsia="Times New Roman" w:cs="Times New Roman"/>
          <w:iCs/>
          <w:kern w:val="0"/>
          <w:sz w:val="28"/>
          <w:szCs w:val="28"/>
          <w:lang w:val="it-IT"/>
          <w14:ligatures w14:val="none"/>
        </w:rPr>
        <w:t xml:space="preserve">- Toàn bộ file scan hồ sơ, báo cáo, biên bản, tài liệu liên quan đến công tác kiểm toán. </w:t>
      </w:r>
    </w:p>
    <w:p w14:paraId="18792308" w14:textId="77777777" w:rsidR="005933F7" w:rsidRPr="005933F7" w:rsidRDefault="005933F7" w:rsidP="005933F7">
      <w:pPr>
        <w:spacing w:before="120" w:after="120" w:line="240" w:lineRule="auto"/>
        <w:ind w:firstLine="567"/>
        <w:jc w:val="both"/>
        <w:rPr>
          <w:rFonts w:eastAsia="Times New Roman" w:cs="Times New Roman"/>
          <w:iCs/>
          <w:kern w:val="0"/>
          <w:sz w:val="28"/>
          <w:szCs w:val="28"/>
          <w:lang w:val="it-IT"/>
          <w14:ligatures w14:val="none"/>
        </w:rPr>
      </w:pPr>
      <w:r w:rsidRPr="005933F7">
        <w:rPr>
          <w:rFonts w:eastAsia="Times New Roman" w:cs="Times New Roman"/>
          <w:b/>
          <w:bCs/>
          <w:i/>
          <w:kern w:val="0"/>
          <w:sz w:val="28"/>
          <w:szCs w:val="28"/>
          <w:lang w:val="it-IT"/>
          <w14:ligatures w14:val="none"/>
        </w:rPr>
        <w:t>2.2. Số lượng hồ sơ:</w:t>
      </w:r>
      <w:r w:rsidRPr="005933F7">
        <w:rPr>
          <w:rFonts w:eastAsia="Times New Roman" w:cs="Times New Roman"/>
          <w:iCs/>
          <w:kern w:val="0"/>
          <w:sz w:val="28"/>
          <w:szCs w:val="28"/>
          <w:lang w:val="it-IT"/>
          <w14:ligatures w14:val="none"/>
        </w:rPr>
        <w:t xml:space="preserve"> 08 bộ hồ sơ. </w:t>
      </w:r>
    </w:p>
    <w:p w14:paraId="7A419BA8" w14:textId="77777777" w:rsidR="005933F7" w:rsidRPr="005933F7" w:rsidRDefault="005933F7" w:rsidP="005933F7">
      <w:pPr>
        <w:spacing w:before="120" w:after="120" w:line="240" w:lineRule="auto"/>
        <w:ind w:firstLine="567"/>
        <w:jc w:val="both"/>
        <w:rPr>
          <w:rFonts w:eastAsia="Times New Roman" w:cs="Times New Roman"/>
          <w:b/>
          <w:bCs/>
          <w:iCs/>
          <w:kern w:val="0"/>
          <w:sz w:val="28"/>
          <w:szCs w:val="28"/>
          <w:lang w:val="it-IT"/>
          <w14:ligatures w14:val="none"/>
        </w:rPr>
      </w:pPr>
      <w:r w:rsidRPr="005933F7">
        <w:rPr>
          <w:rFonts w:eastAsia="Times New Roman" w:cs="Times New Roman"/>
          <w:b/>
          <w:bCs/>
          <w:iCs/>
          <w:kern w:val="0"/>
          <w:sz w:val="28"/>
          <w:szCs w:val="28"/>
          <w:lang w:val="it-IT"/>
          <w14:ligatures w14:val="none"/>
        </w:rPr>
        <w:t xml:space="preserve">IV. Kinh nghiệm và nhân sự của nhà thầu: </w:t>
      </w:r>
    </w:p>
    <w:p w14:paraId="41FD6D40" w14:textId="77777777" w:rsidR="005933F7" w:rsidRPr="005933F7" w:rsidRDefault="005933F7" w:rsidP="005933F7">
      <w:pPr>
        <w:spacing w:before="120" w:after="120" w:line="240" w:lineRule="auto"/>
        <w:ind w:firstLine="567"/>
        <w:jc w:val="both"/>
        <w:rPr>
          <w:rFonts w:eastAsia="Times New Roman" w:cs="Times New Roman"/>
          <w:bCs/>
          <w:iCs/>
          <w:kern w:val="0"/>
          <w:sz w:val="28"/>
          <w:szCs w:val="28"/>
          <w:lang w:val="it-IT"/>
          <w14:ligatures w14:val="none"/>
        </w:rPr>
      </w:pPr>
      <w:r w:rsidRPr="005933F7">
        <w:rPr>
          <w:rFonts w:eastAsia="Times New Roman" w:cs="Times New Roman"/>
          <w:bCs/>
          <w:iCs/>
          <w:kern w:val="0"/>
          <w:sz w:val="28"/>
          <w:szCs w:val="28"/>
          <w:lang w:val="it-IT"/>
          <w14:ligatures w14:val="none"/>
        </w:rPr>
        <w:t>Theo yêu cầu trong tiêu chuẩn đánh giá về mặt kỹ thuật của HSMT.</w:t>
      </w:r>
    </w:p>
    <w:p w14:paraId="3254F569" w14:textId="77777777" w:rsidR="005933F7" w:rsidRPr="005933F7" w:rsidRDefault="005933F7" w:rsidP="005933F7">
      <w:pPr>
        <w:spacing w:before="60" w:after="60" w:line="240" w:lineRule="auto"/>
        <w:ind w:firstLine="567"/>
        <w:jc w:val="both"/>
        <w:rPr>
          <w:rFonts w:eastAsia="Times New Roman" w:cs="Times New Roman"/>
          <w:i/>
          <w:iCs/>
          <w:kern w:val="0"/>
          <w:sz w:val="28"/>
          <w:szCs w:val="28"/>
          <w:lang w:val="it-IT"/>
          <w14:ligatures w14:val="none"/>
        </w:rPr>
      </w:pPr>
      <w:r w:rsidRPr="005933F7">
        <w:rPr>
          <w:rFonts w:eastAsia="Times New Roman" w:cs="Times New Roman"/>
          <w:i/>
          <w:iCs/>
          <w:kern w:val="0"/>
          <w:sz w:val="28"/>
          <w:szCs w:val="28"/>
          <w:lang w:val="it-IT"/>
          <w14:ligatures w14:val="none"/>
        </w:rPr>
        <w:t>Các tài liệu nhà thầu phải nộp cùng E-HSDT:</w:t>
      </w:r>
    </w:p>
    <w:p w14:paraId="005789BA"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1. Các tài liệu chứng minh tính hợp lệ của E-HSDT quy định tại Mục 1, Chương III - Tiêu chuẩn đánh giá E-HSDT.</w:t>
      </w:r>
    </w:p>
    <w:p w14:paraId="394B4A1C"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2. Về kinh nghiệm thực hiện Hợp đồng tương tự:</w:t>
      </w:r>
    </w:p>
    <w:p w14:paraId="1866EE17"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 Hợp đồng; </w:t>
      </w:r>
    </w:p>
    <w:p w14:paraId="3FC8A905"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 Tài liệu chứng minh loại, cấp công trình: Quyết định phê duyệt dự án/ phê duyệt thiết kế hoặc các tài liệu khác tương đương; </w:t>
      </w:r>
    </w:p>
    <w:p w14:paraId="1008F54B"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 Tài liệu chứng minh thời gian hoàn thành: Biên bản nghiệm thu hoàn thành công trình hoặc Xác nhận của Chủ đầu tư/ Đại diện Chủ đầu tư hoặc các tài liệu khác tương đương; </w:t>
      </w:r>
    </w:p>
    <w:p w14:paraId="42B6F4DE"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Tài liệu chứng minh hợp đồng đã hoàn thành hoặc hoàn thành phần lớn: Hồ sơ thanh toán hoặc Hồ sơ quyết toán hoặc Xác nhận của Chủ đầu tư/ Đại diện Chủ đầu tư hoặc Biên bản thanh lý hợp đồng hoặc các tài liệu khác tương đương.</w:t>
      </w:r>
    </w:p>
    <w:p w14:paraId="7FDCD272"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Nếu là nhà thầu phụ của hợp đồng tương tự, nhà thầu phải đính kèm thêm: Hợp đồng nhà thầu chính ký với Chủ đầu tư.</w:t>
      </w:r>
    </w:p>
    <w:p w14:paraId="55824B89"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3. Về nhân sự chủ chốt: </w:t>
      </w:r>
    </w:p>
    <w:p w14:paraId="0298A4CF"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 Văn bằng, chứng chỉ còn hiệu lực; </w:t>
      </w:r>
    </w:p>
    <w:p w14:paraId="34F74B1A"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xml:space="preserve">- Tài liệu chứng minh khả năng huy động nhân sự để thực hiện gói thầu; </w:t>
      </w:r>
    </w:p>
    <w:p w14:paraId="0E08FD3E" w14:textId="77777777" w:rsidR="005933F7" w:rsidRPr="005933F7" w:rsidRDefault="005933F7" w:rsidP="005933F7">
      <w:pPr>
        <w:spacing w:before="120" w:after="120" w:line="240" w:lineRule="auto"/>
        <w:ind w:firstLine="567"/>
        <w:jc w:val="both"/>
        <w:rPr>
          <w:rFonts w:eastAsia="Times New Roman" w:cs="Times New Roman"/>
          <w:color w:val="0000FF"/>
          <w:spacing w:val="-2"/>
          <w:kern w:val="0"/>
          <w:sz w:val="28"/>
          <w:szCs w:val="28"/>
          <w:lang w:val="it-IT"/>
          <w14:ligatures w14:val="none"/>
        </w:rPr>
      </w:pPr>
      <w:r w:rsidRPr="005933F7">
        <w:rPr>
          <w:rFonts w:eastAsia="Times New Roman" w:cs="Times New Roman"/>
          <w:color w:val="0000FF"/>
          <w:spacing w:val="-2"/>
          <w:kern w:val="0"/>
          <w:sz w:val="28"/>
          <w:szCs w:val="28"/>
          <w:lang w:val="it-IT"/>
          <w14:ligatures w14:val="none"/>
        </w:rPr>
        <w:t>- Tài liệu chứng minh kinh nghiệm của nhân sự: (1) Xác nhận của Chủ đầu tư/  Đại diện Chủ đầu tư hoặc Quyết định phân công nhiệm vụ của nhân sự hoặc các tài liệu khác tương đương; (2) Hợp đồng tư vấn tương ứng; (3) Tài liệu chứng minh hợp đồng đã hoàn thành; (4) Tài liệu chứng minh cấp công trình: Quyết định phê duyệt dự án/ phê duyệt thiết kế hoặc các tài liệu khác tương đương.</w:t>
      </w:r>
    </w:p>
    <w:p w14:paraId="5474E8B5" w14:textId="09E7E102" w:rsidR="00611274" w:rsidRPr="005933F7" w:rsidRDefault="005933F7" w:rsidP="002F7527">
      <w:pPr>
        <w:ind w:firstLine="567"/>
        <w:rPr>
          <w:lang w:val="it-IT"/>
        </w:rPr>
      </w:pPr>
      <w:r w:rsidRPr="005933F7">
        <w:rPr>
          <w:rFonts w:eastAsia="Times New Roman" w:cs="Times New Roman"/>
          <w:b/>
          <w:bCs/>
          <w:iCs/>
          <w:spacing w:val="-2"/>
          <w:kern w:val="0"/>
          <w:sz w:val="28"/>
          <w:szCs w:val="28"/>
          <w:lang w:val="it-IT"/>
          <w14:ligatures w14:val="none"/>
        </w:rPr>
        <w:t xml:space="preserve">V. </w:t>
      </w:r>
      <w:r w:rsidRPr="005933F7">
        <w:rPr>
          <w:rFonts w:eastAsia="Times New Roman" w:cs="Times New Roman"/>
          <w:b/>
          <w:bCs/>
          <w:iCs/>
          <w:color w:val="0000FF"/>
          <w:spacing w:val="-2"/>
          <w:kern w:val="0"/>
          <w:sz w:val="28"/>
          <w:szCs w:val="28"/>
          <w:lang w:val="it-IT"/>
          <w14:ligatures w14:val="none"/>
        </w:rPr>
        <w:t xml:space="preserve">Trách nhiệm của Chủ đầu tư: </w:t>
      </w:r>
      <w:r w:rsidRPr="005933F7">
        <w:rPr>
          <w:rFonts w:eastAsia="Times New Roman" w:cs="Times New Roman"/>
          <w:color w:val="0000FF"/>
          <w:spacing w:val="-2"/>
          <w:kern w:val="0"/>
          <w:sz w:val="28"/>
          <w:szCs w:val="28"/>
          <w:lang w:val="it-IT"/>
          <w14:ligatures w14:val="none"/>
        </w:rPr>
        <w:t xml:space="preserve">Chủ đầu tư sẽ cung cấp hồ sơ, cử cán bộ hỗ trợ và những tài liệu có liên quan đến nhiệm vụ của tư vấn cho nhà thầu tư vấn </w:t>
      </w:r>
      <w:r w:rsidRPr="005933F7">
        <w:rPr>
          <w:rFonts w:eastAsia="Times New Roman" w:cs="Times New Roman"/>
          <w:color w:val="0000FF"/>
          <w:spacing w:val="-2"/>
          <w:kern w:val="0"/>
          <w:sz w:val="28"/>
          <w:szCs w:val="28"/>
          <w:lang w:val="it-IT"/>
          <w14:ligatures w14:val="none"/>
        </w:rPr>
        <w:lastRenderedPageBreak/>
        <w:t>thực hiện nhiệm vụ của mình trong phạm vi năng lực và quyền hạn của Chủ đầu tư.</w:t>
      </w:r>
    </w:p>
    <w:sectPr w:rsidR="00611274" w:rsidRPr="005933F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F7"/>
    <w:rsid w:val="0000092F"/>
    <w:rsid w:val="00000FC0"/>
    <w:rsid w:val="00001501"/>
    <w:rsid w:val="00001726"/>
    <w:rsid w:val="0000371F"/>
    <w:rsid w:val="00004E8D"/>
    <w:rsid w:val="00006608"/>
    <w:rsid w:val="0001012C"/>
    <w:rsid w:val="000146CE"/>
    <w:rsid w:val="0001556D"/>
    <w:rsid w:val="00021C3C"/>
    <w:rsid w:val="00025A49"/>
    <w:rsid w:val="000266C6"/>
    <w:rsid w:val="000266ED"/>
    <w:rsid w:val="00026CFA"/>
    <w:rsid w:val="00027384"/>
    <w:rsid w:val="0003054C"/>
    <w:rsid w:val="00031390"/>
    <w:rsid w:val="00031512"/>
    <w:rsid w:val="000316C7"/>
    <w:rsid w:val="00032C5B"/>
    <w:rsid w:val="000337F7"/>
    <w:rsid w:val="00033B87"/>
    <w:rsid w:val="00033F6B"/>
    <w:rsid w:val="00037734"/>
    <w:rsid w:val="00043EAE"/>
    <w:rsid w:val="00045BC0"/>
    <w:rsid w:val="00050787"/>
    <w:rsid w:val="00050D9A"/>
    <w:rsid w:val="000514AD"/>
    <w:rsid w:val="00052B7C"/>
    <w:rsid w:val="00053E46"/>
    <w:rsid w:val="00056A6A"/>
    <w:rsid w:val="00056E99"/>
    <w:rsid w:val="000571F5"/>
    <w:rsid w:val="00057CC0"/>
    <w:rsid w:val="000603C5"/>
    <w:rsid w:val="00064596"/>
    <w:rsid w:val="000654A8"/>
    <w:rsid w:val="00065EC6"/>
    <w:rsid w:val="00066E6F"/>
    <w:rsid w:val="00066F24"/>
    <w:rsid w:val="0006722B"/>
    <w:rsid w:val="000673FF"/>
    <w:rsid w:val="00067926"/>
    <w:rsid w:val="000704DE"/>
    <w:rsid w:val="00071C09"/>
    <w:rsid w:val="000729A6"/>
    <w:rsid w:val="0007363C"/>
    <w:rsid w:val="00074A06"/>
    <w:rsid w:val="0007568B"/>
    <w:rsid w:val="00081C31"/>
    <w:rsid w:val="000824E0"/>
    <w:rsid w:val="00083A47"/>
    <w:rsid w:val="00083F4A"/>
    <w:rsid w:val="00084672"/>
    <w:rsid w:val="00084983"/>
    <w:rsid w:val="00087306"/>
    <w:rsid w:val="00087EFB"/>
    <w:rsid w:val="00091B31"/>
    <w:rsid w:val="000925A0"/>
    <w:rsid w:val="00097DE5"/>
    <w:rsid w:val="000A112A"/>
    <w:rsid w:val="000A136F"/>
    <w:rsid w:val="000A39BE"/>
    <w:rsid w:val="000A4917"/>
    <w:rsid w:val="000B0E61"/>
    <w:rsid w:val="000B165C"/>
    <w:rsid w:val="000B50A0"/>
    <w:rsid w:val="000B665A"/>
    <w:rsid w:val="000B6D20"/>
    <w:rsid w:val="000C0544"/>
    <w:rsid w:val="000C1E66"/>
    <w:rsid w:val="000C2F8C"/>
    <w:rsid w:val="000C3A82"/>
    <w:rsid w:val="000C6816"/>
    <w:rsid w:val="000C7AA3"/>
    <w:rsid w:val="000C7B10"/>
    <w:rsid w:val="000D001B"/>
    <w:rsid w:val="000D0660"/>
    <w:rsid w:val="000D3D12"/>
    <w:rsid w:val="000D5792"/>
    <w:rsid w:val="000D5891"/>
    <w:rsid w:val="000D623E"/>
    <w:rsid w:val="000D69DC"/>
    <w:rsid w:val="000D7669"/>
    <w:rsid w:val="000D7917"/>
    <w:rsid w:val="000E122B"/>
    <w:rsid w:val="000E2CEA"/>
    <w:rsid w:val="000E2FBD"/>
    <w:rsid w:val="000F0177"/>
    <w:rsid w:val="00100AA0"/>
    <w:rsid w:val="00101D0B"/>
    <w:rsid w:val="0010226C"/>
    <w:rsid w:val="00113CF2"/>
    <w:rsid w:val="001157B4"/>
    <w:rsid w:val="0011606C"/>
    <w:rsid w:val="0011787C"/>
    <w:rsid w:val="00117F95"/>
    <w:rsid w:val="00120812"/>
    <w:rsid w:val="00123B0B"/>
    <w:rsid w:val="001308C4"/>
    <w:rsid w:val="00131837"/>
    <w:rsid w:val="001323AF"/>
    <w:rsid w:val="001347BA"/>
    <w:rsid w:val="00134A23"/>
    <w:rsid w:val="00137678"/>
    <w:rsid w:val="00141CE6"/>
    <w:rsid w:val="00142420"/>
    <w:rsid w:val="00142689"/>
    <w:rsid w:val="00142D58"/>
    <w:rsid w:val="00143B9B"/>
    <w:rsid w:val="00144371"/>
    <w:rsid w:val="0014541B"/>
    <w:rsid w:val="001454D6"/>
    <w:rsid w:val="001460F3"/>
    <w:rsid w:val="001465D8"/>
    <w:rsid w:val="00151D6C"/>
    <w:rsid w:val="00153DED"/>
    <w:rsid w:val="0015437E"/>
    <w:rsid w:val="00156E44"/>
    <w:rsid w:val="00157EE5"/>
    <w:rsid w:val="00163F6E"/>
    <w:rsid w:val="00167399"/>
    <w:rsid w:val="00170CF5"/>
    <w:rsid w:val="00170EB1"/>
    <w:rsid w:val="00171A98"/>
    <w:rsid w:val="001722A0"/>
    <w:rsid w:val="0017357A"/>
    <w:rsid w:val="00173CFA"/>
    <w:rsid w:val="001763BD"/>
    <w:rsid w:val="001770A3"/>
    <w:rsid w:val="00177DB0"/>
    <w:rsid w:val="00181571"/>
    <w:rsid w:val="00181B00"/>
    <w:rsid w:val="00185AE4"/>
    <w:rsid w:val="001868F0"/>
    <w:rsid w:val="00186D7E"/>
    <w:rsid w:val="0018725E"/>
    <w:rsid w:val="00187766"/>
    <w:rsid w:val="001923C0"/>
    <w:rsid w:val="00192AE4"/>
    <w:rsid w:val="001957AE"/>
    <w:rsid w:val="00196CD9"/>
    <w:rsid w:val="001A0668"/>
    <w:rsid w:val="001A2FAA"/>
    <w:rsid w:val="001A33C1"/>
    <w:rsid w:val="001A4401"/>
    <w:rsid w:val="001A6080"/>
    <w:rsid w:val="001A6350"/>
    <w:rsid w:val="001B2C7A"/>
    <w:rsid w:val="001B359C"/>
    <w:rsid w:val="001B37CF"/>
    <w:rsid w:val="001B3CC6"/>
    <w:rsid w:val="001B3D97"/>
    <w:rsid w:val="001B4C13"/>
    <w:rsid w:val="001B52FA"/>
    <w:rsid w:val="001B7874"/>
    <w:rsid w:val="001C499E"/>
    <w:rsid w:val="001C6086"/>
    <w:rsid w:val="001C7B1D"/>
    <w:rsid w:val="001D16BC"/>
    <w:rsid w:val="001D381E"/>
    <w:rsid w:val="001D38B0"/>
    <w:rsid w:val="001D4990"/>
    <w:rsid w:val="001D5EC6"/>
    <w:rsid w:val="001E192C"/>
    <w:rsid w:val="001E22EB"/>
    <w:rsid w:val="001E2F72"/>
    <w:rsid w:val="001E38FD"/>
    <w:rsid w:val="001E75BE"/>
    <w:rsid w:val="001F155D"/>
    <w:rsid w:val="001F4ED5"/>
    <w:rsid w:val="001F5613"/>
    <w:rsid w:val="001F5AAD"/>
    <w:rsid w:val="001F6325"/>
    <w:rsid w:val="001F634E"/>
    <w:rsid w:val="001F6752"/>
    <w:rsid w:val="0020047A"/>
    <w:rsid w:val="00206341"/>
    <w:rsid w:val="00206565"/>
    <w:rsid w:val="00207494"/>
    <w:rsid w:val="0021216A"/>
    <w:rsid w:val="00213CD5"/>
    <w:rsid w:val="002175F0"/>
    <w:rsid w:val="00222AE9"/>
    <w:rsid w:val="00226EE5"/>
    <w:rsid w:val="0023028A"/>
    <w:rsid w:val="002333F3"/>
    <w:rsid w:val="002335A6"/>
    <w:rsid w:val="00235D26"/>
    <w:rsid w:val="00240F78"/>
    <w:rsid w:val="002415E0"/>
    <w:rsid w:val="00243AF3"/>
    <w:rsid w:val="00246EBF"/>
    <w:rsid w:val="00247239"/>
    <w:rsid w:val="0025411C"/>
    <w:rsid w:val="002544BE"/>
    <w:rsid w:val="00254CFA"/>
    <w:rsid w:val="002559F9"/>
    <w:rsid w:val="002574A5"/>
    <w:rsid w:val="002579A0"/>
    <w:rsid w:val="00257D47"/>
    <w:rsid w:val="00261A40"/>
    <w:rsid w:val="0026258A"/>
    <w:rsid w:val="002631FF"/>
    <w:rsid w:val="00263988"/>
    <w:rsid w:val="002639DE"/>
    <w:rsid w:val="00263A67"/>
    <w:rsid w:val="00263E18"/>
    <w:rsid w:val="002648E5"/>
    <w:rsid w:val="00266A86"/>
    <w:rsid w:val="00271B49"/>
    <w:rsid w:val="00272471"/>
    <w:rsid w:val="00272A8E"/>
    <w:rsid w:val="00276300"/>
    <w:rsid w:val="0027641F"/>
    <w:rsid w:val="00277D68"/>
    <w:rsid w:val="0028101E"/>
    <w:rsid w:val="00281FF5"/>
    <w:rsid w:val="002855A8"/>
    <w:rsid w:val="00285F1D"/>
    <w:rsid w:val="00287D10"/>
    <w:rsid w:val="00294F6E"/>
    <w:rsid w:val="0029614F"/>
    <w:rsid w:val="00297670"/>
    <w:rsid w:val="002A2C73"/>
    <w:rsid w:val="002A5CFF"/>
    <w:rsid w:val="002B137A"/>
    <w:rsid w:val="002B4915"/>
    <w:rsid w:val="002B5C14"/>
    <w:rsid w:val="002B5EB8"/>
    <w:rsid w:val="002B6BA8"/>
    <w:rsid w:val="002C1A07"/>
    <w:rsid w:val="002C1B35"/>
    <w:rsid w:val="002C2B09"/>
    <w:rsid w:val="002C3642"/>
    <w:rsid w:val="002C6454"/>
    <w:rsid w:val="002C7493"/>
    <w:rsid w:val="002D38CA"/>
    <w:rsid w:val="002D3D8B"/>
    <w:rsid w:val="002D432D"/>
    <w:rsid w:val="002D6535"/>
    <w:rsid w:val="002D716B"/>
    <w:rsid w:val="002D7909"/>
    <w:rsid w:val="002E1012"/>
    <w:rsid w:val="002E2734"/>
    <w:rsid w:val="002E6EF3"/>
    <w:rsid w:val="002F0974"/>
    <w:rsid w:val="002F1789"/>
    <w:rsid w:val="002F18BD"/>
    <w:rsid w:val="002F259A"/>
    <w:rsid w:val="002F3665"/>
    <w:rsid w:val="002F6CF4"/>
    <w:rsid w:val="002F6FE7"/>
    <w:rsid w:val="002F7527"/>
    <w:rsid w:val="00304E97"/>
    <w:rsid w:val="00311455"/>
    <w:rsid w:val="00313550"/>
    <w:rsid w:val="003168F9"/>
    <w:rsid w:val="00316B49"/>
    <w:rsid w:val="00317F96"/>
    <w:rsid w:val="00322C68"/>
    <w:rsid w:val="003246D0"/>
    <w:rsid w:val="00331B30"/>
    <w:rsid w:val="00332BA3"/>
    <w:rsid w:val="00340DF6"/>
    <w:rsid w:val="00342730"/>
    <w:rsid w:val="00342860"/>
    <w:rsid w:val="00344BEB"/>
    <w:rsid w:val="0035389C"/>
    <w:rsid w:val="0035412C"/>
    <w:rsid w:val="003550D7"/>
    <w:rsid w:val="00357B78"/>
    <w:rsid w:val="00361B3A"/>
    <w:rsid w:val="00362A6F"/>
    <w:rsid w:val="00362DBE"/>
    <w:rsid w:val="00363692"/>
    <w:rsid w:val="0036440E"/>
    <w:rsid w:val="00365324"/>
    <w:rsid w:val="00372B15"/>
    <w:rsid w:val="0037725A"/>
    <w:rsid w:val="00386FCA"/>
    <w:rsid w:val="0038761B"/>
    <w:rsid w:val="0039007A"/>
    <w:rsid w:val="0039194F"/>
    <w:rsid w:val="00392E62"/>
    <w:rsid w:val="00392ECA"/>
    <w:rsid w:val="00393ABE"/>
    <w:rsid w:val="00396432"/>
    <w:rsid w:val="00396DA1"/>
    <w:rsid w:val="003A03FE"/>
    <w:rsid w:val="003A125A"/>
    <w:rsid w:val="003A541F"/>
    <w:rsid w:val="003A7D59"/>
    <w:rsid w:val="003B0856"/>
    <w:rsid w:val="003B0A83"/>
    <w:rsid w:val="003B10CD"/>
    <w:rsid w:val="003B2AC9"/>
    <w:rsid w:val="003B55BD"/>
    <w:rsid w:val="003B660C"/>
    <w:rsid w:val="003B7B99"/>
    <w:rsid w:val="003C612A"/>
    <w:rsid w:val="003C74D9"/>
    <w:rsid w:val="003D0877"/>
    <w:rsid w:val="003D1326"/>
    <w:rsid w:val="003D38BC"/>
    <w:rsid w:val="003D6831"/>
    <w:rsid w:val="003D68A0"/>
    <w:rsid w:val="003D6B94"/>
    <w:rsid w:val="003D6ECC"/>
    <w:rsid w:val="003E3CCC"/>
    <w:rsid w:val="003E49C2"/>
    <w:rsid w:val="003E4A8F"/>
    <w:rsid w:val="003E5116"/>
    <w:rsid w:val="003F77FE"/>
    <w:rsid w:val="00401541"/>
    <w:rsid w:val="0040204C"/>
    <w:rsid w:val="00402847"/>
    <w:rsid w:val="004102AE"/>
    <w:rsid w:val="00411F93"/>
    <w:rsid w:val="00413BF3"/>
    <w:rsid w:val="00413C4D"/>
    <w:rsid w:val="00413D8D"/>
    <w:rsid w:val="004141EE"/>
    <w:rsid w:val="00416D46"/>
    <w:rsid w:val="00417BEF"/>
    <w:rsid w:val="00417E5B"/>
    <w:rsid w:val="0042116E"/>
    <w:rsid w:val="00422778"/>
    <w:rsid w:val="0042548A"/>
    <w:rsid w:val="00426DC4"/>
    <w:rsid w:val="00427B6C"/>
    <w:rsid w:val="0043033B"/>
    <w:rsid w:val="0043294A"/>
    <w:rsid w:val="00433381"/>
    <w:rsid w:val="004351C6"/>
    <w:rsid w:val="00436839"/>
    <w:rsid w:val="004368A1"/>
    <w:rsid w:val="00437B92"/>
    <w:rsid w:val="0044030C"/>
    <w:rsid w:val="00440669"/>
    <w:rsid w:val="004424D5"/>
    <w:rsid w:val="00442C5A"/>
    <w:rsid w:val="00443A52"/>
    <w:rsid w:val="004513F9"/>
    <w:rsid w:val="00452968"/>
    <w:rsid w:val="00452FAD"/>
    <w:rsid w:val="00453FFD"/>
    <w:rsid w:val="0045444F"/>
    <w:rsid w:val="00454BF7"/>
    <w:rsid w:val="00465757"/>
    <w:rsid w:val="00470636"/>
    <w:rsid w:val="00471DCF"/>
    <w:rsid w:val="004732D7"/>
    <w:rsid w:val="00482000"/>
    <w:rsid w:val="00482E57"/>
    <w:rsid w:val="0048352B"/>
    <w:rsid w:val="00484ABD"/>
    <w:rsid w:val="00484EB2"/>
    <w:rsid w:val="00485798"/>
    <w:rsid w:val="00490C25"/>
    <w:rsid w:val="00490E7B"/>
    <w:rsid w:val="00490F32"/>
    <w:rsid w:val="00495653"/>
    <w:rsid w:val="004A141E"/>
    <w:rsid w:val="004A21D8"/>
    <w:rsid w:val="004A2FF4"/>
    <w:rsid w:val="004A3CD1"/>
    <w:rsid w:val="004A6700"/>
    <w:rsid w:val="004B10F2"/>
    <w:rsid w:val="004B1D86"/>
    <w:rsid w:val="004B2121"/>
    <w:rsid w:val="004B3ACE"/>
    <w:rsid w:val="004B495C"/>
    <w:rsid w:val="004B5880"/>
    <w:rsid w:val="004B7413"/>
    <w:rsid w:val="004B7661"/>
    <w:rsid w:val="004B7C03"/>
    <w:rsid w:val="004C08A0"/>
    <w:rsid w:val="004C340D"/>
    <w:rsid w:val="004C5CFF"/>
    <w:rsid w:val="004C75B0"/>
    <w:rsid w:val="004D3EF4"/>
    <w:rsid w:val="004D4A68"/>
    <w:rsid w:val="004D509D"/>
    <w:rsid w:val="004D6050"/>
    <w:rsid w:val="004D605D"/>
    <w:rsid w:val="004D6621"/>
    <w:rsid w:val="004D7242"/>
    <w:rsid w:val="004E1441"/>
    <w:rsid w:val="004E348C"/>
    <w:rsid w:val="004E575A"/>
    <w:rsid w:val="004E7BA8"/>
    <w:rsid w:val="004E7F11"/>
    <w:rsid w:val="004F15DA"/>
    <w:rsid w:val="004F5AD0"/>
    <w:rsid w:val="00503E1D"/>
    <w:rsid w:val="00505201"/>
    <w:rsid w:val="005111A7"/>
    <w:rsid w:val="00511514"/>
    <w:rsid w:val="00511A9D"/>
    <w:rsid w:val="00513039"/>
    <w:rsid w:val="00515D1F"/>
    <w:rsid w:val="005178D4"/>
    <w:rsid w:val="00524FCD"/>
    <w:rsid w:val="005260B2"/>
    <w:rsid w:val="005266CD"/>
    <w:rsid w:val="00527748"/>
    <w:rsid w:val="00527D3E"/>
    <w:rsid w:val="00533495"/>
    <w:rsid w:val="00533772"/>
    <w:rsid w:val="00534F02"/>
    <w:rsid w:val="00537963"/>
    <w:rsid w:val="00540944"/>
    <w:rsid w:val="00540BBC"/>
    <w:rsid w:val="00540CD0"/>
    <w:rsid w:val="00541921"/>
    <w:rsid w:val="00542098"/>
    <w:rsid w:val="00542589"/>
    <w:rsid w:val="005428FC"/>
    <w:rsid w:val="00543681"/>
    <w:rsid w:val="00543842"/>
    <w:rsid w:val="00544249"/>
    <w:rsid w:val="00545D65"/>
    <w:rsid w:val="00547E70"/>
    <w:rsid w:val="005529DD"/>
    <w:rsid w:val="0055386E"/>
    <w:rsid w:val="00557749"/>
    <w:rsid w:val="00557E5B"/>
    <w:rsid w:val="005600B0"/>
    <w:rsid w:val="0056126F"/>
    <w:rsid w:val="005725B2"/>
    <w:rsid w:val="0057421B"/>
    <w:rsid w:val="005745FF"/>
    <w:rsid w:val="00575F97"/>
    <w:rsid w:val="00576505"/>
    <w:rsid w:val="00577674"/>
    <w:rsid w:val="00577928"/>
    <w:rsid w:val="00582A66"/>
    <w:rsid w:val="00584C04"/>
    <w:rsid w:val="0058713E"/>
    <w:rsid w:val="005908D8"/>
    <w:rsid w:val="00590C1E"/>
    <w:rsid w:val="00592293"/>
    <w:rsid w:val="00592FEE"/>
    <w:rsid w:val="005933F7"/>
    <w:rsid w:val="00594FA1"/>
    <w:rsid w:val="005A2761"/>
    <w:rsid w:val="005A3625"/>
    <w:rsid w:val="005A4AD8"/>
    <w:rsid w:val="005A4D23"/>
    <w:rsid w:val="005B2EC1"/>
    <w:rsid w:val="005B409C"/>
    <w:rsid w:val="005B6513"/>
    <w:rsid w:val="005B67F8"/>
    <w:rsid w:val="005B68CC"/>
    <w:rsid w:val="005C1B3D"/>
    <w:rsid w:val="005C3433"/>
    <w:rsid w:val="005C3579"/>
    <w:rsid w:val="005C39F8"/>
    <w:rsid w:val="005C5665"/>
    <w:rsid w:val="005C6F16"/>
    <w:rsid w:val="005D3222"/>
    <w:rsid w:val="005D3658"/>
    <w:rsid w:val="005D3A3B"/>
    <w:rsid w:val="005D42ED"/>
    <w:rsid w:val="005D4A4A"/>
    <w:rsid w:val="005D5C37"/>
    <w:rsid w:val="005D61C0"/>
    <w:rsid w:val="005D6A2E"/>
    <w:rsid w:val="005D702E"/>
    <w:rsid w:val="005E0E46"/>
    <w:rsid w:val="005E1D51"/>
    <w:rsid w:val="005E308A"/>
    <w:rsid w:val="005E5668"/>
    <w:rsid w:val="005E6497"/>
    <w:rsid w:val="005E7F61"/>
    <w:rsid w:val="005F02D4"/>
    <w:rsid w:val="005F1235"/>
    <w:rsid w:val="005F28B8"/>
    <w:rsid w:val="005F2DF5"/>
    <w:rsid w:val="005F3B40"/>
    <w:rsid w:val="00602F07"/>
    <w:rsid w:val="00603202"/>
    <w:rsid w:val="00606395"/>
    <w:rsid w:val="00607769"/>
    <w:rsid w:val="00607A2B"/>
    <w:rsid w:val="0061072F"/>
    <w:rsid w:val="00611274"/>
    <w:rsid w:val="00611405"/>
    <w:rsid w:val="00612C22"/>
    <w:rsid w:val="006135BB"/>
    <w:rsid w:val="00614410"/>
    <w:rsid w:val="0061514B"/>
    <w:rsid w:val="006230B9"/>
    <w:rsid w:val="00623458"/>
    <w:rsid w:val="00626999"/>
    <w:rsid w:val="006311A4"/>
    <w:rsid w:val="00634516"/>
    <w:rsid w:val="00637498"/>
    <w:rsid w:val="00640C96"/>
    <w:rsid w:val="00644330"/>
    <w:rsid w:val="0064774D"/>
    <w:rsid w:val="006478F1"/>
    <w:rsid w:val="00647A24"/>
    <w:rsid w:val="00650676"/>
    <w:rsid w:val="00652266"/>
    <w:rsid w:val="006524DE"/>
    <w:rsid w:val="00652835"/>
    <w:rsid w:val="00653A63"/>
    <w:rsid w:val="00653AB0"/>
    <w:rsid w:val="00655D9E"/>
    <w:rsid w:val="00656D93"/>
    <w:rsid w:val="00662528"/>
    <w:rsid w:val="00664350"/>
    <w:rsid w:val="00666F12"/>
    <w:rsid w:val="00667983"/>
    <w:rsid w:val="006713D2"/>
    <w:rsid w:val="00671B32"/>
    <w:rsid w:val="00672CA6"/>
    <w:rsid w:val="006746CF"/>
    <w:rsid w:val="00674F33"/>
    <w:rsid w:val="00676872"/>
    <w:rsid w:val="00681396"/>
    <w:rsid w:val="006818D6"/>
    <w:rsid w:val="00683360"/>
    <w:rsid w:val="00687345"/>
    <w:rsid w:val="00687CF2"/>
    <w:rsid w:val="00691DBC"/>
    <w:rsid w:val="00692A6B"/>
    <w:rsid w:val="00694A6D"/>
    <w:rsid w:val="00696079"/>
    <w:rsid w:val="006A4449"/>
    <w:rsid w:val="006B0091"/>
    <w:rsid w:val="006B45D0"/>
    <w:rsid w:val="006B57AA"/>
    <w:rsid w:val="006B784C"/>
    <w:rsid w:val="006C15ED"/>
    <w:rsid w:val="006C242B"/>
    <w:rsid w:val="006C52D5"/>
    <w:rsid w:val="006C6F0B"/>
    <w:rsid w:val="006C7FFB"/>
    <w:rsid w:val="006D0F7F"/>
    <w:rsid w:val="006D2654"/>
    <w:rsid w:val="006D318D"/>
    <w:rsid w:val="006D3659"/>
    <w:rsid w:val="006D39B4"/>
    <w:rsid w:val="006D3C43"/>
    <w:rsid w:val="006D674C"/>
    <w:rsid w:val="006E0B29"/>
    <w:rsid w:val="006E6A86"/>
    <w:rsid w:val="006E6BFE"/>
    <w:rsid w:val="006F08FB"/>
    <w:rsid w:val="006F2E20"/>
    <w:rsid w:val="006F303D"/>
    <w:rsid w:val="006F407C"/>
    <w:rsid w:val="006F6589"/>
    <w:rsid w:val="007007F6"/>
    <w:rsid w:val="00701520"/>
    <w:rsid w:val="00702C2B"/>
    <w:rsid w:val="00705A97"/>
    <w:rsid w:val="00707459"/>
    <w:rsid w:val="007074EB"/>
    <w:rsid w:val="0072061F"/>
    <w:rsid w:val="00720DD8"/>
    <w:rsid w:val="0072236F"/>
    <w:rsid w:val="00722402"/>
    <w:rsid w:val="00723AF6"/>
    <w:rsid w:val="0072431C"/>
    <w:rsid w:val="00727350"/>
    <w:rsid w:val="00740071"/>
    <w:rsid w:val="0074132B"/>
    <w:rsid w:val="00741D14"/>
    <w:rsid w:val="0074535F"/>
    <w:rsid w:val="00747A5A"/>
    <w:rsid w:val="00747B37"/>
    <w:rsid w:val="00750189"/>
    <w:rsid w:val="00752265"/>
    <w:rsid w:val="00753049"/>
    <w:rsid w:val="00757D6C"/>
    <w:rsid w:val="00760C93"/>
    <w:rsid w:val="007611CF"/>
    <w:rsid w:val="00765241"/>
    <w:rsid w:val="00765277"/>
    <w:rsid w:val="00766199"/>
    <w:rsid w:val="007661C5"/>
    <w:rsid w:val="00766FDF"/>
    <w:rsid w:val="00767B25"/>
    <w:rsid w:val="00770D9C"/>
    <w:rsid w:val="00775CE2"/>
    <w:rsid w:val="00777266"/>
    <w:rsid w:val="00783B86"/>
    <w:rsid w:val="00783E91"/>
    <w:rsid w:val="007869D1"/>
    <w:rsid w:val="00786BCC"/>
    <w:rsid w:val="0078702D"/>
    <w:rsid w:val="00787FAB"/>
    <w:rsid w:val="00791A6F"/>
    <w:rsid w:val="00791A97"/>
    <w:rsid w:val="00791F42"/>
    <w:rsid w:val="00793BC0"/>
    <w:rsid w:val="00793D6B"/>
    <w:rsid w:val="007969CE"/>
    <w:rsid w:val="007973E1"/>
    <w:rsid w:val="007A170B"/>
    <w:rsid w:val="007A5CA1"/>
    <w:rsid w:val="007B0790"/>
    <w:rsid w:val="007B15A5"/>
    <w:rsid w:val="007B176A"/>
    <w:rsid w:val="007B2BF4"/>
    <w:rsid w:val="007B3C12"/>
    <w:rsid w:val="007B678A"/>
    <w:rsid w:val="007B689D"/>
    <w:rsid w:val="007C3D07"/>
    <w:rsid w:val="007C3DC7"/>
    <w:rsid w:val="007C654D"/>
    <w:rsid w:val="007C6EF0"/>
    <w:rsid w:val="007C7C84"/>
    <w:rsid w:val="007D0046"/>
    <w:rsid w:val="007D05AA"/>
    <w:rsid w:val="007D2223"/>
    <w:rsid w:val="007D4585"/>
    <w:rsid w:val="007D51F1"/>
    <w:rsid w:val="007D523D"/>
    <w:rsid w:val="007D6671"/>
    <w:rsid w:val="007E1058"/>
    <w:rsid w:val="007E30BE"/>
    <w:rsid w:val="007E50E9"/>
    <w:rsid w:val="007E5D42"/>
    <w:rsid w:val="007E63E7"/>
    <w:rsid w:val="007E65A4"/>
    <w:rsid w:val="007E67BC"/>
    <w:rsid w:val="007F0EC3"/>
    <w:rsid w:val="007F3D05"/>
    <w:rsid w:val="00802909"/>
    <w:rsid w:val="008036EB"/>
    <w:rsid w:val="008065EC"/>
    <w:rsid w:val="0080690B"/>
    <w:rsid w:val="00813DD3"/>
    <w:rsid w:val="00814269"/>
    <w:rsid w:val="00814C50"/>
    <w:rsid w:val="00816566"/>
    <w:rsid w:val="008225C0"/>
    <w:rsid w:val="008271CE"/>
    <w:rsid w:val="008278AB"/>
    <w:rsid w:val="0083173D"/>
    <w:rsid w:val="00831C8A"/>
    <w:rsid w:val="00832F32"/>
    <w:rsid w:val="00833B75"/>
    <w:rsid w:val="00836BF3"/>
    <w:rsid w:val="00841F49"/>
    <w:rsid w:val="008427BF"/>
    <w:rsid w:val="00843513"/>
    <w:rsid w:val="00845DF2"/>
    <w:rsid w:val="0084632F"/>
    <w:rsid w:val="0084710C"/>
    <w:rsid w:val="008471DE"/>
    <w:rsid w:val="00847CF0"/>
    <w:rsid w:val="00850A74"/>
    <w:rsid w:val="00850C66"/>
    <w:rsid w:val="00857E92"/>
    <w:rsid w:val="00867287"/>
    <w:rsid w:val="00867DE8"/>
    <w:rsid w:val="00870F7C"/>
    <w:rsid w:val="00871649"/>
    <w:rsid w:val="00871DBE"/>
    <w:rsid w:val="00872A61"/>
    <w:rsid w:val="00873CD4"/>
    <w:rsid w:val="00876558"/>
    <w:rsid w:val="00880175"/>
    <w:rsid w:val="008809B5"/>
    <w:rsid w:val="00882934"/>
    <w:rsid w:val="008926E5"/>
    <w:rsid w:val="00893B3D"/>
    <w:rsid w:val="00893B6E"/>
    <w:rsid w:val="00895295"/>
    <w:rsid w:val="008A02C5"/>
    <w:rsid w:val="008A56F2"/>
    <w:rsid w:val="008A72A2"/>
    <w:rsid w:val="008A7CE3"/>
    <w:rsid w:val="008A7E0C"/>
    <w:rsid w:val="008B1DAC"/>
    <w:rsid w:val="008B26C1"/>
    <w:rsid w:val="008B33E3"/>
    <w:rsid w:val="008B47F5"/>
    <w:rsid w:val="008B5F60"/>
    <w:rsid w:val="008B6A07"/>
    <w:rsid w:val="008B6F47"/>
    <w:rsid w:val="008B7849"/>
    <w:rsid w:val="008B7B0A"/>
    <w:rsid w:val="008B7DA3"/>
    <w:rsid w:val="008C1D3B"/>
    <w:rsid w:val="008C263F"/>
    <w:rsid w:val="008C36D8"/>
    <w:rsid w:val="008C3D58"/>
    <w:rsid w:val="008C447F"/>
    <w:rsid w:val="008C5F9E"/>
    <w:rsid w:val="008D00D7"/>
    <w:rsid w:val="008D6E8F"/>
    <w:rsid w:val="008E0FFD"/>
    <w:rsid w:val="008E1F9A"/>
    <w:rsid w:val="008E4A95"/>
    <w:rsid w:val="008E6AA9"/>
    <w:rsid w:val="008E7B49"/>
    <w:rsid w:val="008F1100"/>
    <w:rsid w:val="008F1BE5"/>
    <w:rsid w:val="008F42F3"/>
    <w:rsid w:val="008F5532"/>
    <w:rsid w:val="008F6D70"/>
    <w:rsid w:val="00900D2F"/>
    <w:rsid w:val="00901521"/>
    <w:rsid w:val="00906411"/>
    <w:rsid w:val="0091485E"/>
    <w:rsid w:val="009163BC"/>
    <w:rsid w:val="00917CFE"/>
    <w:rsid w:val="00920C61"/>
    <w:rsid w:val="00921AF4"/>
    <w:rsid w:val="00923877"/>
    <w:rsid w:val="009271B9"/>
    <w:rsid w:val="00931522"/>
    <w:rsid w:val="00931CD5"/>
    <w:rsid w:val="00933B63"/>
    <w:rsid w:val="00933FE2"/>
    <w:rsid w:val="00934A5F"/>
    <w:rsid w:val="009375F9"/>
    <w:rsid w:val="009406D0"/>
    <w:rsid w:val="009435C8"/>
    <w:rsid w:val="00944B8D"/>
    <w:rsid w:val="00945A85"/>
    <w:rsid w:val="00946D4E"/>
    <w:rsid w:val="00952473"/>
    <w:rsid w:val="00952826"/>
    <w:rsid w:val="009544D5"/>
    <w:rsid w:val="009570F8"/>
    <w:rsid w:val="00961740"/>
    <w:rsid w:val="009660EA"/>
    <w:rsid w:val="00970D5C"/>
    <w:rsid w:val="009755F0"/>
    <w:rsid w:val="00976BE7"/>
    <w:rsid w:val="00977965"/>
    <w:rsid w:val="009820D1"/>
    <w:rsid w:val="009822A9"/>
    <w:rsid w:val="009838B8"/>
    <w:rsid w:val="009839A9"/>
    <w:rsid w:val="009839B2"/>
    <w:rsid w:val="00986D25"/>
    <w:rsid w:val="00991319"/>
    <w:rsid w:val="00994F6F"/>
    <w:rsid w:val="009951F7"/>
    <w:rsid w:val="0099568E"/>
    <w:rsid w:val="00996B9F"/>
    <w:rsid w:val="009A0E29"/>
    <w:rsid w:val="009A1563"/>
    <w:rsid w:val="009A3894"/>
    <w:rsid w:val="009A3CA4"/>
    <w:rsid w:val="009B1AC6"/>
    <w:rsid w:val="009B311B"/>
    <w:rsid w:val="009B384A"/>
    <w:rsid w:val="009B55CD"/>
    <w:rsid w:val="009B6332"/>
    <w:rsid w:val="009C040E"/>
    <w:rsid w:val="009C0E1A"/>
    <w:rsid w:val="009C0FC5"/>
    <w:rsid w:val="009C37EA"/>
    <w:rsid w:val="009C4C96"/>
    <w:rsid w:val="009C5C11"/>
    <w:rsid w:val="009C5F7D"/>
    <w:rsid w:val="009D0A76"/>
    <w:rsid w:val="009D0AA7"/>
    <w:rsid w:val="009D780C"/>
    <w:rsid w:val="009E06AC"/>
    <w:rsid w:val="009E2D6C"/>
    <w:rsid w:val="009E463B"/>
    <w:rsid w:val="009E487A"/>
    <w:rsid w:val="009F00DF"/>
    <w:rsid w:val="009F28D2"/>
    <w:rsid w:val="009F2EF8"/>
    <w:rsid w:val="00A000DA"/>
    <w:rsid w:val="00A01760"/>
    <w:rsid w:val="00A03A3A"/>
    <w:rsid w:val="00A06335"/>
    <w:rsid w:val="00A109E0"/>
    <w:rsid w:val="00A116FA"/>
    <w:rsid w:val="00A12C75"/>
    <w:rsid w:val="00A15397"/>
    <w:rsid w:val="00A173F1"/>
    <w:rsid w:val="00A17AAD"/>
    <w:rsid w:val="00A2337D"/>
    <w:rsid w:val="00A242D2"/>
    <w:rsid w:val="00A32D86"/>
    <w:rsid w:val="00A42F6D"/>
    <w:rsid w:val="00A4482B"/>
    <w:rsid w:val="00A44ABF"/>
    <w:rsid w:val="00A4704D"/>
    <w:rsid w:val="00A47A59"/>
    <w:rsid w:val="00A509DB"/>
    <w:rsid w:val="00A50D4A"/>
    <w:rsid w:val="00A50E95"/>
    <w:rsid w:val="00A53756"/>
    <w:rsid w:val="00A5387C"/>
    <w:rsid w:val="00A54EC8"/>
    <w:rsid w:val="00A55E02"/>
    <w:rsid w:val="00A56D48"/>
    <w:rsid w:val="00A56FBF"/>
    <w:rsid w:val="00A63B2B"/>
    <w:rsid w:val="00A65C44"/>
    <w:rsid w:val="00A703A5"/>
    <w:rsid w:val="00A72B3F"/>
    <w:rsid w:val="00A73742"/>
    <w:rsid w:val="00A74CF7"/>
    <w:rsid w:val="00A763CE"/>
    <w:rsid w:val="00A776A9"/>
    <w:rsid w:val="00A7798A"/>
    <w:rsid w:val="00A8148A"/>
    <w:rsid w:val="00A8220B"/>
    <w:rsid w:val="00A85BC0"/>
    <w:rsid w:val="00A86694"/>
    <w:rsid w:val="00A86764"/>
    <w:rsid w:val="00A9025B"/>
    <w:rsid w:val="00A91F57"/>
    <w:rsid w:val="00A97514"/>
    <w:rsid w:val="00AA285D"/>
    <w:rsid w:val="00AA3AA6"/>
    <w:rsid w:val="00AA4FCB"/>
    <w:rsid w:val="00AB19EB"/>
    <w:rsid w:val="00AB2401"/>
    <w:rsid w:val="00AC40C4"/>
    <w:rsid w:val="00AC40D3"/>
    <w:rsid w:val="00AC53BE"/>
    <w:rsid w:val="00AD0311"/>
    <w:rsid w:val="00AD067C"/>
    <w:rsid w:val="00AD44C8"/>
    <w:rsid w:val="00AD4A1C"/>
    <w:rsid w:val="00AD5F86"/>
    <w:rsid w:val="00AD6CF4"/>
    <w:rsid w:val="00AE26FC"/>
    <w:rsid w:val="00AE3D6C"/>
    <w:rsid w:val="00AE4411"/>
    <w:rsid w:val="00AF3446"/>
    <w:rsid w:val="00AF4109"/>
    <w:rsid w:val="00AF6551"/>
    <w:rsid w:val="00AF6A79"/>
    <w:rsid w:val="00AF75C6"/>
    <w:rsid w:val="00AF7D61"/>
    <w:rsid w:val="00B011DA"/>
    <w:rsid w:val="00B0185D"/>
    <w:rsid w:val="00B02235"/>
    <w:rsid w:val="00B029EC"/>
    <w:rsid w:val="00B04AEC"/>
    <w:rsid w:val="00B0554D"/>
    <w:rsid w:val="00B11D0A"/>
    <w:rsid w:val="00B17184"/>
    <w:rsid w:val="00B17234"/>
    <w:rsid w:val="00B20A9F"/>
    <w:rsid w:val="00B20F37"/>
    <w:rsid w:val="00B223FF"/>
    <w:rsid w:val="00B232CA"/>
    <w:rsid w:val="00B26296"/>
    <w:rsid w:val="00B26CB3"/>
    <w:rsid w:val="00B30941"/>
    <w:rsid w:val="00B34491"/>
    <w:rsid w:val="00B352A6"/>
    <w:rsid w:val="00B3777F"/>
    <w:rsid w:val="00B37D68"/>
    <w:rsid w:val="00B413D2"/>
    <w:rsid w:val="00B41D33"/>
    <w:rsid w:val="00B506CC"/>
    <w:rsid w:val="00B5128A"/>
    <w:rsid w:val="00B533E5"/>
    <w:rsid w:val="00B53F9E"/>
    <w:rsid w:val="00B54F78"/>
    <w:rsid w:val="00B553BC"/>
    <w:rsid w:val="00B56AB6"/>
    <w:rsid w:val="00B601AF"/>
    <w:rsid w:val="00B660FC"/>
    <w:rsid w:val="00B66607"/>
    <w:rsid w:val="00B704D6"/>
    <w:rsid w:val="00B70C2D"/>
    <w:rsid w:val="00B710FD"/>
    <w:rsid w:val="00B72112"/>
    <w:rsid w:val="00B757B9"/>
    <w:rsid w:val="00B75B03"/>
    <w:rsid w:val="00B83518"/>
    <w:rsid w:val="00B83829"/>
    <w:rsid w:val="00B83C22"/>
    <w:rsid w:val="00B85316"/>
    <w:rsid w:val="00B87DDC"/>
    <w:rsid w:val="00B906AD"/>
    <w:rsid w:val="00B97907"/>
    <w:rsid w:val="00BA1737"/>
    <w:rsid w:val="00BA2FFE"/>
    <w:rsid w:val="00BA3BD1"/>
    <w:rsid w:val="00BA5E67"/>
    <w:rsid w:val="00BB319F"/>
    <w:rsid w:val="00BB37CA"/>
    <w:rsid w:val="00BB3A41"/>
    <w:rsid w:val="00BB4290"/>
    <w:rsid w:val="00BB4F42"/>
    <w:rsid w:val="00BB53A7"/>
    <w:rsid w:val="00BB755E"/>
    <w:rsid w:val="00BC019C"/>
    <w:rsid w:val="00BC1D87"/>
    <w:rsid w:val="00BC4D73"/>
    <w:rsid w:val="00BC7B25"/>
    <w:rsid w:val="00BD3EE4"/>
    <w:rsid w:val="00BD6F2C"/>
    <w:rsid w:val="00BD726B"/>
    <w:rsid w:val="00BE097B"/>
    <w:rsid w:val="00BE09D1"/>
    <w:rsid w:val="00BE187B"/>
    <w:rsid w:val="00BE19F0"/>
    <w:rsid w:val="00BE19F1"/>
    <w:rsid w:val="00BE3E98"/>
    <w:rsid w:val="00BE4A6C"/>
    <w:rsid w:val="00BE5C36"/>
    <w:rsid w:val="00BE6811"/>
    <w:rsid w:val="00BE6EA9"/>
    <w:rsid w:val="00BF0CCF"/>
    <w:rsid w:val="00BF1027"/>
    <w:rsid w:val="00BF582D"/>
    <w:rsid w:val="00BF626C"/>
    <w:rsid w:val="00C01A9B"/>
    <w:rsid w:val="00C01CF3"/>
    <w:rsid w:val="00C06CCC"/>
    <w:rsid w:val="00C06E0C"/>
    <w:rsid w:val="00C10244"/>
    <w:rsid w:val="00C103CF"/>
    <w:rsid w:val="00C11084"/>
    <w:rsid w:val="00C11B21"/>
    <w:rsid w:val="00C142C1"/>
    <w:rsid w:val="00C1531C"/>
    <w:rsid w:val="00C20AF0"/>
    <w:rsid w:val="00C21D27"/>
    <w:rsid w:val="00C21DB1"/>
    <w:rsid w:val="00C21EE7"/>
    <w:rsid w:val="00C23231"/>
    <w:rsid w:val="00C32341"/>
    <w:rsid w:val="00C33CE9"/>
    <w:rsid w:val="00C36E54"/>
    <w:rsid w:val="00C41E43"/>
    <w:rsid w:val="00C47610"/>
    <w:rsid w:val="00C50961"/>
    <w:rsid w:val="00C5261F"/>
    <w:rsid w:val="00C54BF8"/>
    <w:rsid w:val="00C61E34"/>
    <w:rsid w:val="00C64993"/>
    <w:rsid w:val="00C6680F"/>
    <w:rsid w:val="00C733DD"/>
    <w:rsid w:val="00C7356A"/>
    <w:rsid w:val="00C73913"/>
    <w:rsid w:val="00C73D81"/>
    <w:rsid w:val="00C8167E"/>
    <w:rsid w:val="00C81837"/>
    <w:rsid w:val="00C82292"/>
    <w:rsid w:val="00C83070"/>
    <w:rsid w:val="00C836D2"/>
    <w:rsid w:val="00C84421"/>
    <w:rsid w:val="00C84AFA"/>
    <w:rsid w:val="00C86CA0"/>
    <w:rsid w:val="00C87D22"/>
    <w:rsid w:val="00C90276"/>
    <w:rsid w:val="00C949FC"/>
    <w:rsid w:val="00C95471"/>
    <w:rsid w:val="00C96A4F"/>
    <w:rsid w:val="00CA1389"/>
    <w:rsid w:val="00CA2047"/>
    <w:rsid w:val="00CA402E"/>
    <w:rsid w:val="00CA696E"/>
    <w:rsid w:val="00CA76BF"/>
    <w:rsid w:val="00CB2EDA"/>
    <w:rsid w:val="00CB5C77"/>
    <w:rsid w:val="00CC1A36"/>
    <w:rsid w:val="00CC2458"/>
    <w:rsid w:val="00CC357C"/>
    <w:rsid w:val="00CD3167"/>
    <w:rsid w:val="00CD3A89"/>
    <w:rsid w:val="00CE2859"/>
    <w:rsid w:val="00CE5328"/>
    <w:rsid w:val="00CF3E2D"/>
    <w:rsid w:val="00CF72E9"/>
    <w:rsid w:val="00D01479"/>
    <w:rsid w:val="00D03605"/>
    <w:rsid w:val="00D03AFC"/>
    <w:rsid w:val="00D03D69"/>
    <w:rsid w:val="00D03FC9"/>
    <w:rsid w:val="00D04D38"/>
    <w:rsid w:val="00D071D5"/>
    <w:rsid w:val="00D11AAC"/>
    <w:rsid w:val="00D11DA1"/>
    <w:rsid w:val="00D202C9"/>
    <w:rsid w:val="00D2054E"/>
    <w:rsid w:val="00D21447"/>
    <w:rsid w:val="00D232F5"/>
    <w:rsid w:val="00D23CC6"/>
    <w:rsid w:val="00D2532D"/>
    <w:rsid w:val="00D25695"/>
    <w:rsid w:val="00D26270"/>
    <w:rsid w:val="00D316D8"/>
    <w:rsid w:val="00D333F9"/>
    <w:rsid w:val="00D36066"/>
    <w:rsid w:val="00D405F8"/>
    <w:rsid w:val="00D40919"/>
    <w:rsid w:val="00D40FCE"/>
    <w:rsid w:val="00D446E2"/>
    <w:rsid w:val="00D44CAF"/>
    <w:rsid w:val="00D50B04"/>
    <w:rsid w:val="00D512F3"/>
    <w:rsid w:val="00D5251F"/>
    <w:rsid w:val="00D527C6"/>
    <w:rsid w:val="00D5336F"/>
    <w:rsid w:val="00D54A6F"/>
    <w:rsid w:val="00D551B9"/>
    <w:rsid w:val="00D57850"/>
    <w:rsid w:val="00D61196"/>
    <w:rsid w:val="00D619A9"/>
    <w:rsid w:val="00D657E3"/>
    <w:rsid w:val="00D66124"/>
    <w:rsid w:val="00D668C2"/>
    <w:rsid w:val="00D70DAA"/>
    <w:rsid w:val="00D71B91"/>
    <w:rsid w:val="00D7726A"/>
    <w:rsid w:val="00D829AA"/>
    <w:rsid w:val="00D832B8"/>
    <w:rsid w:val="00D8393F"/>
    <w:rsid w:val="00D84F19"/>
    <w:rsid w:val="00D85FF4"/>
    <w:rsid w:val="00D9068C"/>
    <w:rsid w:val="00D909B8"/>
    <w:rsid w:val="00D91930"/>
    <w:rsid w:val="00D92CD9"/>
    <w:rsid w:val="00D92DF1"/>
    <w:rsid w:val="00D95627"/>
    <w:rsid w:val="00D96A93"/>
    <w:rsid w:val="00DA016A"/>
    <w:rsid w:val="00DA1318"/>
    <w:rsid w:val="00DA23CF"/>
    <w:rsid w:val="00DA252F"/>
    <w:rsid w:val="00DA2BA4"/>
    <w:rsid w:val="00DA77FF"/>
    <w:rsid w:val="00DB0697"/>
    <w:rsid w:val="00DB16CB"/>
    <w:rsid w:val="00DB43DC"/>
    <w:rsid w:val="00DB453B"/>
    <w:rsid w:val="00DB763D"/>
    <w:rsid w:val="00DC00AC"/>
    <w:rsid w:val="00DC162F"/>
    <w:rsid w:val="00DC24A0"/>
    <w:rsid w:val="00DC4489"/>
    <w:rsid w:val="00DC480C"/>
    <w:rsid w:val="00DC502D"/>
    <w:rsid w:val="00DC7E7B"/>
    <w:rsid w:val="00DD1F64"/>
    <w:rsid w:val="00DE0496"/>
    <w:rsid w:val="00DE095C"/>
    <w:rsid w:val="00DE1EE2"/>
    <w:rsid w:val="00DE7A0D"/>
    <w:rsid w:val="00E01BB6"/>
    <w:rsid w:val="00E027C0"/>
    <w:rsid w:val="00E039FA"/>
    <w:rsid w:val="00E04083"/>
    <w:rsid w:val="00E051BE"/>
    <w:rsid w:val="00E10AA8"/>
    <w:rsid w:val="00E15715"/>
    <w:rsid w:val="00E15787"/>
    <w:rsid w:val="00E22D73"/>
    <w:rsid w:val="00E241D9"/>
    <w:rsid w:val="00E27249"/>
    <w:rsid w:val="00E27A7A"/>
    <w:rsid w:val="00E3067F"/>
    <w:rsid w:val="00E30F1E"/>
    <w:rsid w:val="00E3133C"/>
    <w:rsid w:val="00E31B45"/>
    <w:rsid w:val="00E32B5B"/>
    <w:rsid w:val="00E345C9"/>
    <w:rsid w:val="00E37882"/>
    <w:rsid w:val="00E37B94"/>
    <w:rsid w:val="00E37FED"/>
    <w:rsid w:val="00E40232"/>
    <w:rsid w:val="00E40A68"/>
    <w:rsid w:val="00E42937"/>
    <w:rsid w:val="00E46772"/>
    <w:rsid w:val="00E51788"/>
    <w:rsid w:val="00E528ED"/>
    <w:rsid w:val="00E57D78"/>
    <w:rsid w:val="00E62DBB"/>
    <w:rsid w:val="00E6568D"/>
    <w:rsid w:val="00E66787"/>
    <w:rsid w:val="00E671C4"/>
    <w:rsid w:val="00E71CC0"/>
    <w:rsid w:val="00E71CF1"/>
    <w:rsid w:val="00E7245C"/>
    <w:rsid w:val="00E73DEC"/>
    <w:rsid w:val="00E74C52"/>
    <w:rsid w:val="00E823BE"/>
    <w:rsid w:val="00E82E72"/>
    <w:rsid w:val="00E83D6F"/>
    <w:rsid w:val="00E843B0"/>
    <w:rsid w:val="00E84EEE"/>
    <w:rsid w:val="00E935D7"/>
    <w:rsid w:val="00E97E69"/>
    <w:rsid w:val="00EA0AF8"/>
    <w:rsid w:val="00EA6DF9"/>
    <w:rsid w:val="00EB0960"/>
    <w:rsid w:val="00EB2197"/>
    <w:rsid w:val="00EB4DC6"/>
    <w:rsid w:val="00EC260D"/>
    <w:rsid w:val="00EC65CC"/>
    <w:rsid w:val="00EC6F20"/>
    <w:rsid w:val="00EC7CB8"/>
    <w:rsid w:val="00ED0AE4"/>
    <w:rsid w:val="00ED14BF"/>
    <w:rsid w:val="00ED18A0"/>
    <w:rsid w:val="00ED3C4C"/>
    <w:rsid w:val="00ED5DCF"/>
    <w:rsid w:val="00ED650F"/>
    <w:rsid w:val="00EE2283"/>
    <w:rsid w:val="00EE3260"/>
    <w:rsid w:val="00EE5217"/>
    <w:rsid w:val="00EE68B9"/>
    <w:rsid w:val="00EF1BC6"/>
    <w:rsid w:val="00EF1FA4"/>
    <w:rsid w:val="00EF475E"/>
    <w:rsid w:val="00EF62C6"/>
    <w:rsid w:val="00F01B9D"/>
    <w:rsid w:val="00F04A96"/>
    <w:rsid w:val="00F05444"/>
    <w:rsid w:val="00F05A86"/>
    <w:rsid w:val="00F07F4F"/>
    <w:rsid w:val="00F13810"/>
    <w:rsid w:val="00F14DD2"/>
    <w:rsid w:val="00F16C59"/>
    <w:rsid w:val="00F17D19"/>
    <w:rsid w:val="00F2097B"/>
    <w:rsid w:val="00F22859"/>
    <w:rsid w:val="00F23C09"/>
    <w:rsid w:val="00F242E2"/>
    <w:rsid w:val="00F253FD"/>
    <w:rsid w:val="00F271AC"/>
    <w:rsid w:val="00F322A2"/>
    <w:rsid w:val="00F3366F"/>
    <w:rsid w:val="00F34932"/>
    <w:rsid w:val="00F40D42"/>
    <w:rsid w:val="00F41A42"/>
    <w:rsid w:val="00F42CA8"/>
    <w:rsid w:val="00F464A1"/>
    <w:rsid w:val="00F5398F"/>
    <w:rsid w:val="00F60431"/>
    <w:rsid w:val="00F60D05"/>
    <w:rsid w:val="00F62710"/>
    <w:rsid w:val="00F62826"/>
    <w:rsid w:val="00F63422"/>
    <w:rsid w:val="00F65779"/>
    <w:rsid w:val="00F66014"/>
    <w:rsid w:val="00F67A7E"/>
    <w:rsid w:val="00F67E78"/>
    <w:rsid w:val="00F70E4A"/>
    <w:rsid w:val="00F7125A"/>
    <w:rsid w:val="00F728EB"/>
    <w:rsid w:val="00F731FA"/>
    <w:rsid w:val="00F768D9"/>
    <w:rsid w:val="00F8068C"/>
    <w:rsid w:val="00F80B91"/>
    <w:rsid w:val="00F83F4E"/>
    <w:rsid w:val="00F85832"/>
    <w:rsid w:val="00F903FA"/>
    <w:rsid w:val="00F9271F"/>
    <w:rsid w:val="00F94777"/>
    <w:rsid w:val="00F97489"/>
    <w:rsid w:val="00FA024C"/>
    <w:rsid w:val="00FA204C"/>
    <w:rsid w:val="00FA4B58"/>
    <w:rsid w:val="00FA6001"/>
    <w:rsid w:val="00FA7319"/>
    <w:rsid w:val="00FA7E71"/>
    <w:rsid w:val="00FB01D5"/>
    <w:rsid w:val="00FB54A4"/>
    <w:rsid w:val="00FB6CAA"/>
    <w:rsid w:val="00FC3313"/>
    <w:rsid w:val="00FC3806"/>
    <w:rsid w:val="00FC4BA4"/>
    <w:rsid w:val="00FC4D39"/>
    <w:rsid w:val="00FC760C"/>
    <w:rsid w:val="00FD39E0"/>
    <w:rsid w:val="00FD60FE"/>
    <w:rsid w:val="00FE6C6F"/>
    <w:rsid w:val="00FE76DE"/>
    <w:rsid w:val="00FE7E9D"/>
    <w:rsid w:val="00FF0E18"/>
    <w:rsid w:val="00FF33F2"/>
    <w:rsid w:val="00FF4750"/>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31C3"/>
  <w15:chartTrackingRefBased/>
  <w15:docId w15:val="{3348D213-D9FB-41C5-9215-89A21250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3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3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33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33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33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33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33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3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3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3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3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33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33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33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33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33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3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3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3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33F7"/>
    <w:pPr>
      <w:spacing w:before="160"/>
      <w:jc w:val="center"/>
    </w:pPr>
    <w:rPr>
      <w:i/>
      <w:iCs/>
      <w:color w:val="404040" w:themeColor="text1" w:themeTint="BF"/>
    </w:rPr>
  </w:style>
  <w:style w:type="character" w:customStyle="1" w:styleId="QuoteChar">
    <w:name w:val="Quote Char"/>
    <w:basedOn w:val="DefaultParagraphFont"/>
    <w:link w:val="Quote"/>
    <w:uiPriority w:val="29"/>
    <w:rsid w:val="005933F7"/>
    <w:rPr>
      <w:i/>
      <w:iCs/>
      <w:color w:val="404040" w:themeColor="text1" w:themeTint="BF"/>
    </w:rPr>
  </w:style>
  <w:style w:type="paragraph" w:styleId="ListParagraph">
    <w:name w:val="List Paragraph"/>
    <w:basedOn w:val="Normal"/>
    <w:uiPriority w:val="34"/>
    <w:qFormat/>
    <w:rsid w:val="005933F7"/>
    <w:pPr>
      <w:ind w:left="720"/>
      <w:contextualSpacing/>
    </w:pPr>
  </w:style>
  <w:style w:type="character" w:styleId="IntenseEmphasis">
    <w:name w:val="Intense Emphasis"/>
    <w:basedOn w:val="DefaultParagraphFont"/>
    <w:uiPriority w:val="21"/>
    <w:qFormat/>
    <w:rsid w:val="005933F7"/>
    <w:rPr>
      <w:i/>
      <w:iCs/>
      <w:color w:val="2F5496" w:themeColor="accent1" w:themeShade="BF"/>
    </w:rPr>
  </w:style>
  <w:style w:type="paragraph" w:styleId="IntenseQuote">
    <w:name w:val="Intense Quote"/>
    <w:basedOn w:val="Normal"/>
    <w:next w:val="Normal"/>
    <w:link w:val="IntenseQuoteChar"/>
    <w:uiPriority w:val="30"/>
    <w:qFormat/>
    <w:rsid w:val="00593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3F7"/>
    <w:rPr>
      <w:i/>
      <w:iCs/>
      <w:color w:val="2F5496" w:themeColor="accent1" w:themeShade="BF"/>
    </w:rPr>
  </w:style>
  <w:style w:type="character" w:styleId="IntenseReference">
    <w:name w:val="Intense Reference"/>
    <w:basedOn w:val="DefaultParagraphFont"/>
    <w:uiPriority w:val="32"/>
    <w:qFormat/>
    <w:rsid w:val="00593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18922</Characters>
  <Application>Microsoft Office Word</Application>
  <DocSecurity>0</DocSecurity>
  <Lines>157</Lines>
  <Paragraphs>44</Paragraphs>
  <ScaleCrop>false</ScaleCrop>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Bá Thành Nguyễn</cp:lastModifiedBy>
  <cp:revision>2</cp:revision>
  <dcterms:created xsi:type="dcterms:W3CDTF">2026-05-25T08:31:00Z</dcterms:created>
  <dcterms:modified xsi:type="dcterms:W3CDTF">2026-05-25T08:32:00Z</dcterms:modified>
</cp:coreProperties>
</file>