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outlineLvl w:val="0"/>
        <w:rPr>
          <w:b/>
          <w:sz w:val="28"/>
          <w:szCs w:val="28"/>
          <w:lang w:val="nl-NL"/>
        </w:rPr>
      </w:pPr>
      <w:r>
        <w:rPr>
          <w:b/>
          <w:sz w:val="28"/>
          <w:szCs w:val="28"/>
          <w:lang w:val="nl-NL"/>
        </w:rPr>
        <w:t>Phần 2. YÊU CẦU VỀ KỸ THUẬT</w:t>
      </w:r>
    </w:p>
    <w:p>
      <w:pPr>
        <w:widowControl w:val="0"/>
        <w:spacing w:before="120" w:after="120" w:line="264" w:lineRule="auto"/>
        <w:jc w:val="center"/>
        <w:outlineLvl w:val="1"/>
        <w:rPr>
          <w:sz w:val="28"/>
          <w:szCs w:val="28"/>
          <w:lang w:val="nl-NL"/>
        </w:rPr>
      </w:pPr>
      <w:r>
        <w:rPr>
          <w:b/>
          <w:sz w:val="28"/>
          <w:szCs w:val="28"/>
          <w:lang w:val="nl-NL"/>
        </w:rPr>
        <w:t>Chương V. YÊU CẦU VỀ KỸ THUẬT</w:t>
      </w:r>
    </w:p>
    <w:p>
      <w:pPr>
        <w:pStyle w:val="Subtitle"/>
        <w:rPr>
          <w:sz w:val="20"/>
          <w:szCs w:val="32"/>
          <w:lang w:val="nl-NL"/>
        </w:rPr>
      </w:pPr>
    </w:p>
    <w:p>
      <w:pPr>
        <w:pStyle w:val="SectionVIHeader"/>
        <w:widowControl w:val="0"/>
        <w:spacing w:after="120" w:line="264" w:lineRule="auto"/>
        <w:ind w:firstLine="709"/>
        <w:jc w:val="both"/>
        <w:rPr>
          <w:sz w:val="28"/>
          <w:szCs w:val="28"/>
          <w:lang w:val="nl-NL"/>
        </w:rPr>
      </w:pPr>
      <w:r>
        <w:rPr>
          <w:sz w:val="28"/>
          <w:szCs w:val="28"/>
          <w:lang w:val="nl-NL"/>
        </w:rPr>
        <w:t>Mục 1. Yêu cầu về kỹ thuật</w:t>
      </w:r>
    </w:p>
    <w:p>
      <w:pPr>
        <w:widowControl w:val="0"/>
        <w:spacing w:before="120" w:after="120" w:line="264" w:lineRule="auto"/>
        <w:ind w:firstLine="709"/>
        <w:rPr>
          <w:i/>
          <w:sz w:val="28"/>
          <w:szCs w:val="28"/>
          <w:lang w:val="nl-NL"/>
        </w:rPr>
      </w:pPr>
      <w:r>
        <w:rPr>
          <w:i/>
          <w:sz w:val="28"/>
          <w:szCs w:val="28"/>
          <w:lang w:val="nl-NL"/>
        </w:rPr>
        <w:t xml:space="preserve">Yêu cầu về kỹ thuật bao gồm các nội dung cơ bản như sau: </w:t>
      </w:r>
    </w:p>
    <w:p>
      <w:pPr>
        <w:widowControl w:val="0"/>
        <w:spacing w:before="120" w:after="120" w:line="264" w:lineRule="auto"/>
        <w:ind w:firstLine="709"/>
        <w:rPr>
          <w:b/>
          <w:i/>
          <w:sz w:val="28"/>
          <w:szCs w:val="28"/>
          <w:lang w:val="nl-NL"/>
        </w:rPr>
      </w:pPr>
      <w:r>
        <w:rPr>
          <w:b/>
          <w:i/>
          <w:sz w:val="28"/>
          <w:szCs w:val="28"/>
          <w:lang w:val="nl-NL"/>
        </w:rPr>
        <w:t>1.1. Giới thiệu chung về dự án/</w:t>
      </w:r>
      <w:r>
        <w:rPr>
          <w:b/>
          <w:i/>
          <w:sz w:val="28"/>
          <w:szCs w:val="28"/>
        </w:rPr>
        <w:t>dự toán mua sắm</w:t>
      </w:r>
      <w:r>
        <w:rPr>
          <w:b/>
          <w:i/>
          <w:sz w:val="28"/>
          <w:szCs w:val="28"/>
          <w:lang w:val="nl-NL"/>
        </w:rPr>
        <w:t>, gói thầu</w:t>
      </w:r>
    </w:p>
    <w:p>
      <w:pPr>
        <w:spacing w:before="120" w:after="120" w:line="276" w:lineRule="auto"/>
        <w:ind w:firstLine="709"/>
        <w:rPr>
          <w:b/>
          <w:bCs/>
          <w:i/>
          <w:iCs/>
          <w:sz w:val="28"/>
          <w:szCs w:val="28"/>
          <w:lang w:val="nl-NL"/>
        </w:rPr>
      </w:pPr>
      <w:r>
        <w:rPr>
          <w:spacing w:val="-4"/>
          <w:sz w:val="28"/>
          <w:szCs w:val="28"/>
          <w:lang w:val="nl-NL"/>
        </w:rPr>
        <w:t xml:space="preserve">- Tên dự toán mua sắm: </w:t>
      </w:r>
      <w:r>
        <w:rPr>
          <w:bCs/>
          <w:sz w:val="28"/>
          <w:szCs w:val="28"/>
          <w:lang w:val="nb-NO"/>
        </w:rPr>
        <w:t xml:space="preserve">Gói thầu </w:t>
      </w:r>
      <w:r>
        <w:rPr>
          <w:sz w:val="28"/>
          <w:szCs w:val="28"/>
        </w:rPr>
        <w:t>Mua sắm vật tư, y dụng cụ, test chẩn đoán năm 2026 - 2028</w:t>
      </w:r>
      <w:r>
        <w:rPr>
          <w:spacing w:val="-4"/>
          <w:sz w:val="28"/>
          <w:szCs w:val="28"/>
          <w:lang w:val="nl-NL"/>
        </w:rPr>
        <w:t>.</w:t>
      </w:r>
    </w:p>
    <w:p>
      <w:pPr>
        <w:spacing w:before="120" w:after="120" w:line="276" w:lineRule="auto"/>
        <w:ind w:firstLine="709"/>
        <w:rPr>
          <w:sz w:val="28"/>
          <w:szCs w:val="28"/>
        </w:rPr>
      </w:pPr>
      <w:r>
        <w:rPr>
          <w:sz w:val="28"/>
          <w:szCs w:val="28"/>
        </w:rPr>
        <w:t xml:space="preserve">- Tên gói thầu: </w:t>
      </w:r>
      <w:r>
        <w:rPr>
          <w:bCs/>
          <w:sz w:val="28"/>
          <w:szCs w:val="28"/>
          <w:lang w:val="nb-NO"/>
        </w:rPr>
        <w:t xml:space="preserve">Gói thầu </w:t>
      </w:r>
      <w:r>
        <w:rPr>
          <w:sz w:val="28"/>
          <w:szCs w:val="28"/>
        </w:rPr>
        <w:t>Mua sắm vật tư, y dụng cụ, test chẩn đoán năm 2026 - 2028</w:t>
      </w:r>
      <w:r>
        <w:rPr>
          <w:spacing w:val="-4"/>
          <w:sz w:val="28"/>
          <w:szCs w:val="28"/>
          <w:lang w:val="nl-NL"/>
        </w:rPr>
        <w:t>.</w:t>
      </w:r>
    </w:p>
    <w:p>
      <w:pPr>
        <w:spacing w:before="120" w:after="120" w:line="276" w:lineRule="auto"/>
        <w:ind w:firstLine="709"/>
        <w:rPr>
          <w:sz w:val="28"/>
          <w:szCs w:val="28"/>
        </w:rPr>
      </w:pPr>
      <w:r>
        <w:rPr>
          <w:sz w:val="28"/>
          <w:szCs w:val="28"/>
        </w:rPr>
        <w:t>- Nguồn vốn: Nguồn thu hoạt động sự nghiệp và các nguồn thu khác theo quy định của pháp luật.</w:t>
      </w:r>
    </w:p>
    <w:p>
      <w:pPr>
        <w:spacing w:before="120" w:after="120" w:line="276" w:lineRule="auto"/>
        <w:ind w:right="43" w:firstLine="709"/>
        <w:rPr>
          <w:sz w:val="28"/>
          <w:szCs w:val="28"/>
        </w:rPr>
      </w:pPr>
      <w:r>
        <w:rPr>
          <w:sz w:val="28"/>
          <w:szCs w:val="28"/>
        </w:rPr>
        <w:t xml:space="preserve">- Chủ đầu tư: </w:t>
      </w:r>
      <w:r>
        <w:rPr>
          <w:sz w:val="28"/>
          <w:szCs w:val="28"/>
          <w:lang w:val="nb-NO"/>
        </w:rPr>
        <w:t>Bệnh viện Đa khoa Lương Tài</w:t>
      </w:r>
      <w:r>
        <w:rPr>
          <w:sz w:val="28"/>
          <w:szCs w:val="28"/>
        </w:rPr>
        <w:t>.</w:t>
      </w:r>
    </w:p>
    <w:p>
      <w:pPr>
        <w:spacing w:before="120" w:after="120" w:line="276" w:lineRule="auto"/>
        <w:ind w:firstLine="709"/>
        <w:rPr>
          <w:sz w:val="28"/>
          <w:szCs w:val="28"/>
        </w:rPr>
      </w:pPr>
      <w:r>
        <w:rPr>
          <w:sz w:val="28"/>
          <w:szCs w:val="28"/>
        </w:rPr>
        <w:t xml:space="preserve">- Địa điểm thực hiện: </w:t>
      </w:r>
      <w:r>
        <w:rPr>
          <w:sz w:val="28"/>
          <w:szCs w:val="28"/>
          <w:lang w:val="nb-NO"/>
        </w:rPr>
        <w:t>Bệnh viện Đa khoa Lương Tài</w:t>
      </w:r>
      <w:r>
        <w:rPr>
          <w:sz w:val="28"/>
          <w:szCs w:val="28"/>
        </w:rPr>
        <w:t>.</w:t>
      </w:r>
    </w:p>
    <w:p>
      <w:pPr>
        <w:spacing w:before="120" w:after="120" w:line="276" w:lineRule="auto"/>
        <w:ind w:firstLine="709"/>
        <w:rPr>
          <w:sz w:val="28"/>
          <w:szCs w:val="28"/>
        </w:rPr>
      </w:pPr>
      <w:r>
        <w:rPr>
          <w:sz w:val="28"/>
          <w:szCs w:val="28"/>
          <w:lang w:val="nl-NL"/>
        </w:rPr>
        <w:t xml:space="preserve">- Hình thức lựa chọn nhà thầu: </w:t>
      </w:r>
      <w:r>
        <w:rPr>
          <w:sz w:val="28"/>
          <w:szCs w:val="28"/>
        </w:rPr>
        <w:t>Đấu thầu rộng rãi trong nước, qua mạng.</w:t>
      </w:r>
    </w:p>
    <w:p>
      <w:pPr>
        <w:spacing w:before="120" w:after="120" w:line="276" w:lineRule="auto"/>
        <w:ind w:firstLine="709"/>
        <w:rPr>
          <w:sz w:val="28"/>
          <w:szCs w:val="28"/>
          <w:lang w:val="nl-NL"/>
        </w:rPr>
      </w:pPr>
      <w:r>
        <w:rPr>
          <w:sz w:val="28"/>
          <w:szCs w:val="28"/>
        </w:rPr>
        <w:t>- Phương thức lựa chọn nhà thầu: Một giai đoạn một túi hồ sơ.</w:t>
      </w:r>
    </w:p>
    <w:p>
      <w:pPr>
        <w:spacing w:before="120" w:after="120" w:line="276" w:lineRule="auto"/>
        <w:ind w:firstLine="709"/>
        <w:rPr>
          <w:sz w:val="28"/>
          <w:szCs w:val="28"/>
          <w:lang w:val="nl-NL"/>
        </w:rPr>
      </w:pPr>
      <w:r>
        <w:rPr>
          <w:sz w:val="28"/>
          <w:szCs w:val="28"/>
          <w:lang w:val="nl-NL"/>
        </w:rPr>
        <w:t xml:space="preserve">- Thời gian bắt đầu tổ chức lựa chọn nhà thầu: </w:t>
      </w:r>
      <w:r>
        <w:rPr>
          <w:sz w:val="28"/>
          <w:szCs w:val="28"/>
        </w:rPr>
        <w:t>Tháng 05 năm 2026</w:t>
      </w:r>
      <w:r>
        <w:rPr>
          <w:sz w:val="28"/>
          <w:szCs w:val="28"/>
          <w:lang w:val="nl-NL"/>
        </w:rPr>
        <w:t>.</w:t>
      </w:r>
    </w:p>
    <w:p>
      <w:pPr>
        <w:spacing w:before="120" w:after="120" w:line="276" w:lineRule="auto"/>
        <w:ind w:firstLine="709"/>
        <w:rPr>
          <w:sz w:val="28"/>
          <w:szCs w:val="28"/>
          <w:lang w:val="nl-NL"/>
        </w:rPr>
      </w:pPr>
      <w:r>
        <w:rPr>
          <w:sz w:val="28"/>
          <w:szCs w:val="28"/>
          <w:lang w:val="nl-NL"/>
        </w:rPr>
        <w:t xml:space="preserve">- Loại hợp đồng: </w:t>
      </w:r>
      <w:r>
        <w:rPr>
          <w:color w:val="000000" w:themeColor="text1"/>
          <w:sz w:val="28"/>
          <w:szCs w:val="28"/>
        </w:rPr>
        <w:t>Hợp đồng theo đơn giá cố định</w:t>
      </w:r>
      <w:r>
        <w:rPr>
          <w:sz w:val="28"/>
          <w:szCs w:val="28"/>
          <w:lang w:val="nl-NL"/>
        </w:rPr>
        <w:t>.</w:t>
      </w:r>
    </w:p>
    <w:p>
      <w:pPr>
        <w:widowControl w:val="0"/>
        <w:spacing w:before="120" w:after="120" w:line="264" w:lineRule="auto"/>
        <w:ind w:firstLine="709"/>
        <w:rPr>
          <w:bCs/>
          <w:iCs/>
          <w:sz w:val="28"/>
          <w:szCs w:val="28"/>
          <w:lang w:val="nl-NL"/>
        </w:rPr>
      </w:pPr>
      <w:r>
        <w:rPr>
          <w:spacing w:val="6"/>
          <w:sz w:val="28"/>
          <w:szCs w:val="28"/>
          <w:lang w:val="nl-NL"/>
        </w:rPr>
        <w:t>- Thời gian thực hiện gói thầu: 24 tháng kể từ ngày Hợp đồng có hiệu lực.</w:t>
      </w:r>
    </w:p>
    <w:p>
      <w:pPr>
        <w:widowControl w:val="0"/>
        <w:spacing w:before="120" w:after="120" w:line="264" w:lineRule="auto"/>
        <w:ind w:firstLine="709"/>
        <w:rPr>
          <w:b/>
          <w:i/>
          <w:sz w:val="28"/>
          <w:szCs w:val="28"/>
          <w:lang w:val="nl-NL"/>
        </w:rPr>
      </w:pPr>
      <w:r>
        <w:rPr>
          <w:b/>
          <w:i/>
          <w:sz w:val="28"/>
          <w:szCs w:val="28"/>
          <w:lang w:val="nl-NL"/>
        </w:rPr>
        <w:t>1.2. Yêu cầu về kỹ thuật</w:t>
      </w:r>
    </w:p>
    <w:p>
      <w:pPr>
        <w:widowControl w:val="0"/>
        <w:spacing w:before="120" w:after="120" w:line="264" w:lineRule="auto"/>
        <w:ind w:firstLine="709"/>
        <w:rPr>
          <w:i/>
          <w:spacing w:val="-2"/>
          <w:sz w:val="28"/>
          <w:szCs w:val="28"/>
          <w:lang w:val="nl-NL"/>
        </w:rPr>
      </w:pPr>
      <w:r>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pPr>
        <w:widowControl w:val="0"/>
        <w:spacing w:before="120" w:after="120" w:line="264" w:lineRule="auto"/>
        <w:ind w:firstLine="709"/>
        <w:rPr>
          <w:i/>
          <w:spacing w:val="-2"/>
          <w:sz w:val="28"/>
          <w:szCs w:val="28"/>
          <w:lang w:val="nl-NL"/>
        </w:rPr>
      </w:pPr>
      <w:r>
        <w:rPr>
          <w:i/>
          <w:spacing w:val="-2"/>
          <w:sz w:val="28"/>
          <w:szCs w:val="28"/>
          <w:lang w:val="nl-NL"/>
        </w:rPr>
        <w:t>a) Yêu cầu về kỹ thuật chung:</w:t>
      </w:r>
    </w:p>
    <w:p>
      <w:pPr>
        <w:spacing w:before="40"/>
        <w:ind w:firstLine="709"/>
        <w:rPr>
          <w:sz w:val="28"/>
          <w:szCs w:val="28"/>
          <w:lang w:val="nl-NL"/>
        </w:rPr>
      </w:pPr>
      <w:r>
        <w:rPr>
          <w:sz w:val="28"/>
          <w:szCs w:val="28"/>
          <w:lang w:val="nl-NL"/>
        </w:rPr>
        <w:t>- Đối với các hàng hoá dự thầu, nhà thầu phải nêu rõ: Ký mã hiệu / Nhãn mác sản phẩm, Tên nhà sản xuất, Xuất xứ.</w:t>
      </w:r>
    </w:p>
    <w:p>
      <w:pPr>
        <w:spacing w:before="40"/>
        <w:ind w:firstLine="709"/>
        <w:rPr>
          <w:sz w:val="28"/>
          <w:szCs w:val="28"/>
          <w:lang w:val="nl-NL"/>
        </w:rPr>
      </w:pPr>
      <w:r>
        <w:rPr>
          <w:sz w:val="28"/>
          <w:szCs w:val="28"/>
          <w:lang w:val="nl-NL"/>
        </w:rPr>
        <w:t>- Đối với các hàng hóa là trang thiết bị y tế: Nhà máy sản xuất phải đạt tiêu chuẩn quản lý chất lượng ISO 13485 cho các loại hàng hóa tham dự thầu.</w:t>
      </w:r>
    </w:p>
    <w:p>
      <w:pPr>
        <w:widowControl w:val="0"/>
        <w:spacing w:before="120" w:after="120"/>
        <w:ind w:firstLine="709"/>
        <w:rPr>
          <w:iCs/>
          <w:sz w:val="28"/>
          <w:szCs w:val="28"/>
          <w:lang w:val="nl-NL"/>
        </w:rPr>
      </w:pPr>
      <w:r>
        <w:rPr>
          <w:sz w:val="28"/>
          <w:szCs w:val="28"/>
          <w:lang w:val="nl-NL"/>
        </w:rPr>
        <w:t>- Hàng hóa chào trong hồ sơ dự thầu phải đủ điều kiện lưu hành trên thị trường theo quy định tại Khoản 1 Điều 22 Văn bản hợp nhất số 03/VBHN-BYT ngày 11 tháng 4 năm 2023 của Bộ Y tế về Quản lý trang thiết bị. Trong hồ sơ dự thầu của nhà thầu phải có tài liệu theo quy định tại điểm a khoản 1 Điều 22 văn bản số 03/VBHN-BYT.</w:t>
      </w:r>
    </w:p>
    <w:p>
      <w:pPr>
        <w:widowControl w:val="0"/>
        <w:spacing w:before="120" w:after="120" w:line="264" w:lineRule="auto"/>
        <w:ind w:firstLine="709"/>
        <w:rPr>
          <w:i/>
          <w:spacing w:val="-2"/>
          <w:sz w:val="28"/>
          <w:szCs w:val="28"/>
          <w:lang w:val="nl-NL"/>
        </w:rPr>
      </w:pPr>
      <w:r>
        <w:rPr>
          <w:i/>
          <w:spacing w:val="-2"/>
          <w:sz w:val="28"/>
          <w:szCs w:val="28"/>
          <w:lang w:val="nl-NL"/>
        </w:rPr>
        <w:lastRenderedPageBreak/>
        <w:t>b) Yêu cầu về kỹ thuật cụ thể:</w:t>
      </w:r>
    </w:p>
    <w:p>
      <w:pPr>
        <w:spacing w:before="120" w:after="120" w:line="264" w:lineRule="auto"/>
        <w:rPr>
          <w:b/>
          <w:bCs/>
          <w:sz w:val="28"/>
          <w:szCs w:val="28"/>
          <w:lang w:val="nb-NO"/>
        </w:rPr>
      </w:pPr>
      <w:bookmarkStart w:id="0" w:name="_Hlk229476055"/>
      <w:r>
        <w:rPr>
          <w:b/>
          <w:bCs/>
          <w:color w:val="000000" w:themeColor="text1"/>
          <w:sz w:val="28"/>
          <w:szCs w:val="28"/>
          <w:lang w:val="nb-NO"/>
        </w:rPr>
        <w:t>Mua sắm vật tư Thận lọc máu</w:t>
      </w:r>
      <w:r>
        <w:rPr>
          <w:b/>
          <w:bCs/>
          <w:sz w:val="28"/>
          <w:szCs w:val="28"/>
          <w:lang w:val="nb-NO"/>
        </w:rPr>
        <w:t>, gồm 13 danh mục:</w:t>
      </w:r>
    </w:p>
    <w:tbl>
      <w:tblPr>
        <w:tblW w:w="107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7323"/>
      </w:tblGrid>
      <w:tr>
        <w:trPr>
          <w:trHeight w:val="80"/>
        </w:trPr>
        <w:tc>
          <w:tcPr>
            <w:tcW w:w="993" w:type="dxa"/>
            <w:shd w:val="clear" w:color="auto" w:fill="auto"/>
            <w:vAlign w:val="center"/>
          </w:tcPr>
          <w:bookmarkEnd w:id="0"/>
          <w:p>
            <w:pPr>
              <w:spacing w:before="120" w:after="120"/>
              <w:jc w:val="center"/>
              <w:rPr>
                <w:color w:val="000000"/>
                <w:sz w:val="26"/>
                <w:szCs w:val="26"/>
              </w:rPr>
            </w:pPr>
            <w:r>
              <w:rPr>
                <w:b/>
                <w:iCs/>
                <w:sz w:val="26"/>
                <w:szCs w:val="26"/>
              </w:rPr>
              <w:t>Hạng mục số</w:t>
            </w:r>
          </w:p>
        </w:tc>
        <w:tc>
          <w:tcPr>
            <w:tcW w:w="2410" w:type="dxa"/>
            <w:shd w:val="clear" w:color="auto" w:fill="auto"/>
            <w:vAlign w:val="center"/>
          </w:tcPr>
          <w:p>
            <w:pPr>
              <w:spacing w:before="120" w:after="120"/>
              <w:jc w:val="center"/>
              <w:rPr>
                <w:color w:val="000000"/>
                <w:sz w:val="26"/>
                <w:szCs w:val="26"/>
              </w:rPr>
            </w:pPr>
            <w:r>
              <w:rPr>
                <w:b/>
                <w:iCs/>
                <w:sz w:val="26"/>
                <w:szCs w:val="26"/>
              </w:rPr>
              <w:t>Tên hàng hóa/dịch vụ liên quan</w:t>
            </w:r>
          </w:p>
        </w:tc>
        <w:tc>
          <w:tcPr>
            <w:tcW w:w="7323" w:type="dxa"/>
            <w:vAlign w:val="center"/>
          </w:tcPr>
          <w:p>
            <w:pPr>
              <w:spacing w:before="120" w:after="120"/>
              <w:jc w:val="center"/>
              <w:rPr>
                <w:color w:val="000000"/>
                <w:sz w:val="26"/>
                <w:szCs w:val="26"/>
              </w:rPr>
            </w:pPr>
            <w:r>
              <w:rPr>
                <w:b/>
                <w:iCs/>
                <w:sz w:val="26"/>
                <w:szCs w:val="26"/>
              </w:rPr>
              <w:t>Thông số kỹ thuật và các tiêu chuẩn</w:t>
            </w:r>
          </w:p>
        </w:tc>
      </w:tr>
      <w:tr>
        <w:trPr>
          <w:trHeight w:val="80"/>
        </w:trPr>
        <w:tc>
          <w:tcPr>
            <w:tcW w:w="993" w:type="dxa"/>
            <w:shd w:val="clear" w:color="auto" w:fill="auto"/>
            <w:vAlign w:val="center"/>
          </w:tcPr>
          <w:p>
            <w:pPr>
              <w:spacing w:before="120" w:after="120"/>
              <w:jc w:val="center"/>
              <w:rPr>
                <w:color w:val="000000"/>
                <w:sz w:val="26"/>
                <w:szCs w:val="26"/>
              </w:rPr>
            </w:pPr>
            <w:r>
              <w:rPr>
                <w:color w:val="000000"/>
                <w:sz w:val="26"/>
                <w:szCs w:val="26"/>
              </w:rPr>
              <w:t>157</w:t>
            </w:r>
          </w:p>
        </w:tc>
        <w:tc>
          <w:tcPr>
            <w:tcW w:w="2410" w:type="dxa"/>
            <w:shd w:val="clear" w:color="auto" w:fill="auto"/>
            <w:vAlign w:val="center"/>
          </w:tcPr>
          <w:p>
            <w:pPr>
              <w:spacing w:before="120" w:after="120"/>
              <w:jc w:val="left"/>
              <w:rPr>
                <w:color w:val="000000"/>
                <w:sz w:val="26"/>
                <w:szCs w:val="26"/>
              </w:rPr>
            </w:pPr>
            <w:r>
              <w:rPr>
                <w:color w:val="000000"/>
                <w:sz w:val="26"/>
                <w:szCs w:val="26"/>
              </w:rPr>
              <w:t>Acid Citric</w:t>
            </w:r>
          </w:p>
        </w:tc>
        <w:tc>
          <w:tcPr>
            <w:tcW w:w="7323" w:type="dxa"/>
            <w:vAlign w:val="center"/>
          </w:tcPr>
          <w:p>
            <w:pPr>
              <w:spacing w:before="120" w:after="120"/>
              <w:jc w:val="left"/>
              <w:rPr>
                <w:color w:val="000000"/>
                <w:sz w:val="26"/>
                <w:szCs w:val="26"/>
              </w:rPr>
            </w:pPr>
            <w:r>
              <w:rPr>
                <w:color w:val="000000"/>
                <w:sz w:val="26"/>
                <w:szCs w:val="26"/>
              </w:rPr>
              <w:t>Trạng thái vật lý: dạng rắn; Bột kết tinh màu trắng hoặc tinh thể hay hạt không màu; Mùi đặc trưng: không mùi; Dùng điều chỉnh nồng độ Acid, chống oxxy hóa; Thành phần: Acid Citric ≥ 99,0%;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158</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Dây dẫn máu dùng cho máy chạy thận nhân tạo chu kỳ</w:t>
            </w:r>
          </w:p>
        </w:tc>
        <w:tc>
          <w:tcPr>
            <w:tcW w:w="7323" w:type="dxa"/>
            <w:vAlign w:val="center"/>
          </w:tcPr>
          <w:p>
            <w:pPr>
              <w:spacing w:before="120" w:after="120"/>
              <w:jc w:val="left"/>
              <w:rPr>
                <w:color w:val="000000"/>
                <w:sz w:val="26"/>
                <w:szCs w:val="26"/>
              </w:rPr>
            </w:pPr>
            <w:r>
              <w:rPr>
                <w:color w:val="000000"/>
                <w:sz w:val="26"/>
                <w:szCs w:val="26"/>
              </w:rPr>
              <w:t>Chất liệu: Nhựa PolyVinylChloride sử dụng trong y tế. Mỗi bộ dây bao gồm: 01 dây tĩnh mạch: có bầu tĩnh mạch (có màng lọc); 01 dây động mạch: có bầu  động mạch; Các khóa kẹp thiết kế theo tiêu chuẩn của nhà sản xuất. Dây bơm máu: Kích cỡ dây (đường kính trong x đường kính ngoài) = 8mm x 12mm (± 1%). Chiều dài dây: ≥ 350mm. Tiệt trùng bằng khí EO. Đạt tiêu chuẩn chất lượng về hệ thống quản lý an toàn cho sản phẩm y tế ISO 13485:2016 và một trong các tiêu chuẩn chất lượng sau: FDA hoặc CE hoặc ARTG (Úc) hoặc PMDA (Nhật Bản).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159</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Dung dịch làm sạch và khử trùng màng lọc thận nhân tạo Acid Peracetic</w:t>
            </w:r>
          </w:p>
        </w:tc>
        <w:tc>
          <w:tcPr>
            <w:tcW w:w="7323" w:type="dxa"/>
            <w:vAlign w:val="center"/>
          </w:tcPr>
          <w:p>
            <w:pPr>
              <w:spacing w:before="120" w:after="120"/>
              <w:jc w:val="left"/>
              <w:rPr>
                <w:color w:val="000000"/>
                <w:sz w:val="26"/>
                <w:szCs w:val="26"/>
              </w:rPr>
            </w:pPr>
            <w:r>
              <w:rPr>
                <w:color w:val="000000"/>
                <w:sz w:val="26"/>
                <w:szCs w:val="26"/>
              </w:rPr>
              <w:t>Thành phần: Acid Peracetic: ≥ 4%; Hydrogen peroxide: ≥ 19%; Acid acetic: ≥ 5%. Đạt tiêu chuẩn chất lượng về hệ thống quản lý an toàn cho sản phẩm y tế ISO 13485:2016;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160</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Dung dịch thẩm phân máu đậm đặc (Acid)</w:t>
            </w:r>
          </w:p>
        </w:tc>
        <w:tc>
          <w:tcPr>
            <w:tcW w:w="7323" w:type="dxa"/>
            <w:vAlign w:val="center"/>
          </w:tcPr>
          <w:p>
            <w:pPr>
              <w:spacing w:before="120" w:after="120"/>
              <w:jc w:val="left"/>
              <w:rPr>
                <w:color w:val="000000"/>
                <w:sz w:val="26"/>
                <w:szCs w:val="26"/>
              </w:rPr>
            </w:pPr>
            <w:r>
              <w:rPr>
                <w:color w:val="000000"/>
                <w:sz w:val="26"/>
                <w:szCs w:val="26"/>
              </w:rPr>
              <w:t>Thành phần trong 1.000ml dung dịch gồm: Natri clorid ≥ 270g; Kali clorid ≥ 6,0g;  Calci clorid.2H2O ≥ 9,0g; Magnesi clorid.6H2O ≥ 4,0g; Acid acetic băng ≥ 8,0g; Glucose.H2O  ≥ 49,0g; Nước: vừa đủ 1.000ml; Đạt tiêu chuẩn ISO 23500-3:2019. Đạt tiêu chuẩn chất lượng về hệ thống quản lý an toàn cho sản phẩm y tế ISO 13485:2016. Sử dụng tương thích với dung dịch thẩm phân máu đậm đặc Bicarbonat theo đúng khuyến cáo của nhà sản xuất.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161</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Dung dịch thẩm phân máu đậm đặc (Bicarbonat)</w:t>
            </w:r>
          </w:p>
        </w:tc>
        <w:tc>
          <w:tcPr>
            <w:tcW w:w="7323" w:type="dxa"/>
            <w:vAlign w:val="center"/>
          </w:tcPr>
          <w:p>
            <w:pPr>
              <w:spacing w:before="120" w:after="120"/>
              <w:jc w:val="left"/>
              <w:rPr>
                <w:color w:val="000000"/>
                <w:sz w:val="26"/>
                <w:szCs w:val="26"/>
              </w:rPr>
            </w:pPr>
            <w:r>
              <w:rPr>
                <w:color w:val="000000"/>
                <w:sz w:val="26"/>
                <w:szCs w:val="26"/>
              </w:rPr>
              <w:t xml:space="preserve">Thành phần trong 1.000ml dung dịch gồm: Natri bicarbonat ≥ 84,0g; Nước: vừa đủ 1.000ml; Đạt tiêu chuẩn ISO 23500-3:2019. Đạt tiêu chuẩn chất lượng về hệ thống quản lý an toàn cho sản phẩm y tế ISO 13485:2016. Sử dụng tương thích với dung dịch thẩm phân máu đậm đặc Acid theo đúng khuyến cáo của nhà sản </w:t>
            </w:r>
            <w:r>
              <w:rPr>
                <w:color w:val="000000"/>
                <w:sz w:val="26"/>
                <w:szCs w:val="26"/>
              </w:rPr>
              <w:lastRenderedPageBreak/>
              <w:t>xuất.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lastRenderedPageBreak/>
              <w:t>162</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Gạc thận vô khuẩn</w:t>
            </w:r>
          </w:p>
        </w:tc>
        <w:tc>
          <w:tcPr>
            <w:tcW w:w="7323" w:type="dxa"/>
            <w:vAlign w:val="center"/>
          </w:tcPr>
          <w:p>
            <w:pPr>
              <w:spacing w:before="120" w:after="120"/>
              <w:jc w:val="left"/>
              <w:rPr>
                <w:color w:val="000000"/>
                <w:sz w:val="26"/>
                <w:szCs w:val="26"/>
              </w:rPr>
            </w:pPr>
            <w:r>
              <w:rPr>
                <w:color w:val="000000"/>
                <w:sz w:val="26"/>
                <w:szCs w:val="26"/>
              </w:rPr>
              <w:t>Gạc hút nước (100% cotton) Không ẩm ướt, sợi chắc, mịn. Không có mùi mốc hoặc mùi khác lạ. Mịn màng, mềm mại, không gây kích ứng da, không có xơ mùn hòa tan trong nước và dịch phủ tạng. Muối kim loại: không quá hàm lượng cho phép. Độ ngậm nước trung bình 10 (5 trở lên)gr nước/1gr gạc; Tốc dộ hút nước: &lt;5s; Độ acid bazơ: trung tính; Tinh bột và dextrin: không phát hiện; Độ ẩm: ≤ 8%; Mật độ sợi: ngang 7-9 sợi/cm, dọc 9-11 sợi/cm; Trọng lượng ≥ 23(23-32)g/m2; Kích thước: 3,5cm x 4,5cm x 80 lớp. Đóng gói 2 lớp: 1 lớp PE + 1 lớp túi giấy y tế chuyên dụng</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163</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Kim chạy thận nhân tạo</w:t>
            </w:r>
          </w:p>
        </w:tc>
        <w:tc>
          <w:tcPr>
            <w:tcW w:w="7323" w:type="dxa"/>
            <w:vAlign w:val="center"/>
          </w:tcPr>
          <w:p>
            <w:pPr>
              <w:spacing w:before="120" w:after="120"/>
              <w:jc w:val="left"/>
              <w:rPr>
                <w:color w:val="000000"/>
                <w:sz w:val="26"/>
                <w:szCs w:val="26"/>
              </w:rPr>
            </w:pPr>
            <w:r>
              <w:rPr>
                <w:color w:val="000000"/>
                <w:sz w:val="26"/>
                <w:szCs w:val="26"/>
              </w:rPr>
              <w:t>Kim: Chất liệu kim: Thép không gỉ SUS 304 tiêu chuẩn y tế; Chiều dài kim ≥ 25mm; Đầu kim được thiết kế 2 mặt vát, mặt sau có khe mắt (giúp đảm bảo tối ưu việc rút máu). Kích cỡ: 16G:  đường kính trong kim ≥ 1,60mm; 17G: đường kính trong kim ≥ 1,40mm. Dây gắn kèm kim: Dây nối mềm, chất liệu dây gắn kèm kim bằng nguyên liệu PolyVinylChloride tiêu chuẩn y tế, không chứa tác nhân gây sốt (Pyrogen); Chiều dài dây gắn với kim ≥ 300mm; đường kính trong dây ≥ 3,0mm; đường kính ngoài dây ≥ 4,5mm; Đầu nối với dây máu không màu, làm từ Polyvinyl chloride  (PVC). Thiết kế: Có kẹp ống nhựa y tế, chắc chắn. Tiệt trùng bằng khí EO. Đạt tiêu chuẩn chất lượng về hệ thống quản lý an toàn cho sản phẩm y tế ISO 13485:2016, EC.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164</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Quả lọc thận nhân tạo chu kỳ</w:t>
            </w:r>
          </w:p>
        </w:tc>
        <w:tc>
          <w:tcPr>
            <w:tcW w:w="7323" w:type="dxa"/>
            <w:vAlign w:val="center"/>
          </w:tcPr>
          <w:p>
            <w:pPr>
              <w:spacing w:before="120" w:after="120"/>
              <w:jc w:val="left"/>
              <w:rPr>
                <w:color w:val="000000"/>
                <w:sz w:val="26"/>
                <w:szCs w:val="26"/>
              </w:rPr>
            </w:pPr>
            <w:r>
              <w:rPr>
                <w:color w:val="000000"/>
                <w:sz w:val="26"/>
                <w:szCs w:val="26"/>
              </w:rPr>
              <w:t>Chất liệu màng lọc: Polynephron hoặc Polysulfone. Hệ số siêu lọc (KUF): ≥ 14ml/giờ/mmHg. Độ thanh thải (Qb): 300ml/phút; Urea ≥  247 ml/min; Creatinine ≥  220ml/phút; Phosphate ≥ 186ml/phút; Vitamine B12 ≤ 124ml/phút. Thông số vật lý: Diện tích bề mặt ≥  1,6m2; Thể tích mồi ≤ 105ml. Tiệt trùng bằng tia xạ/tia Gamma. Đạt tiêu chuẩn chất lượng về hệ thống quản lý an toàn cho sản phẩm y tế ISO 13485:2016 và một trong các tiêu chuẩn chất lượng sau: FDA hoặc CE hoặc ARTG (Úc) hoặc PMDA (Nhật Bản).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165</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Test kiểm tra độ cứng của nước</w:t>
            </w:r>
          </w:p>
        </w:tc>
        <w:tc>
          <w:tcPr>
            <w:tcW w:w="7323" w:type="dxa"/>
            <w:vAlign w:val="center"/>
          </w:tcPr>
          <w:p>
            <w:pPr>
              <w:spacing w:before="120" w:after="120"/>
              <w:jc w:val="left"/>
              <w:rPr>
                <w:color w:val="000000"/>
                <w:sz w:val="26"/>
                <w:szCs w:val="26"/>
              </w:rPr>
            </w:pPr>
            <w:r>
              <w:rPr>
                <w:color w:val="000000"/>
                <w:sz w:val="26"/>
                <w:szCs w:val="26"/>
              </w:rPr>
              <w:t>Dùng để kiểm tra bán định lượng về chỉ số độ cứng của nước ở sau giai đoạn làm mềm của quá trình xử lý nước. Đạt tiêu chuẩn chất lượng ISO 13485:2016.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lastRenderedPageBreak/>
              <w:t>166</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Test kiểm tra hàm lượng Clo tổng dải thấp</w:t>
            </w:r>
          </w:p>
        </w:tc>
        <w:tc>
          <w:tcPr>
            <w:tcW w:w="7323" w:type="dxa"/>
            <w:vAlign w:val="center"/>
          </w:tcPr>
          <w:p>
            <w:pPr>
              <w:spacing w:before="120" w:after="120"/>
              <w:jc w:val="left"/>
              <w:rPr>
                <w:color w:val="000000"/>
                <w:sz w:val="26"/>
                <w:szCs w:val="26"/>
              </w:rPr>
            </w:pPr>
            <w:r>
              <w:rPr>
                <w:color w:val="000000"/>
                <w:sz w:val="26"/>
                <w:szCs w:val="26"/>
              </w:rPr>
              <w:t>Dùng để kiểm tra nồng độ của chất tẩy clo còn sót lại trong dung dịch được sử dụng để rửa các đường dây thẩm tách của các thiết bị chạy thận nhân tạo sau khi khử trùng. Đạt tiêu chuẩn chất lượng ISO 13485:2016. Có bảng chỉ thị với các khối màu để so sánh ước tính nồng độ clo có trong dung dịch rửa.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167</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Test kiểm tra nồng độ hiệu dụng của Peracetic Acid</w:t>
            </w:r>
          </w:p>
        </w:tc>
        <w:tc>
          <w:tcPr>
            <w:tcW w:w="7323" w:type="dxa"/>
            <w:vAlign w:val="center"/>
          </w:tcPr>
          <w:p>
            <w:pPr>
              <w:spacing w:before="120" w:after="120"/>
              <w:jc w:val="left"/>
              <w:rPr>
                <w:color w:val="000000"/>
                <w:sz w:val="26"/>
                <w:szCs w:val="26"/>
              </w:rPr>
            </w:pPr>
            <w:r>
              <w:rPr>
                <w:color w:val="000000"/>
                <w:sz w:val="26"/>
                <w:szCs w:val="26"/>
              </w:rPr>
              <w:t>Dùng để kiểm tra nồng độ hiệu dụng của Peracetic Acid trong các chất khử trùng. Đạt tiêu chuẩn chất lượng ISO 13485:2016.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168</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Test kiểm tra tồn dư Peroxide</w:t>
            </w:r>
          </w:p>
        </w:tc>
        <w:tc>
          <w:tcPr>
            <w:tcW w:w="7323" w:type="dxa"/>
            <w:vAlign w:val="center"/>
          </w:tcPr>
          <w:p>
            <w:pPr>
              <w:spacing w:before="120" w:after="120"/>
              <w:jc w:val="left"/>
              <w:rPr>
                <w:color w:val="000000"/>
                <w:sz w:val="26"/>
                <w:szCs w:val="26"/>
              </w:rPr>
            </w:pPr>
            <w:r>
              <w:rPr>
                <w:color w:val="000000"/>
                <w:sz w:val="26"/>
                <w:szCs w:val="26"/>
              </w:rPr>
              <w:t>Dùng để kiểm tra tồn dư Peroxide trong dung dịch rửa đường ống thẩm tách và dung dịch rửa quả lọc thận sau khi khử trùng bằng Peracetic acid/Peroxide. Đạt tiêu chuẩn chất lượng ISO 13485:2016. Cho phép chào hàng các sản phẩm có thông số tiêu chuẩn kỹ thuật tương đương hoặc cao hơn.</w:t>
            </w:r>
          </w:p>
        </w:tc>
      </w:tr>
      <w:tr>
        <w:trPr>
          <w:trHeight w:val="80"/>
        </w:trPr>
        <w:tc>
          <w:tcPr>
            <w:tcW w:w="993" w:type="dxa"/>
            <w:shd w:val="clear" w:color="auto" w:fill="auto"/>
            <w:vAlign w:val="center"/>
            <w:hideMark/>
          </w:tcPr>
          <w:p>
            <w:pPr>
              <w:spacing w:before="120" w:after="120"/>
              <w:jc w:val="center"/>
              <w:rPr>
                <w:color w:val="000000"/>
                <w:sz w:val="26"/>
                <w:szCs w:val="26"/>
              </w:rPr>
            </w:pPr>
            <w:r>
              <w:rPr>
                <w:color w:val="000000"/>
                <w:sz w:val="26"/>
                <w:szCs w:val="26"/>
              </w:rPr>
              <w:t>169</w:t>
            </w:r>
          </w:p>
        </w:tc>
        <w:tc>
          <w:tcPr>
            <w:tcW w:w="2410" w:type="dxa"/>
            <w:shd w:val="clear" w:color="auto" w:fill="auto"/>
            <w:vAlign w:val="center"/>
            <w:hideMark/>
          </w:tcPr>
          <w:p>
            <w:pPr>
              <w:spacing w:before="120" w:after="120"/>
              <w:jc w:val="left"/>
              <w:rPr>
                <w:color w:val="000000"/>
                <w:sz w:val="26"/>
                <w:szCs w:val="26"/>
              </w:rPr>
            </w:pPr>
            <w:r>
              <w:rPr>
                <w:color w:val="000000"/>
                <w:sz w:val="26"/>
                <w:szCs w:val="26"/>
              </w:rPr>
              <w:t>Muối hoàn nguyên</w:t>
            </w:r>
          </w:p>
        </w:tc>
        <w:tc>
          <w:tcPr>
            <w:tcW w:w="7323" w:type="dxa"/>
            <w:vAlign w:val="center"/>
          </w:tcPr>
          <w:p>
            <w:pPr>
              <w:spacing w:before="120" w:after="120"/>
              <w:jc w:val="left"/>
              <w:rPr>
                <w:color w:val="000000"/>
                <w:sz w:val="26"/>
                <w:szCs w:val="26"/>
              </w:rPr>
            </w:pPr>
            <w:r>
              <w:rPr>
                <w:color w:val="000000"/>
                <w:sz w:val="26"/>
                <w:szCs w:val="26"/>
              </w:rPr>
              <w:t>Dạng viên nén tan chậm màu trắng. Nồng độ muối tinh khiết ≥ 99%. Dùng tái sinh hệ làm mềm nước cứng. Cho phép chào hàng các sản phẩm có thông số tiêu chuẩn kỹ thuật tương đương hoặc cao hơn.</w:t>
            </w:r>
          </w:p>
        </w:tc>
      </w:tr>
    </w:tbl>
    <w:p>
      <w:pPr>
        <w:spacing w:before="120" w:after="120" w:line="264" w:lineRule="auto"/>
        <w:ind w:firstLine="709"/>
        <w:rPr>
          <w:b/>
          <w:iCs/>
          <w:sz w:val="28"/>
          <w:szCs w:val="28"/>
          <w:lang w:val="nl-NL"/>
        </w:rPr>
      </w:pPr>
      <w:r>
        <w:rPr>
          <w:b/>
          <w:iCs/>
          <w:sz w:val="28"/>
          <w:szCs w:val="28"/>
          <w:lang w:val="nl-NL"/>
        </w:rPr>
        <w:t>1.3. Các yêu cầu khác</w:t>
      </w:r>
    </w:p>
    <w:p>
      <w:pPr>
        <w:keepLines/>
        <w:spacing w:before="120" w:after="120" w:line="276" w:lineRule="auto"/>
        <w:ind w:left="360" w:firstLine="349"/>
        <w:rPr>
          <w:b/>
          <w:sz w:val="28"/>
          <w:szCs w:val="28"/>
          <w:lang w:val="nl-NL"/>
        </w:rPr>
      </w:pPr>
      <w:r>
        <w:rPr>
          <w:b/>
          <w:sz w:val="28"/>
          <w:szCs w:val="28"/>
          <w:lang w:val="nl-NL"/>
        </w:rPr>
        <w:t>Yêu cầu về phương thức thanh toán:</w:t>
      </w:r>
    </w:p>
    <w:p>
      <w:pPr>
        <w:spacing w:before="120" w:after="120" w:line="276" w:lineRule="auto"/>
        <w:ind w:firstLine="709"/>
        <w:rPr>
          <w:sz w:val="28"/>
          <w:szCs w:val="28"/>
          <w:lang w:val="nl-NL"/>
        </w:rPr>
      </w:pPr>
      <w:r>
        <w:rPr>
          <w:sz w:val="28"/>
          <w:szCs w:val="28"/>
          <w:lang w:val="vi-VN"/>
        </w:rPr>
        <w:t>-</w:t>
      </w:r>
      <w:r>
        <w:rPr>
          <w:sz w:val="28"/>
          <w:szCs w:val="28"/>
          <w:lang w:val="nl-NL"/>
        </w:rPr>
        <w:t xml:space="preserve"> Bên mua thanh toán chuyển khoản vào tài khoản của bên bán dựa trên cơ sở khối lượng hàng hóa bên mua đã cung cấp cho bên mua theo từng đợt.</w:t>
      </w:r>
    </w:p>
    <w:p>
      <w:pPr>
        <w:spacing w:before="120" w:after="120" w:line="276" w:lineRule="auto"/>
        <w:ind w:firstLine="709"/>
        <w:rPr>
          <w:sz w:val="28"/>
          <w:szCs w:val="28"/>
          <w:lang w:val="nl-NL"/>
        </w:rPr>
      </w:pPr>
      <w:r>
        <w:rPr>
          <w:sz w:val="28"/>
          <w:szCs w:val="28"/>
          <w:lang w:val="vi-VN"/>
        </w:rPr>
        <w:t>-</w:t>
      </w:r>
      <w:r>
        <w:rPr>
          <w:sz w:val="28"/>
          <w:szCs w:val="28"/>
          <w:lang w:val="nl-NL"/>
        </w:rPr>
        <w:t xml:space="preserve"> Điều kiện thanh toán và thời hạn thanh toán: Bên mua sẽ thanh toán cho bên bán trong vòng 120 ngày kể từ ngày bên mua hoàn thiện đúng, đủ các thủ tục mua bán theo quy định (hóa đơn GTGT, biên bản bàn giao</w:t>
      </w:r>
      <w:r>
        <w:rPr>
          <w:sz w:val="28"/>
          <w:szCs w:val="28"/>
          <w:lang w:val="vi-VN"/>
        </w:rPr>
        <w:t xml:space="preserve"> &amp;</w:t>
      </w:r>
      <w:r>
        <w:rPr>
          <w:sz w:val="28"/>
          <w:szCs w:val="28"/>
          <w:lang w:val="nl-NL"/>
        </w:rPr>
        <w:t xml:space="preserve"> nghiệm thu hàng hóa, bảng xác định giá trị khối lượng công việc hoàn thành và các giấy tờ liên quan khác theo quy định hiện hành).</w:t>
      </w:r>
    </w:p>
    <w:p>
      <w:pPr>
        <w:spacing w:before="120" w:after="120"/>
        <w:ind w:firstLine="709"/>
        <w:rPr>
          <w:sz w:val="28"/>
          <w:szCs w:val="28"/>
          <w:lang w:val="nl-NL"/>
        </w:rPr>
      </w:pPr>
      <w:r>
        <w:rPr>
          <w:sz w:val="28"/>
          <w:szCs w:val="28"/>
          <w:lang w:val="vi-VN"/>
        </w:rPr>
        <w:t>-</w:t>
      </w:r>
      <w:r>
        <w:rPr>
          <w:sz w:val="28"/>
          <w:szCs w:val="28"/>
          <w:lang w:val="nl-NL"/>
        </w:rPr>
        <w:t xml:space="preserve"> Đồng tiền thanh toán theo </w:t>
      </w:r>
      <w:r>
        <w:rPr>
          <w:sz w:val="28"/>
          <w:szCs w:val="28"/>
          <w:lang w:val="vi-VN"/>
        </w:rPr>
        <w:t>h</w:t>
      </w:r>
      <w:r>
        <w:rPr>
          <w:sz w:val="28"/>
          <w:szCs w:val="28"/>
          <w:lang w:val="nl-NL"/>
        </w:rPr>
        <w:t xml:space="preserve">ợp đồng: Là </w:t>
      </w:r>
      <w:r>
        <w:rPr>
          <w:sz w:val="28"/>
          <w:szCs w:val="28"/>
          <w:lang w:val="vi-VN"/>
        </w:rPr>
        <w:t>đ</w:t>
      </w:r>
      <w:r>
        <w:rPr>
          <w:sz w:val="28"/>
          <w:szCs w:val="28"/>
          <w:lang w:val="nl-NL"/>
        </w:rPr>
        <w:t>ồng Việt Nam</w:t>
      </w:r>
    </w:p>
    <w:p>
      <w:pPr>
        <w:pStyle w:val="ListParagraph"/>
        <w:keepLines/>
        <w:spacing w:before="120" w:after="120" w:line="276" w:lineRule="auto"/>
        <w:rPr>
          <w:b/>
          <w:sz w:val="28"/>
          <w:szCs w:val="28"/>
          <w:lang w:val="nl-NL"/>
        </w:rPr>
      </w:pPr>
      <w:r>
        <w:rPr>
          <w:b/>
          <w:sz w:val="28"/>
          <w:szCs w:val="28"/>
          <w:lang w:val="nl-NL"/>
        </w:rPr>
        <w:t>Yêu cầu về giao hàng:</w:t>
      </w:r>
    </w:p>
    <w:p>
      <w:pPr>
        <w:spacing w:before="120" w:after="120" w:line="276" w:lineRule="auto"/>
        <w:ind w:firstLine="700"/>
        <w:rPr>
          <w:sz w:val="28"/>
          <w:szCs w:val="28"/>
          <w:lang w:val="nl-NL"/>
        </w:rPr>
      </w:pPr>
      <w:r>
        <w:rPr>
          <w:sz w:val="28"/>
          <w:szCs w:val="28"/>
          <w:lang w:val="vi-VN"/>
        </w:rPr>
        <w:t>-</w:t>
      </w:r>
      <w:r>
        <w:rPr>
          <w:sz w:val="28"/>
          <w:szCs w:val="28"/>
          <w:lang w:val="nl-NL"/>
        </w:rPr>
        <w:t xml:space="preserve"> Hàng hóa được cung</w:t>
      </w:r>
      <w:r>
        <w:rPr>
          <w:sz w:val="28"/>
          <w:szCs w:val="28"/>
          <w:lang w:val="vi-VN"/>
        </w:rPr>
        <w:t xml:space="preserve"> </w:t>
      </w:r>
      <w:r>
        <w:rPr>
          <w:sz w:val="28"/>
          <w:szCs w:val="28"/>
          <w:lang w:val="nl-NL"/>
        </w:rPr>
        <w:t>cấp thành nhiều đợt</w:t>
      </w:r>
      <w:r>
        <w:rPr>
          <w:sz w:val="28"/>
          <w:szCs w:val="28"/>
          <w:lang w:val="vi-VN"/>
        </w:rPr>
        <w:t xml:space="preserve"> </w:t>
      </w:r>
      <w:r>
        <w:rPr>
          <w:sz w:val="28"/>
          <w:szCs w:val="28"/>
          <w:lang w:val="nl-NL"/>
        </w:rPr>
        <w:t>theo yêu cầu và dự trù của bên mua.</w:t>
      </w:r>
    </w:p>
    <w:p>
      <w:pPr>
        <w:spacing w:before="120" w:after="120"/>
        <w:ind w:firstLine="709"/>
        <w:rPr>
          <w:sz w:val="28"/>
          <w:szCs w:val="28"/>
          <w:lang w:val="nl-NL"/>
        </w:rPr>
      </w:pPr>
      <w:r>
        <w:rPr>
          <w:sz w:val="28"/>
          <w:szCs w:val="28"/>
          <w:lang w:val="vi-VN"/>
        </w:rPr>
        <w:t>-</w:t>
      </w:r>
      <w:r>
        <w:rPr>
          <w:sz w:val="28"/>
          <w:szCs w:val="28"/>
          <w:lang w:val="nl-NL"/>
        </w:rPr>
        <w:t xml:space="preserve"> </w:t>
      </w:r>
      <w:r>
        <w:rPr>
          <w:sz w:val="28"/>
          <w:szCs w:val="28"/>
          <w:lang w:val="vi-VN"/>
        </w:rPr>
        <w:t>Giao hàng tại k</w:t>
      </w:r>
      <w:r>
        <w:rPr>
          <w:sz w:val="28"/>
          <w:szCs w:val="28"/>
          <w:lang w:val="nl-NL"/>
        </w:rPr>
        <w:t xml:space="preserve">hoa Dược - VTTTB của </w:t>
      </w:r>
      <w:r>
        <w:rPr>
          <w:sz w:val="28"/>
          <w:szCs w:val="28"/>
          <w:lang w:val="nb-NO"/>
        </w:rPr>
        <w:t>Bệnh viện Đa khoa Lương Tài</w:t>
      </w:r>
      <w:r>
        <w:rPr>
          <w:sz w:val="28"/>
          <w:szCs w:val="28"/>
          <w:lang w:val="nl-NL"/>
        </w:rPr>
        <w:t>.</w:t>
      </w:r>
    </w:p>
    <w:p>
      <w:pPr>
        <w:pStyle w:val="ListParagraph"/>
        <w:spacing w:before="120" w:after="120" w:line="276" w:lineRule="auto"/>
        <w:rPr>
          <w:b/>
          <w:sz w:val="28"/>
          <w:szCs w:val="28"/>
          <w:lang w:val="nl-NL"/>
        </w:rPr>
      </w:pPr>
      <w:r>
        <w:rPr>
          <w:b/>
          <w:sz w:val="28"/>
          <w:szCs w:val="28"/>
          <w:lang w:val="nl-NL"/>
        </w:rPr>
        <w:t>Chất lượng và tài liệu:</w:t>
      </w:r>
    </w:p>
    <w:p>
      <w:pPr>
        <w:spacing w:before="120" w:after="120" w:line="276" w:lineRule="auto"/>
        <w:ind w:firstLine="709"/>
        <w:rPr>
          <w:sz w:val="28"/>
          <w:szCs w:val="28"/>
          <w:lang w:val="nl-NL"/>
        </w:rPr>
      </w:pPr>
      <w:r>
        <w:rPr>
          <w:sz w:val="28"/>
          <w:szCs w:val="28"/>
          <w:lang w:val="vi-VN"/>
        </w:rPr>
        <w:lastRenderedPageBreak/>
        <w:t xml:space="preserve">- </w:t>
      </w:r>
      <w:r>
        <w:rPr>
          <w:sz w:val="28"/>
          <w:szCs w:val="28"/>
        </w:rPr>
        <w:t>Bên bán</w:t>
      </w:r>
      <w:r>
        <w:rPr>
          <w:sz w:val="28"/>
          <w:szCs w:val="28"/>
          <w:lang w:val="vi-VN"/>
        </w:rPr>
        <w:t xml:space="preserve"> phải có c</w:t>
      </w:r>
      <w:r>
        <w:rPr>
          <w:sz w:val="28"/>
          <w:szCs w:val="28"/>
          <w:lang w:val="nl-NL"/>
        </w:rPr>
        <w:t>am kết hàng hóa mới 100%, cam kết đảm bảo chất lượng hàng hóa và chịu trách nhiệm về nguồn gốc hợp pháp của các sản phẩm chào thầu.</w:t>
      </w:r>
    </w:p>
    <w:p>
      <w:pPr>
        <w:spacing w:before="120" w:after="120" w:line="276" w:lineRule="auto"/>
        <w:ind w:firstLine="709"/>
        <w:rPr>
          <w:sz w:val="28"/>
          <w:szCs w:val="26"/>
          <w:lang w:val="nl-NL"/>
        </w:rPr>
      </w:pPr>
      <w:r>
        <w:rPr>
          <w:sz w:val="28"/>
          <w:szCs w:val="26"/>
          <w:lang w:val="nl-NL"/>
        </w:rPr>
        <w:t xml:space="preserve">- Tài liệu cung cấp khi bàn giao hàng hóa: </w:t>
      </w:r>
    </w:p>
    <w:p>
      <w:pPr>
        <w:spacing w:before="120" w:after="120" w:line="276" w:lineRule="auto"/>
        <w:ind w:firstLine="709"/>
        <w:rPr>
          <w:sz w:val="28"/>
          <w:szCs w:val="26"/>
          <w:lang w:val="nl-NL"/>
        </w:rPr>
      </w:pPr>
      <w:r>
        <w:rPr>
          <w:sz w:val="28"/>
          <w:szCs w:val="26"/>
          <w:lang w:val="nl-NL"/>
        </w:rPr>
        <w:t>+ Phiếu xuất kho / Phiếu báo lô.</w:t>
      </w:r>
    </w:p>
    <w:p>
      <w:pPr>
        <w:spacing w:before="120" w:after="120" w:line="276" w:lineRule="auto"/>
        <w:ind w:firstLine="709"/>
        <w:rPr>
          <w:sz w:val="28"/>
          <w:szCs w:val="26"/>
          <w:lang w:val="nl-NL"/>
        </w:rPr>
      </w:pPr>
      <w:r>
        <w:rPr>
          <w:sz w:val="28"/>
          <w:szCs w:val="26"/>
          <w:lang w:val="nl-NL"/>
        </w:rPr>
        <w:t xml:space="preserve">+ Đối với hàng hóa nhập khẩu: Nhà thầu cung cấp giấy </w:t>
      </w:r>
      <w:r>
        <w:rPr>
          <w:sz w:val="28"/>
          <w:szCs w:val="26"/>
          <w:lang w:val="vi-VN"/>
        </w:rPr>
        <w:t>c</w:t>
      </w:r>
      <w:r>
        <w:rPr>
          <w:sz w:val="28"/>
          <w:szCs w:val="26"/>
          <w:lang w:val="nl-NL"/>
        </w:rPr>
        <w:t>hứng nhận phân tích (COA) hoặc giấy chứng nhận chất lượng (CQ), giấy chứng nhận xuất xứ (CO), tờ khai hải quan hoặc các tài liệu khác tương đương.</w:t>
      </w:r>
    </w:p>
    <w:p>
      <w:pPr>
        <w:spacing w:before="120" w:after="120" w:line="276" w:lineRule="auto"/>
        <w:ind w:firstLine="709"/>
        <w:rPr>
          <w:sz w:val="28"/>
          <w:szCs w:val="26"/>
          <w:lang w:val="nl-NL"/>
        </w:rPr>
      </w:pPr>
      <w:r>
        <w:rPr>
          <w:sz w:val="28"/>
          <w:szCs w:val="26"/>
          <w:lang w:val="nl-NL"/>
        </w:rPr>
        <w:t>+ Đối với hàng hóa sản xuất trong nước: Nhà thầu cung cấp giấy chứng nhận xuất xưởng hoặc tương đương.</w:t>
      </w:r>
    </w:p>
    <w:p>
      <w:pPr>
        <w:spacing w:before="120" w:after="120" w:line="276" w:lineRule="auto"/>
        <w:ind w:firstLine="720"/>
        <w:rPr>
          <w:sz w:val="28"/>
          <w:szCs w:val="26"/>
          <w:lang w:val="nl-NL"/>
        </w:rPr>
      </w:pPr>
      <w:r>
        <w:rPr>
          <w:sz w:val="28"/>
          <w:szCs w:val="26"/>
          <w:lang w:val="nl-NL"/>
        </w:rPr>
        <w:t xml:space="preserve">- Cam kết hạn sử dụng còn lại của hàng hóa trúng thầu tính từ thời điểm cung ứng cho đơn vị: </w:t>
      </w:r>
    </w:p>
    <w:p>
      <w:pPr>
        <w:spacing w:before="120" w:after="120" w:line="276" w:lineRule="auto"/>
        <w:ind w:firstLine="720"/>
        <w:rPr>
          <w:spacing w:val="-2"/>
          <w:sz w:val="28"/>
          <w:szCs w:val="28"/>
        </w:rPr>
      </w:pPr>
      <w:r>
        <w:rPr>
          <w:sz w:val="28"/>
          <w:szCs w:val="28"/>
          <w:lang w:val="nl-NL"/>
        </w:rPr>
        <w:t xml:space="preserve">+) Đối với hàng hoá có hạn sử dụng từ 36 tháng trở lên: </w:t>
      </w:r>
      <w:r>
        <w:rPr>
          <w:spacing w:val="-2"/>
          <w:sz w:val="28"/>
          <w:szCs w:val="28"/>
        </w:rPr>
        <w:t>Hạn sử dụng của hàng hoá còn t</w:t>
      </w:r>
      <w:r>
        <w:rPr>
          <w:spacing w:val="-2"/>
          <w:sz w:val="28"/>
          <w:szCs w:val="28"/>
          <w:lang w:val="vi-VN"/>
        </w:rPr>
        <w:t xml:space="preserve">ối thiểu </w:t>
      </w:r>
      <w:r>
        <w:rPr>
          <w:spacing w:val="-2"/>
          <w:sz w:val="28"/>
          <w:szCs w:val="28"/>
        </w:rPr>
        <w:t>18</w:t>
      </w:r>
      <w:r>
        <w:rPr>
          <w:spacing w:val="-2"/>
          <w:sz w:val="28"/>
          <w:szCs w:val="28"/>
          <w:lang w:val="vi-VN"/>
        </w:rPr>
        <w:t xml:space="preserve"> tháng</w:t>
      </w:r>
      <w:r>
        <w:rPr>
          <w:spacing w:val="-2"/>
          <w:sz w:val="28"/>
          <w:szCs w:val="28"/>
        </w:rPr>
        <w:t xml:space="preserve"> tuổi thọ</w:t>
      </w:r>
      <w:r>
        <w:rPr>
          <w:spacing w:val="-2"/>
          <w:sz w:val="28"/>
          <w:szCs w:val="28"/>
          <w:lang w:val="vi-VN"/>
        </w:rPr>
        <w:t xml:space="preserve"> </w:t>
      </w:r>
      <w:r>
        <w:rPr>
          <w:spacing w:val="-2"/>
          <w:sz w:val="28"/>
          <w:szCs w:val="28"/>
        </w:rPr>
        <w:t>kể từ ngày bên bán bàn giao hàng hoá cho bên mua.</w:t>
      </w:r>
    </w:p>
    <w:p>
      <w:pPr>
        <w:spacing w:before="120" w:after="120" w:line="276" w:lineRule="auto"/>
        <w:ind w:firstLine="720"/>
        <w:rPr>
          <w:sz w:val="28"/>
          <w:szCs w:val="26"/>
          <w:lang w:val="nl-NL"/>
        </w:rPr>
      </w:pPr>
      <w:r>
        <w:rPr>
          <w:spacing w:val="-2"/>
          <w:sz w:val="28"/>
          <w:szCs w:val="28"/>
        </w:rPr>
        <w:t xml:space="preserve">+) </w:t>
      </w:r>
      <w:r>
        <w:rPr>
          <w:sz w:val="28"/>
          <w:szCs w:val="28"/>
          <w:lang w:val="nl-NL"/>
        </w:rPr>
        <w:t xml:space="preserve">Đối với hàng hoá có hạn sử dụng từ 24 tháng trở lên đến dưới 36 tháng: </w:t>
      </w:r>
      <w:r>
        <w:rPr>
          <w:spacing w:val="-2"/>
          <w:sz w:val="28"/>
          <w:szCs w:val="28"/>
        </w:rPr>
        <w:t>Hạn sử dụng của hàng hoá còn t</w:t>
      </w:r>
      <w:r>
        <w:rPr>
          <w:spacing w:val="-2"/>
          <w:sz w:val="28"/>
          <w:szCs w:val="28"/>
          <w:lang w:val="vi-VN"/>
        </w:rPr>
        <w:t xml:space="preserve">ối thiểu </w:t>
      </w:r>
      <w:r>
        <w:rPr>
          <w:spacing w:val="-2"/>
          <w:sz w:val="28"/>
          <w:szCs w:val="28"/>
        </w:rPr>
        <w:t>12</w:t>
      </w:r>
      <w:r>
        <w:rPr>
          <w:spacing w:val="-2"/>
          <w:sz w:val="28"/>
          <w:szCs w:val="28"/>
          <w:lang w:val="vi-VN"/>
        </w:rPr>
        <w:t xml:space="preserve"> tháng</w:t>
      </w:r>
      <w:r>
        <w:rPr>
          <w:spacing w:val="-2"/>
          <w:sz w:val="28"/>
          <w:szCs w:val="28"/>
        </w:rPr>
        <w:t xml:space="preserve"> tuổi thọ</w:t>
      </w:r>
      <w:r>
        <w:rPr>
          <w:spacing w:val="-2"/>
          <w:sz w:val="28"/>
          <w:szCs w:val="28"/>
          <w:lang w:val="vi-VN"/>
        </w:rPr>
        <w:t xml:space="preserve"> </w:t>
      </w:r>
      <w:r>
        <w:rPr>
          <w:spacing w:val="-2"/>
          <w:sz w:val="28"/>
          <w:szCs w:val="28"/>
        </w:rPr>
        <w:t>kể từ ngày bên bán bàn giao hàng hoá cho bên mua.</w:t>
      </w:r>
    </w:p>
    <w:p>
      <w:pPr>
        <w:spacing w:before="120" w:after="120" w:line="276" w:lineRule="auto"/>
        <w:ind w:firstLine="720"/>
        <w:rPr>
          <w:sz w:val="28"/>
          <w:szCs w:val="26"/>
          <w:lang w:val="nl-NL"/>
        </w:rPr>
      </w:pPr>
      <w:r>
        <w:rPr>
          <w:spacing w:val="-2"/>
          <w:sz w:val="28"/>
          <w:szCs w:val="28"/>
        </w:rPr>
        <w:t xml:space="preserve">+) </w:t>
      </w:r>
      <w:r>
        <w:rPr>
          <w:sz w:val="28"/>
          <w:szCs w:val="28"/>
          <w:lang w:val="nl-NL"/>
        </w:rPr>
        <w:t>Đối với hàng hoá có hạn sử dụng dưới 24 tháng</w:t>
      </w:r>
      <w:r>
        <w:rPr>
          <w:color w:val="FFFF00"/>
          <w:sz w:val="28"/>
          <w:szCs w:val="28"/>
          <w:lang w:val="nl-NL"/>
        </w:rPr>
        <w:t xml:space="preserve">: </w:t>
      </w:r>
      <w:r>
        <w:rPr>
          <w:spacing w:val="-2"/>
          <w:sz w:val="28"/>
          <w:szCs w:val="28"/>
        </w:rPr>
        <w:t>Hạn sử dụng của hàng hoá còn t</w:t>
      </w:r>
      <w:r>
        <w:rPr>
          <w:spacing w:val="-2"/>
          <w:sz w:val="28"/>
          <w:szCs w:val="28"/>
          <w:lang w:val="vi-VN"/>
        </w:rPr>
        <w:t xml:space="preserve">ối thiểu </w:t>
      </w:r>
      <w:r>
        <w:rPr>
          <w:spacing w:val="-2"/>
          <w:sz w:val="28"/>
          <w:szCs w:val="28"/>
        </w:rPr>
        <w:t>1/2</w:t>
      </w:r>
      <w:r>
        <w:rPr>
          <w:spacing w:val="-2"/>
          <w:sz w:val="28"/>
          <w:szCs w:val="28"/>
          <w:lang w:val="vi-VN"/>
        </w:rPr>
        <w:t xml:space="preserve"> t</w:t>
      </w:r>
      <w:r>
        <w:rPr>
          <w:spacing w:val="-2"/>
          <w:sz w:val="28"/>
          <w:szCs w:val="28"/>
        </w:rPr>
        <w:t>uổi thọ</w:t>
      </w:r>
      <w:r>
        <w:rPr>
          <w:spacing w:val="-2"/>
          <w:sz w:val="28"/>
          <w:szCs w:val="28"/>
          <w:lang w:val="vi-VN"/>
        </w:rPr>
        <w:t xml:space="preserve"> </w:t>
      </w:r>
      <w:r>
        <w:rPr>
          <w:spacing w:val="-2"/>
          <w:sz w:val="28"/>
          <w:szCs w:val="28"/>
        </w:rPr>
        <w:t>kể từ ngày bên bán bàn giao hàng hoá cho bên mua.</w:t>
      </w:r>
    </w:p>
    <w:p>
      <w:pPr>
        <w:autoSpaceDE w:val="0"/>
        <w:autoSpaceDN w:val="0"/>
        <w:adjustRightInd w:val="0"/>
        <w:spacing w:before="120" w:after="120" w:line="276" w:lineRule="auto"/>
        <w:ind w:firstLine="720"/>
        <w:rPr>
          <w:iCs/>
          <w:sz w:val="28"/>
          <w:szCs w:val="26"/>
          <w:lang w:val="nl-NL"/>
        </w:rPr>
      </w:pPr>
      <w:r>
        <w:rPr>
          <w:sz w:val="28"/>
          <w:szCs w:val="26"/>
          <w:lang w:val="nl-NL"/>
        </w:rPr>
        <w:t>-</w:t>
      </w:r>
      <w:r>
        <w:rPr>
          <w:iCs/>
          <w:sz w:val="28"/>
          <w:szCs w:val="26"/>
          <w:lang w:val="nl-NL"/>
        </w:rPr>
        <w:t xml:space="preserve"> Khắc phục các hư hỏng, sai sót của hàng hóa trong cung ứng là 03 ngày làm việc kể từ khi nhận được yêu cầu của đơn vị sử dụng.</w:t>
      </w:r>
    </w:p>
    <w:p>
      <w:pPr>
        <w:spacing w:before="120" w:after="120"/>
        <w:ind w:firstLine="709"/>
        <w:rPr>
          <w:iCs/>
          <w:sz w:val="28"/>
          <w:szCs w:val="26"/>
          <w:lang w:val="nl-NL"/>
        </w:rPr>
      </w:pPr>
      <w:r>
        <w:rPr>
          <w:iCs/>
          <w:sz w:val="28"/>
          <w:szCs w:val="26"/>
          <w:lang w:val="nl-NL"/>
        </w:rPr>
        <w:t>- Cam kết có trách nhiệm hướng dẫn cán bộ kỹ thuật của bên mua sử dụng, bảo quản hàng hóa tại thời điểm giao hàng và tiếp tục hỗ trợ kỹ thuật khi có yêu cầu.</w:t>
      </w:r>
    </w:p>
    <w:p>
      <w:pPr>
        <w:pStyle w:val="SectionVIHeader"/>
        <w:spacing w:after="120" w:line="264" w:lineRule="auto"/>
        <w:ind w:firstLine="709"/>
        <w:jc w:val="left"/>
        <w:rPr>
          <w:sz w:val="28"/>
          <w:szCs w:val="28"/>
          <w:lang w:val="nl-NL"/>
        </w:rPr>
      </w:pPr>
      <w:r>
        <w:rPr>
          <w:sz w:val="28"/>
          <w:szCs w:val="28"/>
          <w:lang w:val="nl-NL"/>
        </w:rPr>
        <w:t>Mục 2. Bản vẽ</w:t>
      </w:r>
    </w:p>
    <w:p>
      <w:pPr>
        <w:pStyle w:val="SectionVIHeader"/>
        <w:spacing w:after="120" w:line="264" w:lineRule="auto"/>
        <w:ind w:firstLine="709"/>
        <w:jc w:val="left"/>
        <w:rPr>
          <w:b w:val="0"/>
          <w:bCs/>
          <w:sz w:val="28"/>
          <w:szCs w:val="28"/>
          <w:lang w:val="nl-NL"/>
        </w:rPr>
      </w:pPr>
      <w:r>
        <w:rPr>
          <w:b w:val="0"/>
          <w:bCs/>
          <w:sz w:val="28"/>
          <w:szCs w:val="28"/>
          <w:lang w:val="nl-NL"/>
        </w:rPr>
        <w:t>Không có</w:t>
      </w:r>
    </w:p>
    <w:p>
      <w:pPr>
        <w:pStyle w:val="SectionVIHeader"/>
        <w:widowControl w:val="0"/>
        <w:spacing w:after="120" w:line="264" w:lineRule="auto"/>
        <w:ind w:firstLine="709"/>
        <w:jc w:val="both"/>
        <w:rPr>
          <w:sz w:val="32"/>
          <w:szCs w:val="32"/>
        </w:rPr>
      </w:pPr>
      <w:r>
        <w:rPr>
          <w:sz w:val="28"/>
        </w:rPr>
        <w:t>Mục 3. Kiểm tra và thử nghiệm</w:t>
      </w:r>
    </w:p>
    <w:p>
      <w:pPr>
        <w:spacing w:after="200" w:line="276" w:lineRule="auto"/>
        <w:ind w:firstLine="709"/>
        <w:rPr>
          <w:sz w:val="28"/>
        </w:rPr>
      </w:pPr>
      <w:r>
        <w:rPr>
          <w:sz w:val="28"/>
        </w:rPr>
        <w:t>Các kiểm tra và thử nghiệm cần tiến hành gồm có:</w:t>
      </w:r>
    </w:p>
    <w:p>
      <w:pPr>
        <w:autoSpaceDE w:val="0"/>
        <w:autoSpaceDN w:val="0"/>
        <w:adjustRightInd w:val="0"/>
        <w:spacing w:before="120" w:after="120" w:line="276" w:lineRule="auto"/>
        <w:ind w:firstLine="720"/>
        <w:rPr>
          <w:iCs/>
          <w:sz w:val="28"/>
          <w:szCs w:val="28"/>
          <w:lang w:val="nl-NL"/>
        </w:rPr>
      </w:pPr>
      <w:r>
        <w:rPr>
          <w:iCs/>
          <w:sz w:val="28"/>
          <w:szCs w:val="28"/>
          <w:lang w:val="nl-NL"/>
        </w:rPr>
        <w:t xml:space="preserve">- Thời gian kiểm tra: Ngay sau khi hàng hoá được giao tới địa điểm quy định. </w:t>
      </w:r>
    </w:p>
    <w:p>
      <w:pPr>
        <w:autoSpaceDE w:val="0"/>
        <w:autoSpaceDN w:val="0"/>
        <w:adjustRightInd w:val="0"/>
        <w:spacing w:before="120" w:after="120" w:line="276" w:lineRule="auto"/>
        <w:ind w:firstLine="720"/>
        <w:rPr>
          <w:iCs/>
          <w:sz w:val="28"/>
          <w:szCs w:val="28"/>
          <w:lang w:val="nl-NL"/>
        </w:rPr>
      </w:pPr>
      <w:r>
        <w:rPr>
          <w:iCs/>
          <w:sz w:val="28"/>
          <w:szCs w:val="28"/>
          <w:lang w:val="nl-NL"/>
        </w:rPr>
        <w:t xml:space="preserve">- Cách thức tiến hành kiểm tra: Hai bên tiến hành kiểm tra từng loại hàng hoá căn cứ theo yêu cầu của hợp đồng đã ký kết và các tài liệu có liên quan. </w:t>
      </w:r>
    </w:p>
    <w:p>
      <w:pPr>
        <w:autoSpaceDE w:val="0"/>
        <w:autoSpaceDN w:val="0"/>
        <w:adjustRightInd w:val="0"/>
        <w:spacing w:before="120" w:after="120" w:line="276" w:lineRule="auto"/>
        <w:ind w:firstLine="720"/>
        <w:rPr>
          <w:iCs/>
          <w:sz w:val="28"/>
          <w:szCs w:val="28"/>
          <w:lang w:val="nl-NL"/>
        </w:rPr>
      </w:pPr>
      <w:r>
        <w:rPr>
          <w:iCs/>
          <w:sz w:val="28"/>
          <w:szCs w:val="28"/>
          <w:lang w:val="nl-NL"/>
        </w:rPr>
        <w:t xml:space="preserve">- Bên bán có trách </w:t>
      </w:r>
      <w:r>
        <w:rPr>
          <w:iCs/>
          <w:sz w:val="28"/>
          <w:szCs w:val="28"/>
          <w:lang w:val="vi-VN"/>
        </w:rPr>
        <w:t xml:space="preserve">nhiệm </w:t>
      </w:r>
      <w:r>
        <w:rPr>
          <w:iCs/>
          <w:sz w:val="28"/>
          <w:szCs w:val="28"/>
          <w:lang w:val="nl-NL"/>
        </w:rPr>
        <w:t>chuẩn bị các điều kiện để phục vụ việc kiểm tra, nghiệm thu hàng hoá</w:t>
      </w:r>
      <w:r>
        <w:rPr>
          <w:iCs/>
          <w:sz w:val="28"/>
          <w:szCs w:val="28"/>
          <w:lang w:val="vi-VN"/>
        </w:rPr>
        <w:t xml:space="preserve"> bàn giao</w:t>
      </w:r>
      <w:r>
        <w:rPr>
          <w:iCs/>
          <w:sz w:val="28"/>
          <w:szCs w:val="28"/>
          <w:lang w:val="nl-NL"/>
        </w:rPr>
        <w:t>.</w:t>
      </w:r>
    </w:p>
    <w:p>
      <w:pPr>
        <w:autoSpaceDE w:val="0"/>
        <w:autoSpaceDN w:val="0"/>
        <w:adjustRightInd w:val="0"/>
        <w:spacing w:before="120" w:after="120" w:line="276" w:lineRule="auto"/>
        <w:ind w:firstLine="720"/>
        <w:rPr>
          <w:iCs/>
          <w:sz w:val="28"/>
          <w:szCs w:val="28"/>
          <w:lang w:val="nl-NL"/>
        </w:rPr>
      </w:pPr>
      <w:r>
        <w:rPr>
          <w:iCs/>
          <w:sz w:val="28"/>
          <w:szCs w:val="28"/>
          <w:lang w:val="nl-NL"/>
        </w:rPr>
        <w:lastRenderedPageBreak/>
        <w:t xml:space="preserve">- Mọi chi phí liên quan đến việc kiểm tra, nghiệm thu do </w:t>
      </w:r>
      <w:r>
        <w:rPr>
          <w:iCs/>
          <w:sz w:val="28"/>
          <w:szCs w:val="28"/>
          <w:lang w:val="vi-VN"/>
        </w:rPr>
        <w:t>b</w:t>
      </w:r>
      <w:r>
        <w:rPr>
          <w:iCs/>
          <w:sz w:val="28"/>
          <w:szCs w:val="28"/>
          <w:lang w:val="nl-NL"/>
        </w:rPr>
        <w:t xml:space="preserve">ên bán thanh toán. </w:t>
      </w:r>
    </w:p>
    <w:p>
      <w:pPr>
        <w:spacing w:before="120" w:after="120" w:line="276" w:lineRule="auto"/>
        <w:ind w:firstLine="709"/>
        <w:rPr>
          <w:i/>
          <w:iCs/>
          <w:sz w:val="28"/>
          <w:szCs w:val="28"/>
        </w:rPr>
      </w:pPr>
      <w:r>
        <w:rPr>
          <w:iCs/>
          <w:sz w:val="28"/>
          <w:szCs w:val="28"/>
          <w:lang w:val="nl-NL"/>
        </w:rPr>
        <w:t xml:space="preserve">- Những hàng hoá không đạt yêu cầu về kiểm tra </w:t>
      </w:r>
      <w:r>
        <w:rPr>
          <w:iCs/>
          <w:sz w:val="28"/>
          <w:szCs w:val="28"/>
          <w:lang w:val="vi-VN"/>
        </w:rPr>
        <w:t>b</w:t>
      </w:r>
      <w:r>
        <w:rPr>
          <w:iCs/>
          <w:sz w:val="28"/>
          <w:szCs w:val="28"/>
          <w:lang w:val="nl-NL"/>
        </w:rPr>
        <w:t xml:space="preserve">ên bán phải thay thế bằng những hàng hoá khác có thông số kỹ thuật tương đương hoặc cao hơn và được bên mua chấp nhận. </w:t>
      </w:r>
      <w:r>
        <w:rPr>
          <w:sz w:val="28"/>
          <w:szCs w:val="28"/>
        </w:rPr>
        <w:t>Bên bán phải chịu mọi chi phí phát sinh cho việc thay thế.</w:t>
      </w:r>
    </w:p>
    <w:p>
      <w:pPr>
        <w:spacing w:before="120" w:after="120" w:line="264" w:lineRule="auto"/>
        <w:ind w:firstLine="709"/>
        <w:rPr>
          <w:sz w:val="28"/>
          <w:szCs w:val="28"/>
        </w:rPr>
      </w:pPr>
      <w:r>
        <w:rPr>
          <w:i/>
          <w:iCs/>
          <w:sz w:val="28"/>
          <w:szCs w:val="28"/>
        </w:rPr>
        <w:t xml:space="preserve">- </w:t>
      </w:r>
      <w:r>
        <w:rPr>
          <w:sz w:val="28"/>
          <w:szCs w:val="28"/>
        </w:rPr>
        <w:t>Nếu việc thay thế không thành công, bên bán phải hoàn trả lại bên mua toàn bộ số tiền bên mua đã thanh toán cho phần khối lượng công việc không đạt đó và phải bồi thường các thiệt hại cho bên mua theo đúng các quy định đã nêu trong mục E-ĐKC 22.</w:t>
      </w:r>
    </w:p>
    <w:p>
      <w:pPr>
        <w:spacing w:before="120" w:after="120" w:line="264" w:lineRule="auto"/>
        <w:ind w:firstLine="709"/>
        <w:rPr>
          <w:sz w:val="28"/>
          <w:szCs w:val="28"/>
        </w:rPr>
      </w:pPr>
    </w:p>
    <w:sectPr>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85820-51C7-463C-90CD-AEC65BEA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pPr>
      <w:keepNext/>
      <w:keepLines/>
      <w:spacing w:before="12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Pr>
      <w:rFonts w:ascii="Times New Roman" w:eastAsiaTheme="majorEastAsia" w:hAnsi="Times New Roman" w:cstheme="majorBidi"/>
      <w:i/>
      <w:iCs/>
      <w:sz w:val="26"/>
    </w:rPr>
  </w:style>
  <w:style w:type="paragraph" w:styleId="Subtitle">
    <w:name w:val="Subtitle"/>
    <w:basedOn w:val="Normal"/>
    <w:link w:val="SubtitleChar"/>
    <w:qFormat/>
    <w:pPr>
      <w:jc w:val="center"/>
    </w:pPr>
    <w:rPr>
      <w:b/>
      <w:sz w:val="44"/>
    </w:rPr>
  </w:style>
  <w:style w:type="character" w:customStyle="1" w:styleId="SubtitleChar">
    <w:name w:val="Subtitle Char"/>
    <w:basedOn w:val="DefaultParagraphFont"/>
    <w:link w:val="Subtitle"/>
    <w:rPr>
      <w:rFonts w:ascii="Times New Roman" w:eastAsia="Times New Roman" w:hAnsi="Times New Roman" w:cs="Times New Roman"/>
      <w:b/>
      <w:sz w:val="44"/>
      <w:szCs w:val="20"/>
    </w:rPr>
  </w:style>
  <w:style w:type="paragraph" w:customStyle="1" w:styleId="titulo">
    <w:name w:val="titulo"/>
    <w:basedOn w:val="Heading5"/>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pPr>
      <w:spacing w:before="120" w:after="240"/>
      <w:jc w:val="center"/>
    </w:pPr>
    <w:rPr>
      <w:b/>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6</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62</cp:revision>
  <dcterms:created xsi:type="dcterms:W3CDTF">2026-05-12T03:37:00Z</dcterms:created>
  <dcterms:modified xsi:type="dcterms:W3CDTF">2026-05-21T02:00:00Z</dcterms:modified>
</cp:coreProperties>
</file>