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8AE9" w14:textId="77777777" w:rsidR="00E10199" w:rsidRPr="00E10199" w:rsidRDefault="00E10199" w:rsidP="00E10199">
      <w:pPr>
        <w:pStyle w:val="TOC1"/>
        <w:shd w:val="clear" w:color="auto" w:fill="FFFFFF" w:themeFill="background1"/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Mục </w:t>
      </w:r>
      <w:r w:rsidRPr="00E101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</w:t>
      </w:r>
      <w:r w:rsidRPr="00E10199">
        <w:rPr>
          <w:rFonts w:ascii="Times New Roman" w:hAnsi="Times New Roman" w:cs="Times New Roman"/>
          <w:color w:val="000000" w:themeColor="text1"/>
          <w:sz w:val="24"/>
          <w:szCs w:val="24"/>
        </w:rPr>
        <w:t>. Tiêu chuẩn đánh giá về kỹ thuật</w:t>
      </w:r>
    </w:p>
    <w:p w14:paraId="457F52A4" w14:textId="77777777" w:rsidR="00E10199" w:rsidRPr="00E10199" w:rsidRDefault="00E10199" w:rsidP="00E10199">
      <w:pPr>
        <w:shd w:val="clear" w:color="auto" w:fill="FFFFFF" w:themeFill="background1"/>
        <w:spacing w:before="120" w:after="120"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3.2.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Đánh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giá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theo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phương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pháp</w:t>
      </w:r>
      <w:proofErr w:type="spellEnd"/>
      <w:r w:rsidRPr="00E10199" w:rsidDel="00BE447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đạt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/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không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đạt</w:t>
      </w:r>
      <w:proofErr w:type="spellEnd"/>
      <w:r w:rsidRPr="00E10199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: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54"/>
        <w:gridCol w:w="3700"/>
        <w:gridCol w:w="3077"/>
        <w:gridCol w:w="3017"/>
      </w:tblGrid>
      <w:tr w:rsidR="00E10199" w:rsidRPr="00E10199" w14:paraId="3E1F6A2F" w14:textId="77777777" w:rsidTr="00492B6F">
        <w:trPr>
          <w:tblHeader/>
        </w:trPr>
        <w:tc>
          <w:tcPr>
            <w:tcW w:w="556" w:type="dxa"/>
          </w:tcPr>
          <w:p w14:paraId="40924880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TT</w:t>
            </w:r>
          </w:p>
        </w:tc>
        <w:tc>
          <w:tcPr>
            <w:tcW w:w="3555" w:type="dxa"/>
          </w:tcPr>
          <w:p w14:paraId="46F4380E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Nội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dung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cầu</w:t>
            </w:r>
            <w:proofErr w:type="spellEnd"/>
          </w:p>
        </w:tc>
        <w:tc>
          <w:tcPr>
            <w:tcW w:w="3149" w:type="dxa"/>
          </w:tcPr>
          <w:p w14:paraId="22175DF5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Đạt</w:t>
            </w:r>
          </w:p>
        </w:tc>
        <w:tc>
          <w:tcPr>
            <w:tcW w:w="3088" w:type="dxa"/>
          </w:tcPr>
          <w:p w14:paraId="757C56EB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đạt</w:t>
            </w:r>
            <w:proofErr w:type="spellEnd"/>
          </w:p>
        </w:tc>
      </w:tr>
      <w:tr w:rsidR="00E10199" w:rsidRPr="00E10199" w14:paraId="274C9267" w14:textId="77777777" w:rsidTr="00492B6F">
        <w:trPr>
          <w:trHeight w:val="485"/>
        </w:trPr>
        <w:tc>
          <w:tcPr>
            <w:tcW w:w="556" w:type="dxa"/>
          </w:tcPr>
          <w:p w14:paraId="56396DCE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1</w:t>
            </w:r>
          </w:p>
        </w:tc>
        <w:tc>
          <w:tcPr>
            <w:tcW w:w="3555" w:type="dxa"/>
          </w:tcPr>
          <w:p w14:paraId="65C52A8A" w14:textId="243FBC9C" w:rsidR="00E10199" w:rsidRPr="000777D0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Đặc tính, thông số kỹ thuật của hàng hóa, tiêu chuẩn sản xuất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tiêu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chuẩn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chế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tạo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nghệ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bao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gồm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yếu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tố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suất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hiệu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suất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máy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móc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thiết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;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</w:t>
            </w:r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ức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tiêu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hao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năng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nguyên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nhiên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vật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</w:t>
            </w:r>
          </w:p>
        </w:tc>
        <w:tc>
          <w:tcPr>
            <w:tcW w:w="3149" w:type="dxa"/>
          </w:tcPr>
          <w:p w14:paraId="57FDE0E6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ind w:right="1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Có cam kết các đặc tính, thông số kỹ thuật của hàng hoá chào thầu theo đúng yêu cầu trong E-HSMT với các thông số kỹ thuật </w:t>
            </w:r>
            <w:r w:rsidRPr="00E10199">
              <w:rPr>
                <w:rFonts w:ascii="Times New Roman" w:hAnsi="Times New Roman" w:cs="Times New Roman"/>
                <w:color w:val="000000" w:themeColor="text1"/>
                <w:u w:val="single"/>
                <w:lang w:val="vi-VN"/>
              </w:rPr>
              <w:t>đáp ứng yêu cầu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</w:p>
          <w:p w14:paraId="41A9BF8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ii)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tài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phải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phục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vụ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2688EC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>ii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) 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biên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</w:p>
          <w:p w14:paraId="12AAD0E6" w14:textId="395E0913" w:rsidR="000777D0" w:rsidRPr="000777D0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iv)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giấy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ISO 900X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(1)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còn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E1CC5E5" w14:textId="3C337D72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</w:p>
        </w:tc>
        <w:tc>
          <w:tcPr>
            <w:tcW w:w="3088" w:type="dxa"/>
          </w:tcPr>
          <w:p w14:paraId="70E0C0D3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i) Không có cam kết hoặc có cam kết nhưng không đáp ứng các đặc tính, thông số kỹ thuật của hàng hoá chào thầu theo đúng yêu cầu trong E-HSMT </w:t>
            </w:r>
          </w:p>
          <w:p w14:paraId="7952484C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>Hoặc</w:t>
            </w:r>
          </w:p>
          <w:p w14:paraId="64AC904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ii)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c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tài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</w:t>
            </w:r>
          </w:p>
          <w:p w14:paraId="4B28F48D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>Hoặc</w:t>
            </w:r>
            <w:proofErr w:type="spellEnd"/>
          </w:p>
          <w:p w14:paraId="7D3A947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iii) Không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biên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E-HSMT.</w:t>
            </w:r>
          </w:p>
          <w:p w14:paraId="4B5FACB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>Hoặc</w:t>
            </w:r>
            <w:proofErr w:type="spellEnd"/>
          </w:p>
          <w:p w14:paraId="294A6D37" w14:textId="71AC323D" w:rsidR="00E10199" w:rsidRPr="000777D0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iv)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ISO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mục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bên</w:t>
            </w:r>
            <w:proofErr w:type="spellEnd"/>
          </w:p>
        </w:tc>
      </w:tr>
      <w:tr w:rsidR="00E10199" w:rsidRPr="00E10199" w14:paraId="4305462F" w14:textId="77777777" w:rsidTr="00492B6F">
        <w:tc>
          <w:tcPr>
            <w:tcW w:w="556" w:type="dxa"/>
          </w:tcPr>
          <w:p w14:paraId="2B666551" w14:textId="76C9887F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2</w:t>
            </w:r>
          </w:p>
        </w:tc>
        <w:tc>
          <w:tcPr>
            <w:tcW w:w="3555" w:type="dxa"/>
          </w:tcPr>
          <w:p w14:paraId="12499804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Tiến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hàng</w:t>
            </w:r>
            <w:proofErr w:type="spellEnd"/>
          </w:p>
          <w:p w14:paraId="2C597EC9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</w:t>
            </w:r>
          </w:p>
        </w:tc>
        <w:tc>
          <w:tcPr>
            <w:tcW w:w="3149" w:type="dxa"/>
          </w:tcPr>
          <w:p w14:paraId="0061BAB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, t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E-HSMT.</w:t>
            </w:r>
          </w:p>
        </w:tc>
        <w:tc>
          <w:tcPr>
            <w:tcW w:w="3088" w:type="dxa"/>
          </w:tcPr>
          <w:p w14:paraId="4045B6B5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D7F139F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</w:p>
          <w:p w14:paraId="1F20A92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E-HSMT.</w:t>
            </w:r>
          </w:p>
        </w:tc>
      </w:tr>
      <w:tr w:rsidR="00E10199" w:rsidRPr="00E10199" w14:paraId="56F6559B" w14:textId="77777777" w:rsidTr="00492B6F">
        <w:trPr>
          <w:trHeight w:val="787"/>
        </w:trPr>
        <w:tc>
          <w:tcPr>
            <w:tcW w:w="556" w:type="dxa"/>
          </w:tcPr>
          <w:p w14:paraId="3C6241D5" w14:textId="40420E58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3</w:t>
            </w:r>
          </w:p>
        </w:tc>
        <w:tc>
          <w:tcPr>
            <w:tcW w:w="3555" w:type="dxa"/>
          </w:tcPr>
          <w:p w14:paraId="20844A2B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năng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trường</w:t>
            </w:r>
            <w:proofErr w:type="spellEnd"/>
          </w:p>
        </w:tc>
        <w:tc>
          <w:tcPr>
            <w:tcW w:w="3149" w:type="dxa"/>
          </w:tcPr>
          <w:p w14:paraId="0E1E198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hoàn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toàn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địa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ảnh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hưởng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3088" w:type="dxa"/>
          </w:tcPr>
          <w:p w14:paraId="33C63BF1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địa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hậu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ảnh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hưởng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</w:p>
        </w:tc>
      </w:tr>
      <w:tr w:rsidR="00E10199" w:rsidRPr="00E10199" w14:paraId="37CD0014" w14:textId="77777777" w:rsidTr="00492B6F">
        <w:tc>
          <w:tcPr>
            <w:tcW w:w="556" w:type="dxa"/>
          </w:tcPr>
          <w:p w14:paraId="433EF8F8" w14:textId="134B9028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4</w:t>
            </w:r>
          </w:p>
        </w:tc>
        <w:tc>
          <w:tcPr>
            <w:tcW w:w="3555" w:type="dxa"/>
          </w:tcPr>
          <w:p w14:paraId="61E21DE1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Bảo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hành</w:t>
            </w:r>
            <w:proofErr w:type="spellEnd"/>
          </w:p>
          <w:p w14:paraId="3AA12E2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</w:p>
        </w:tc>
        <w:tc>
          <w:tcPr>
            <w:tcW w:w="3149" w:type="dxa"/>
          </w:tcPr>
          <w:p w14:paraId="7B1447F1" w14:textId="77777777" w:rsidR="00E10199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(2</w:t>
            </w:r>
            <w:r w:rsidRPr="00E1019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2,5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(3)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tùy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</w:p>
          <w:p w14:paraId="0E0820EA" w14:textId="5E5DA403" w:rsidR="0010697C" w:rsidRPr="0010697C" w:rsidRDefault="0010697C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3088" w:type="dxa"/>
          </w:tcPr>
          <w:p w14:paraId="68E3567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47932E6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</w:p>
          <w:p w14:paraId="5765D1C2" w14:textId="77777777" w:rsidR="00E10199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nhỏ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 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(2)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nhỏ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2,5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(3)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lastRenderedPageBreak/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tùy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0697C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  <w:r w:rsidR="0010697C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</w:p>
          <w:p w14:paraId="556FA9AC" w14:textId="4969E7F9" w:rsidR="0010697C" w:rsidRPr="0010697C" w:rsidRDefault="0010697C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E10199" w:rsidRPr="00E10199" w14:paraId="6A82D73C" w14:textId="77777777" w:rsidTr="00492B6F">
        <w:tc>
          <w:tcPr>
            <w:tcW w:w="556" w:type="dxa"/>
          </w:tcPr>
          <w:p w14:paraId="4E88DBE0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lastRenderedPageBreak/>
              <w:t>6</w:t>
            </w:r>
          </w:p>
        </w:tc>
        <w:tc>
          <w:tcPr>
            <w:tcW w:w="3555" w:type="dxa"/>
          </w:tcPr>
          <w:p w14:paraId="73680DB1" w14:textId="2BB57889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Các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yếu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tố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thương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mại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đào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tạo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chuyển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nghệ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9E24006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iều kiện thương mại, thời gian thực hiện, đào tạo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chuyển giao công nghệ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</w:p>
        </w:tc>
        <w:tc>
          <w:tcPr>
            <w:tcW w:w="3149" w:type="dxa"/>
          </w:tcPr>
          <w:p w14:paraId="77BF28C7" w14:textId="77777777" w:rsidR="00E10199" w:rsidRPr="00E10199" w:rsidRDefault="00E10199" w:rsidP="00E1019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40" w:after="40" w:line="276" w:lineRule="auto"/>
              <w:ind w:left="335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cam kết thực hiện các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đ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iều kiện thương mại theo yêu cầu của E-HSMT.</w:t>
            </w:r>
          </w:p>
          <w:p w14:paraId="502E2644" w14:textId="6BDDEA05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3088" w:type="dxa"/>
          </w:tcPr>
          <w:p w14:paraId="171A6434" w14:textId="3AA641DB" w:rsidR="00E10199" w:rsidRPr="000777D0" w:rsidRDefault="00E10199" w:rsidP="00267AE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40" w:after="40" w:line="276" w:lineRule="auto"/>
              <w:ind w:left="305" w:hanging="3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Không có cam kết thực hiện các điều kiện thương mại theo yêu cầu của E-HSMT hoặc đề xuất các điều kiện thương mại không phù hợp với E-HSMT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10199" w:rsidRPr="00E10199" w14:paraId="46D0BAF2" w14:textId="77777777" w:rsidTr="00492B6F">
        <w:tc>
          <w:tcPr>
            <w:tcW w:w="556" w:type="dxa"/>
          </w:tcPr>
          <w:p w14:paraId="3888096A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7</w:t>
            </w:r>
          </w:p>
        </w:tc>
        <w:tc>
          <w:tcPr>
            <w:tcW w:w="3555" w:type="dxa"/>
          </w:tcPr>
          <w:p w14:paraId="55DE019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>Điều</w:t>
            </w:r>
            <w:proofErr w:type="spellEnd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 xml:space="preserve"> 19 </w:t>
            </w:r>
            <w:proofErr w:type="spellStart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Điều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Nghị định số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214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/2025/NĐ-CP, chất lượng hàng hóa tương tự được công khai theo quy định tại Điều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Nghị định số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214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/2025/NĐ-CP (nếu có)</w:t>
            </w:r>
          </w:p>
        </w:tc>
        <w:tc>
          <w:tcPr>
            <w:tcW w:w="3149" w:type="dxa"/>
          </w:tcPr>
          <w:p w14:paraId="40EF249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nhiều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nhất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3088" w:type="dxa"/>
          </w:tcPr>
          <w:p w14:paraId="315C8E6D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02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)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spacing w:val="3"/>
                <w:shd w:val="clear" w:color="auto" w:fill="FFFFFF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spacing w:val="3"/>
                <w:shd w:val="clear" w:color="auto" w:fill="FFFFFF"/>
              </w:rPr>
              <w:t>/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</w:p>
        </w:tc>
      </w:tr>
      <w:tr w:rsidR="00E10199" w:rsidRPr="00E10199" w14:paraId="75921049" w14:textId="77777777" w:rsidTr="00492B6F">
        <w:trPr>
          <w:trHeight w:val="181"/>
        </w:trPr>
        <w:tc>
          <w:tcPr>
            <w:tcW w:w="556" w:type="dxa"/>
          </w:tcPr>
          <w:p w14:paraId="50A0BD77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8</w:t>
            </w:r>
          </w:p>
        </w:tc>
        <w:tc>
          <w:tcPr>
            <w:tcW w:w="3555" w:type="dxa"/>
          </w:tcPr>
          <w:p w14:paraId="4191591E" w14:textId="77777777" w:rsidR="00E10199" w:rsidRPr="00E10199" w:rsidRDefault="00E10199" w:rsidP="00B66C2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ếu tố cần thiết khác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cậy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(5)</w:t>
            </w:r>
          </w:p>
          <w:p w14:paraId="0014BA68" w14:textId="77777777" w:rsidR="00E10199" w:rsidRPr="00E10199" w:rsidRDefault="00E10199" w:rsidP="00B66C2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E10199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Trong E-HSMT phải quy định rõ các hàng hóa mời thầu yêu cầu phải cấp xác nhận vận hành thành công</w:t>
            </w:r>
          </w:p>
          <w:p w14:paraId="363FC77A" w14:textId="710A2A9F" w:rsidR="00E10199" w:rsidRPr="00E10199" w:rsidRDefault="000777D0" w:rsidP="00B66C2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(Danh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mục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hàng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hóa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có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yêu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cầu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cấp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xác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nhận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vận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hành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thành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công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gồm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các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VTTB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có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mã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HS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là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66C20">
              <w:rPr>
                <w:rFonts w:ascii="Times New Roman" w:hAnsi="Times New Roman" w:cs="Times New Roman"/>
                <w:i/>
                <w:color w:val="000000" w:themeColor="text1"/>
              </w:rPr>
              <w:t>8544</w:t>
            </w:r>
            <w:r w:rsidR="00B66C20"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>,3917,3926,7220,8535,8536,8546</w:t>
            </w:r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149" w:type="dxa"/>
          </w:tcPr>
          <w:p w14:paraId="3A784832" w14:textId="3678165E" w:rsidR="00E10199" w:rsidRPr="00E10199" w:rsidRDefault="00E10199" w:rsidP="00492B6F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77D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tháng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(4)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88" w:type="dxa"/>
          </w:tcPr>
          <w:p w14:paraId="337686D3" w14:textId="046E1726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77D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tháng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(4)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51F0C44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266EB5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720613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5FC52B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1BDA4B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vertAlign w:val="superscript"/>
              </w:rPr>
            </w:pPr>
          </w:p>
        </w:tc>
      </w:tr>
      <w:tr w:rsidR="00E10199" w:rsidRPr="00E10199" w14:paraId="75E61554" w14:textId="77777777" w:rsidTr="00492B6F">
        <w:tc>
          <w:tcPr>
            <w:tcW w:w="556" w:type="dxa"/>
          </w:tcPr>
          <w:p w14:paraId="7F87C4B1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</w:p>
        </w:tc>
        <w:tc>
          <w:tcPr>
            <w:tcW w:w="3555" w:type="dxa"/>
          </w:tcPr>
          <w:p w14:paraId="1691A407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</w:p>
        </w:tc>
        <w:tc>
          <w:tcPr>
            <w:tcW w:w="3149" w:type="dxa"/>
          </w:tcPr>
          <w:p w14:paraId="6C4E5F68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Đạt</w:t>
            </w:r>
          </w:p>
        </w:tc>
        <w:tc>
          <w:tcPr>
            <w:tcW w:w="3088" w:type="dxa"/>
          </w:tcPr>
          <w:p w14:paraId="15AF01D5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đạt</w:t>
            </w:r>
            <w:proofErr w:type="spellEnd"/>
          </w:p>
        </w:tc>
      </w:tr>
    </w:tbl>
    <w:p w14:paraId="16CD2643" w14:textId="77777777" w:rsidR="00E10199" w:rsidRPr="00E10199" w:rsidRDefault="00E10199" w:rsidP="00E10199">
      <w:pPr>
        <w:shd w:val="clear" w:color="auto" w:fill="FFFFFF" w:themeFill="background1"/>
        <w:spacing w:before="40" w:after="40" w:line="276" w:lineRule="auto"/>
        <w:rPr>
          <w:rFonts w:ascii="Times New Roman" w:hAnsi="Times New Roman" w:cs="Times New Roman"/>
          <w:color w:val="000000" w:themeColor="text1"/>
          <w:sz w:val="12"/>
          <w:szCs w:val="12"/>
          <w:lang w:val="fr-FR"/>
        </w:rPr>
      </w:pPr>
    </w:p>
    <w:sectPr w:rsidR="00E10199" w:rsidRPr="00E1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EA9"/>
    <w:multiLevelType w:val="hybridMultilevel"/>
    <w:tmpl w:val="3A7054D2"/>
    <w:lvl w:ilvl="0" w:tplc="DFF458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4729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419E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2F3A"/>
    <w:multiLevelType w:val="hybridMultilevel"/>
    <w:tmpl w:val="9C0C0488"/>
    <w:lvl w:ilvl="0" w:tplc="A7061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6517">
    <w:abstractNumId w:val="3"/>
  </w:num>
  <w:num w:numId="2" w16cid:durableId="1681813425">
    <w:abstractNumId w:val="0"/>
  </w:num>
  <w:num w:numId="3" w16cid:durableId="758989407">
    <w:abstractNumId w:val="2"/>
  </w:num>
  <w:num w:numId="4" w16cid:durableId="82623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99"/>
    <w:rsid w:val="0000761F"/>
    <w:rsid w:val="00056BD5"/>
    <w:rsid w:val="000777D0"/>
    <w:rsid w:val="00105880"/>
    <w:rsid w:val="0010697C"/>
    <w:rsid w:val="00492B6F"/>
    <w:rsid w:val="00661F36"/>
    <w:rsid w:val="00993CB9"/>
    <w:rsid w:val="00B66C20"/>
    <w:rsid w:val="00C403E5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C5108"/>
  <w15:chartTrackingRefBased/>
  <w15:docId w15:val="{3EE063E6-977F-4D3B-9D04-B68E69A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99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B1"/>
    <w:basedOn w:val="Normal"/>
    <w:link w:val="ListParagraphChar"/>
    <w:uiPriority w:val="34"/>
    <w:qFormat/>
    <w:rsid w:val="00E1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1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101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E10199"/>
    <w:pPr>
      <w:tabs>
        <w:tab w:val="right" w:leader="dot" w:pos="9062"/>
      </w:tabs>
      <w:spacing w:before="80" w:after="80" w:line="240" w:lineRule="auto"/>
      <w:ind w:firstLine="709"/>
      <w:jc w:val="both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B1 Char"/>
    <w:link w:val="ListParagraph"/>
    <w:uiPriority w:val="34"/>
    <w:qFormat/>
    <w:rsid w:val="00E1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6</cp:revision>
  <dcterms:created xsi:type="dcterms:W3CDTF">2025-12-24T04:10:00Z</dcterms:created>
  <dcterms:modified xsi:type="dcterms:W3CDTF">2026-05-21T10:12:00Z</dcterms:modified>
</cp:coreProperties>
</file>