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91515" w14:textId="77777777" w:rsidR="00CB26B2" w:rsidRPr="00CB26B2" w:rsidRDefault="00CB26B2" w:rsidP="00CB26B2">
      <w:pPr>
        <w:jc w:val="center"/>
        <w:outlineLvl w:val="0"/>
        <w:rPr>
          <w:b/>
          <w:sz w:val="26"/>
          <w:szCs w:val="26"/>
          <w:lang w:val="nl-NL"/>
        </w:rPr>
      </w:pPr>
      <w:bookmarkStart w:id="0" w:name="_Hlk219281120"/>
      <w:r w:rsidRPr="00CB26B2">
        <w:rPr>
          <w:b/>
          <w:sz w:val="26"/>
          <w:szCs w:val="26"/>
          <w:lang w:val="nl-NL"/>
        </w:rPr>
        <w:t>Phần 2. YÊU CẦU VỀ KỸ THUẬT</w:t>
      </w:r>
    </w:p>
    <w:p w14:paraId="657AA017" w14:textId="77777777" w:rsidR="00CB26B2" w:rsidRPr="00CB26B2" w:rsidRDefault="00CB26B2" w:rsidP="00CB26B2">
      <w:pPr>
        <w:widowControl w:val="0"/>
        <w:spacing w:before="120" w:after="120" w:line="264" w:lineRule="auto"/>
        <w:jc w:val="center"/>
        <w:outlineLvl w:val="1"/>
        <w:rPr>
          <w:sz w:val="26"/>
          <w:szCs w:val="26"/>
          <w:lang w:val="nl-NL"/>
        </w:rPr>
      </w:pPr>
      <w:r w:rsidRPr="00CB26B2">
        <w:rPr>
          <w:b/>
          <w:sz w:val="26"/>
          <w:szCs w:val="26"/>
          <w:lang w:val="nl-NL"/>
        </w:rPr>
        <w:t>Chương V. YÊU CẦU VỀ KỸ THUẬT</w:t>
      </w:r>
    </w:p>
    <w:p w14:paraId="2C5C8DEA" w14:textId="77777777" w:rsidR="00CB26B2" w:rsidRPr="00CB26B2" w:rsidRDefault="00CB26B2" w:rsidP="00CB26B2">
      <w:pPr>
        <w:pStyle w:val="Subtitle"/>
        <w:rPr>
          <w:rFonts w:ascii="Times New Roman" w:hAnsi="Times New Roman" w:cs="Times New Roman"/>
          <w:sz w:val="26"/>
          <w:szCs w:val="26"/>
          <w:lang w:val="nl-NL"/>
        </w:rPr>
      </w:pPr>
    </w:p>
    <w:p w14:paraId="75BD11A3" w14:textId="77777777" w:rsidR="00CB26B2" w:rsidRPr="00CB26B2" w:rsidRDefault="00CB26B2" w:rsidP="00CB26B2">
      <w:pPr>
        <w:pStyle w:val="SectionVIHeader"/>
        <w:widowControl w:val="0"/>
        <w:spacing w:after="120" w:line="264" w:lineRule="auto"/>
        <w:ind w:firstLine="709"/>
        <w:jc w:val="both"/>
        <w:rPr>
          <w:sz w:val="26"/>
          <w:szCs w:val="26"/>
          <w:lang w:val="nl-NL"/>
        </w:rPr>
      </w:pPr>
      <w:r w:rsidRPr="00CB26B2">
        <w:rPr>
          <w:sz w:val="26"/>
          <w:szCs w:val="26"/>
          <w:lang w:val="nl-NL"/>
        </w:rPr>
        <w:t>Mục 1. Yêu cầu về kỹ thuật</w:t>
      </w:r>
    </w:p>
    <w:p w14:paraId="715A8CED" w14:textId="77777777" w:rsidR="00CB26B2" w:rsidRPr="00CB26B2" w:rsidRDefault="00CB26B2" w:rsidP="00CB26B2">
      <w:pPr>
        <w:widowControl w:val="0"/>
        <w:spacing w:before="120" w:after="120" w:line="264" w:lineRule="auto"/>
        <w:ind w:firstLine="709"/>
        <w:rPr>
          <w:b/>
          <w:i/>
          <w:sz w:val="26"/>
          <w:szCs w:val="26"/>
        </w:rPr>
      </w:pPr>
      <w:r w:rsidRPr="00CB26B2">
        <w:rPr>
          <w:b/>
          <w:i/>
          <w:sz w:val="26"/>
          <w:szCs w:val="26"/>
        </w:rPr>
        <w:t>1.1. Giới thiệu chung về dự án/dự toán mua sắm, gói thầu</w:t>
      </w:r>
    </w:p>
    <w:p w14:paraId="39DD63E6" w14:textId="77777777" w:rsidR="00CB26B2" w:rsidRPr="00CB26B2" w:rsidRDefault="00CB26B2" w:rsidP="00CB26B2">
      <w:pPr>
        <w:widowControl w:val="0"/>
        <w:spacing w:before="120" w:after="120" w:line="264" w:lineRule="auto"/>
        <w:ind w:firstLine="709"/>
        <w:rPr>
          <w:iCs/>
          <w:sz w:val="26"/>
          <w:szCs w:val="26"/>
        </w:rPr>
      </w:pPr>
      <w:bookmarkStart w:id="1" w:name="_Hlk154743134"/>
      <w:r w:rsidRPr="00CB26B2">
        <w:rPr>
          <w:iCs/>
          <w:sz w:val="26"/>
          <w:szCs w:val="26"/>
        </w:rPr>
        <w:t xml:space="preserve">- Tên gói thầu: </w:t>
      </w:r>
      <w:r w:rsidRPr="00CB26B2">
        <w:rPr>
          <w:iCs/>
          <w:color w:val="2F5496" w:themeColor="accent1" w:themeShade="BF"/>
          <w:sz w:val="26"/>
          <w:szCs w:val="26"/>
        </w:rPr>
        <w:t>Gói thầu số 02: Hệ thống đinh nội tủy</w:t>
      </w:r>
      <w:r w:rsidRPr="00CB26B2">
        <w:rPr>
          <w:iCs/>
          <w:sz w:val="26"/>
          <w:szCs w:val="26"/>
        </w:rPr>
        <w:t xml:space="preserve"> </w:t>
      </w:r>
    </w:p>
    <w:p w14:paraId="7D4E3582" w14:textId="77777777" w:rsidR="00CB26B2" w:rsidRPr="00CB26B2" w:rsidRDefault="00CB26B2" w:rsidP="00CB26B2">
      <w:pPr>
        <w:widowControl w:val="0"/>
        <w:spacing w:before="120" w:after="120" w:line="264" w:lineRule="auto"/>
        <w:ind w:firstLine="709"/>
        <w:rPr>
          <w:iCs/>
          <w:sz w:val="26"/>
          <w:szCs w:val="26"/>
        </w:rPr>
      </w:pPr>
      <w:r w:rsidRPr="00CB26B2">
        <w:rPr>
          <w:iCs/>
          <w:sz w:val="26"/>
          <w:szCs w:val="26"/>
        </w:rPr>
        <w:t>- Chủ đầu tư: Bệnh Viện đa khoa Cà Mau</w:t>
      </w:r>
    </w:p>
    <w:p w14:paraId="3C67BCF4" w14:textId="77777777" w:rsidR="00CB26B2" w:rsidRPr="00CB26B2" w:rsidRDefault="00CB26B2" w:rsidP="00CB26B2">
      <w:pPr>
        <w:widowControl w:val="0"/>
        <w:spacing w:before="120" w:after="120" w:line="264" w:lineRule="auto"/>
        <w:ind w:firstLine="709"/>
        <w:rPr>
          <w:iCs/>
          <w:sz w:val="26"/>
          <w:szCs w:val="26"/>
        </w:rPr>
      </w:pPr>
      <w:r w:rsidRPr="00CB26B2">
        <w:rPr>
          <w:iCs/>
          <w:sz w:val="26"/>
          <w:szCs w:val="26"/>
        </w:rPr>
        <w:t>- Nguồn vốn: Nguồn thu hoạt động sự nghiệp và các nguồn hợp pháp khác của Bệnh viện đa khoa Cà Mau</w:t>
      </w:r>
    </w:p>
    <w:p w14:paraId="72C8B8E0" w14:textId="77777777" w:rsidR="00CB26B2" w:rsidRPr="00CB26B2" w:rsidRDefault="00CB26B2" w:rsidP="00CB26B2">
      <w:pPr>
        <w:widowControl w:val="0"/>
        <w:spacing w:before="120" w:after="120" w:line="264" w:lineRule="auto"/>
        <w:ind w:firstLine="709"/>
        <w:rPr>
          <w:iCs/>
          <w:sz w:val="26"/>
          <w:szCs w:val="26"/>
        </w:rPr>
      </w:pPr>
      <w:r w:rsidRPr="00CB26B2">
        <w:rPr>
          <w:iCs/>
          <w:sz w:val="26"/>
          <w:szCs w:val="26"/>
        </w:rPr>
        <w:t xml:space="preserve">- Thời gian thực hiện gói thầu: 12 tháng </w:t>
      </w:r>
    </w:p>
    <w:p w14:paraId="19695A38" w14:textId="77777777" w:rsidR="00CB26B2" w:rsidRPr="00CB26B2" w:rsidRDefault="00CB26B2" w:rsidP="00CB26B2">
      <w:pPr>
        <w:widowControl w:val="0"/>
        <w:spacing w:before="120" w:after="120" w:line="264" w:lineRule="auto"/>
        <w:ind w:firstLine="709"/>
        <w:rPr>
          <w:iCs/>
          <w:sz w:val="26"/>
          <w:szCs w:val="26"/>
        </w:rPr>
      </w:pPr>
      <w:r w:rsidRPr="00CB26B2">
        <w:rPr>
          <w:iCs/>
          <w:sz w:val="26"/>
          <w:szCs w:val="26"/>
        </w:rPr>
        <w:t>- Hình thức lựa chọn nhà thầu: Đấu thầu rộng rãi trong nước qua mạng</w:t>
      </w:r>
    </w:p>
    <w:p w14:paraId="79B6DF19" w14:textId="77777777" w:rsidR="00CB26B2" w:rsidRPr="00CB26B2" w:rsidRDefault="00CB26B2" w:rsidP="00CB26B2">
      <w:pPr>
        <w:widowControl w:val="0"/>
        <w:spacing w:before="120" w:after="120" w:line="264" w:lineRule="auto"/>
        <w:ind w:firstLine="709"/>
        <w:rPr>
          <w:iCs/>
          <w:sz w:val="26"/>
          <w:szCs w:val="26"/>
        </w:rPr>
      </w:pPr>
      <w:r w:rsidRPr="00CB26B2">
        <w:rPr>
          <w:iCs/>
          <w:sz w:val="26"/>
          <w:szCs w:val="26"/>
        </w:rPr>
        <w:t xml:space="preserve">- Phương thức lựa chọn nhà thầu: 01 giai đoạn – 01 túi hồ sơ. </w:t>
      </w:r>
    </w:p>
    <w:p w14:paraId="7799AA3B" w14:textId="77777777" w:rsidR="00CB26B2" w:rsidRPr="00CB26B2" w:rsidRDefault="00CB26B2" w:rsidP="00CB26B2">
      <w:pPr>
        <w:widowControl w:val="0"/>
        <w:spacing w:before="120" w:after="120" w:line="264" w:lineRule="auto"/>
        <w:ind w:firstLine="709"/>
        <w:rPr>
          <w:iCs/>
          <w:spacing w:val="2"/>
          <w:sz w:val="26"/>
          <w:szCs w:val="26"/>
        </w:rPr>
      </w:pPr>
      <w:r w:rsidRPr="00CB26B2">
        <w:rPr>
          <w:iCs/>
          <w:sz w:val="26"/>
          <w:szCs w:val="26"/>
        </w:rPr>
        <w:t>- Loại hợp đồng: theo đơn giá cố định</w:t>
      </w:r>
    </w:p>
    <w:bookmarkEnd w:id="1"/>
    <w:p w14:paraId="5D2485DA" w14:textId="77777777" w:rsidR="00CB26B2" w:rsidRPr="00CB26B2" w:rsidRDefault="00CB26B2" w:rsidP="00CB26B2">
      <w:pPr>
        <w:widowControl w:val="0"/>
        <w:spacing w:before="120" w:after="120" w:line="264" w:lineRule="auto"/>
        <w:ind w:firstLine="709"/>
        <w:rPr>
          <w:b/>
          <w:i/>
          <w:sz w:val="26"/>
          <w:szCs w:val="26"/>
        </w:rPr>
      </w:pPr>
      <w:r w:rsidRPr="00CB26B2">
        <w:rPr>
          <w:b/>
          <w:i/>
          <w:sz w:val="26"/>
          <w:szCs w:val="26"/>
        </w:rPr>
        <w:t>1.2. Yêu cầu về kỹ thuật</w:t>
      </w:r>
    </w:p>
    <w:tbl>
      <w:tblPr>
        <w:tblW w:w="9115" w:type="dxa"/>
        <w:tblLook w:val="04A0" w:firstRow="1" w:lastRow="0" w:firstColumn="1" w:lastColumn="0" w:noHBand="0" w:noVBand="1"/>
      </w:tblPr>
      <w:tblGrid>
        <w:gridCol w:w="708"/>
        <w:gridCol w:w="1964"/>
        <w:gridCol w:w="4147"/>
        <w:gridCol w:w="1235"/>
        <w:gridCol w:w="1061"/>
      </w:tblGrid>
      <w:tr w:rsidR="00CB26B2" w:rsidRPr="00CB26B2" w14:paraId="11E9934C" w14:textId="77777777" w:rsidTr="00F10184">
        <w:trPr>
          <w:trHeight w:val="1305"/>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FF61A" w14:textId="77777777" w:rsidR="00CB26B2" w:rsidRPr="00CB26B2" w:rsidRDefault="00CB26B2" w:rsidP="00F10184">
            <w:pPr>
              <w:jc w:val="center"/>
              <w:rPr>
                <w:b/>
                <w:bCs/>
                <w:sz w:val="26"/>
                <w:szCs w:val="26"/>
              </w:rPr>
            </w:pPr>
            <w:r w:rsidRPr="00CB26B2">
              <w:rPr>
                <w:b/>
                <w:bCs/>
                <w:sz w:val="26"/>
                <w:szCs w:val="26"/>
              </w:rPr>
              <w:t>STT</w:t>
            </w:r>
          </w:p>
        </w:tc>
        <w:tc>
          <w:tcPr>
            <w:tcW w:w="1964" w:type="dxa"/>
            <w:tcBorders>
              <w:top w:val="single" w:sz="4" w:space="0" w:color="auto"/>
              <w:left w:val="nil"/>
              <w:bottom w:val="single" w:sz="4" w:space="0" w:color="auto"/>
              <w:right w:val="single" w:sz="4" w:space="0" w:color="auto"/>
            </w:tcBorders>
            <w:shd w:val="clear" w:color="auto" w:fill="auto"/>
            <w:vAlign w:val="center"/>
            <w:hideMark/>
          </w:tcPr>
          <w:p w14:paraId="14013198" w14:textId="77777777" w:rsidR="00CB26B2" w:rsidRPr="00CB26B2" w:rsidRDefault="00CB26B2" w:rsidP="00F10184">
            <w:pPr>
              <w:jc w:val="center"/>
              <w:rPr>
                <w:b/>
                <w:bCs/>
                <w:sz w:val="26"/>
                <w:szCs w:val="26"/>
              </w:rPr>
            </w:pPr>
            <w:r w:rsidRPr="00CB26B2">
              <w:rPr>
                <w:b/>
                <w:bCs/>
                <w:sz w:val="26"/>
                <w:szCs w:val="26"/>
              </w:rPr>
              <w:t>Tên hàng hoá</w:t>
            </w:r>
          </w:p>
        </w:tc>
        <w:tc>
          <w:tcPr>
            <w:tcW w:w="4147" w:type="dxa"/>
            <w:tcBorders>
              <w:top w:val="single" w:sz="4" w:space="0" w:color="auto"/>
              <w:left w:val="nil"/>
              <w:bottom w:val="single" w:sz="4" w:space="0" w:color="auto"/>
              <w:right w:val="single" w:sz="4" w:space="0" w:color="auto"/>
            </w:tcBorders>
            <w:shd w:val="clear" w:color="auto" w:fill="auto"/>
            <w:vAlign w:val="center"/>
            <w:hideMark/>
          </w:tcPr>
          <w:p w14:paraId="0CD84826" w14:textId="77777777" w:rsidR="00CB26B2" w:rsidRPr="00CB26B2" w:rsidRDefault="00CB26B2" w:rsidP="00F10184">
            <w:pPr>
              <w:jc w:val="center"/>
              <w:rPr>
                <w:b/>
                <w:bCs/>
                <w:sz w:val="26"/>
                <w:szCs w:val="26"/>
              </w:rPr>
            </w:pPr>
            <w:r w:rsidRPr="00CB26B2">
              <w:rPr>
                <w:b/>
                <w:bCs/>
                <w:sz w:val="26"/>
                <w:szCs w:val="26"/>
              </w:rPr>
              <w:t xml:space="preserve">Tính năng kỹ thuật cơ bản </w:t>
            </w:r>
          </w:p>
        </w:tc>
        <w:tc>
          <w:tcPr>
            <w:tcW w:w="1235" w:type="dxa"/>
            <w:tcBorders>
              <w:top w:val="single" w:sz="4" w:space="0" w:color="auto"/>
              <w:left w:val="nil"/>
              <w:bottom w:val="single" w:sz="4" w:space="0" w:color="auto"/>
              <w:right w:val="single" w:sz="4" w:space="0" w:color="auto"/>
            </w:tcBorders>
            <w:shd w:val="clear" w:color="auto" w:fill="auto"/>
            <w:vAlign w:val="center"/>
            <w:hideMark/>
          </w:tcPr>
          <w:p w14:paraId="6054888F" w14:textId="77777777" w:rsidR="00CB26B2" w:rsidRPr="00CB26B2" w:rsidRDefault="00CB26B2" w:rsidP="00F10184">
            <w:pPr>
              <w:jc w:val="center"/>
              <w:rPr>
                <w:b/>
                <w:bCs/>
                <w:sz w:val="26"/>
                <w:szCs w:val="26"/>
              </w:rPr>
            </w:pPr>
            <w:r w:rsidRPr="00CB26B2">
              <w:rPr>
                <w:b/>
                <w:bCs/>
                <w:sz w:val="26"/>
                <w:szCs w:val="26"/>
              </w:rPr>
              <w:t xml:space="preserve">Đơn vị tính </w:t>
            </w:r>
          </w:p>
        </w:tc>
        <w:tc>
          <w:tcPr>
            <w:tcW w:w="1061" w:type="dxa"/>
            <w:tcBorders>
              <w:top w:val="single" w:sz="4" w:space="0" w:color="auto"/>
              <w:left w:val="nil"/>
              <w:bottom w:val="single" w:sz="4" w:space="0" w:color="auto"/>
              <w:right w:val="single" w:sz="4" w:space="0" w:color="auto"/>
            </w:tcBorders>
            <w:shd w:val="clear" w:color="auto" w:fill="auto"/>
            <w:vAlign w:val="center"/>
            <w:hideMark/>
          </w:tcPr>
          <w:p w14:paraId="2607BCFA" w14:textId="77777777" w:rsidR="00CB26B2" w:rsidRPr="00CB26B2" w:rsidRDefault="00CB26B2" w:rsidP="00F10184">
            <w:pPr>
              <w:jc w:val="center"/>
              <w:rPr>
                <w:b/>
                <w:bCs/>
                <w:sz w:val="26"/>
                <w:szCs w:val="26"/>
              </w:rPr>
            </w:pPr>
            <w:r w:rsidRPr="00CB26B2">
              <w:rPr>
                <w:b/>
                <w:bCs/>
                <w:sz w:val="26"/>
                <w:szCs w:val="26"/>
              </w:rPr>
              <w:t>Số lượng</w:t>
            </w:r>
          </w:p>
        </w:tc>
      </w:tr>
      <w:tr w:rsidR="00CB26B2" w:rsidRPr="00CB26B2" w14:paraId="3197D172"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8C4813B" w14:textId="77777777" w:rsidR="00CB26B2" w:rsidRPr="00CB26B2" w:rsidRDefault="00CB26B2" w:rsidP="00F10184">
            <w:pPr>
              <w:jc w:val="center"/>
              <w:rPr>
                <w:sz w:val="26"/>
                <w:szCs w:val="26"/>
              </w:rPr>
            </w:pPr>
            <w:r w:rsidRPr="00CB26B2">
              <w:rPr>
                <w:sz w:val="26"/>
                <w:szCs w:val="26"/>
              </w:rPr>
              <w:t>1</w:t>
            </w:r>
          </w:p>
        </w:t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9E9E3C" w14:textId="77777777" w:rsidR="00CB26B2" w:rsidRPr="00CB26B2" w:rsidRDefault="00CB26B2" w:rsidP="00F10184">
            <w:pPr>
              <w:rPr>
                <w:sz w:val="26"/>
                <w:szCs w:val="26"/>
              </w:rPr>
            </w:pPr>
            <w:r w:rsidRPr="00CB26B2">
              <w:rPr>
                <w:b/>
                <w:bCs/>
                <w:sz w:val="26"/>
                <w:szCs w:val="26"/>
              </w:rPr>
              <w:t>Phần I: Hệ thống đinh nội tủy Titanium kỹ thuật cao</w:t>
            </w:r>
          </w:p>
        </w:tc>
        <w:tc>
          <w:tcPr>
            <w:tcW w:w="4147" w:type="dxa"/>
            <w:tcBorders>
              <w:top w:val="nil"/>
              <w:left w:val="nil"/>
              <w:bottom w:val="single" w:sz="4" w:space="0" w:color="auto"/>
              <w:right w:val="single" w:sz="4" w:space="0" w:color="auto"/>
            </w:tcBorders>
            <w:shd w:val="clear" w:color="auto" w:fill="auto"/>
            <w:vAlign w:val="center"/>
          </w:tcPr>
          <w:p w14:paraId="2129298F" w14:textId="77777777" w:rsidR="00CB26B2" w:rsidRPr="00CB26B2" w:rsidRDefault="00CB26B2" w:rsidP="00F10184">
            <w:pPr>
              <w:rPr>
                <w:sz w:val="26"/>
                <w:szCs w:val="26"/>
              </w:rPr>
            </w:pPr>
            <w:r w:rsidRPr="00CB26B2">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432C0A8C" w14:textId="77777777" w:rsidR="00CB26B2" w:rsidRPr="00CB26B2" w:rsidRDefault="00CB26B2" w:rsidP="00F10184">
            <w:pPr>
              <w:jc w:val="center"/>
              <w:rPr>
                <w:sz w:val="26"/>
                <w:szCs w:val="26"/>
              </w:rPr>
            </w:pPr>
            <w:r w:rsidRPr="00CB26B2">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0B9D6E29" w14:textId="77777777" w:rsidR="00CB26B2" w:rsidRPr="00CB26B2" w:rsidRDefault="00CB26B2" w:rsidP="00F10184">
            <w:pPr>
              <w:jc w:val="center"/>
              <w:rPr>
                <w:sz w:val="26"/>
                <w:szCs w:val="26"/>
              </w:rPr>
            </w:pPr>
            <w:r w:rsidRPr="00CB26B2">
              <w:rPr>
                <w:b/>
                <w:bCs/>
                <w:color w:val="000000"/>
                <w:sz w:val="26"/>
                <w:szCs w:val="26"/>
              </w:rPr>
              <w:t> </w:t>
            </w:r>
          </w:p>
        </w:tc>
      </w:tr>
      <w:tr w:rsidR="00CB26B2" w:rsidRPr="00CB26B2" w14:paraId="7D0125DA"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84ABEE2" w14:textId="77777777" w:rsidR="00CB26B2" w:rsidRPr="00CB26B2" w:rsidRDefault="00CB26B2" w:rsidP="00F10184">
            <w:pPr>
              <w:jc w:val="center"/>
              <w:rPr>
                <w:sz w:val="26"/>
                <w:szCs w:val="26"/>
              </w:rPr>
            </w:pPr>
            <w:r w:rsidRPr="00CB26B2">
              <w:rPr>
                <w:sz w:val="26"/>
                <w:szCs w:val="26"/>
              </w:rPr>
              <w:t>1.1</w:t>
            </w:r>
          </w:p>
        </w:tc>
        <w:tc>
          <w:tcPr>
            <w:tcW w:w="1964" w:type="dxa"/>
            <w:tcBorders>
              <w:top w:val="nil"/>
              <w:left w:val="single" w:sz="4" w:space="0" w:color="auto"/>
              <w:bottom w:val="single" w:sz="4" w:space="0" w:color="auto"/>
              <w:right w:val="single" w:sz="4" w:space="0" w:color="auto"/>
            </w:tcBorders>
            <w:shd w:val="clear" w:color="auto" w:fill="auto"/>
            <w:vAlign w:val="center"/>
          </w:tcPr>
          <w:p w14:paraId="5689ADFB" w14:textId="77777777" w:rsidR="00CB26B2" w:rsidRPr="00CB26B2" w:rsidRDefault="00CB26B2" w:rsidP="00F10184">
            <w:pPr>
              <w:rPr>
                <w:sz w:val="26"/>
                <w:szCs w:val="26"/>
              </w:rPr>
            </w:pPr>
            <w:r w:rsidRPr="00CB26B2">
              <w:rPr>
                <w:sz w:val="26"/>
                <w:szCs w:val="26"/>
              </w:rPr>
              <w:t>Đinh nội tủy điều trị gãy thân xương đùi</w:t>
            </w:r>
          </w:p>
        </w:tc>
        <w:tc>
          <w:tcPr>
            <w:tcW w:w="4147" w:type="dxa"/>
            <w:tcBorders>
              <w:top w:val="nil"/>
              <w:left w:val="nil"/>
              <w:bottom w:val="single" w:sz="4" w:space="0" w:color="auto"/>
              <w:right w:val="single" w:sz="4" w:space="0" w:color="auto"/>
            </w:tcBorders>
            <w:shd w:val="clear" w:color="auto" w:fill="auto"/>
            <w:vAlign w:val="center"/>
          </w:tcPr>
          <w:p w14:paraId="7AE453C4" w14:textId="77777777" w:rsidR="00CB26B2" w:rsidRPr="00CB26B2" w:rsidRDefault="00CB26B2" w:rsidP="00F10184">
            <w:pPr>
              <w:rPr>
                <w:sz w:val="26"/>
                <w:szCs w:val="26"/>
              </w:rPr>
            </w:pPr>
            <w:r w:rsidRPr="00CB26B2">
              <w:rPr>
                <w:sz w:val="26"/>
                <w:szCs w:val="26"/>
              </w:rPr>
              <w:t>Bộ đinh xương đùi rỗng, bao gồm:</w:t>
            </w:r>
            <w:r w:rsidRPr="00CB26B2">
              <w:rPr>
                <w:sz w:val="26"/>
                <w:szCs w:val="26"/>
              </w:rPr>
              <w:br/>
              <w:t>Chất liệu đinh và vít, nắp đinh đều bằng hợp kim Titanium (Ti6Al4V ELI).</w:t>
            </w:r>
            <w:r w:rsidRPr="00CB26B2">
              <w:rPr>
                <w:sz w:val="26"/>
                <w:szCs w:val="26"/>
              </w:rPr>
              <w:br/>
              <w:t>1. Đinh xương đùi rỗng:</w:t>
            </w:r>
            <w:r w:rsidRPr="00CB26B2">
              <w:rPr>
                <w:sz w:val="26"/>
                <w:szCs w:val="26"/>
              </w:rPr>
              <w:br/>
              <w:t>- Góc giữa - bên 5 độ, chốt khóa đầu gần thiết kế góc khóa 125 độ</w:t>
            </w:r>
            <w:r w:rsidRPr="00CB26B2">
              <w:rPr>
                <w:sz w:val="26"/>
                <w:szCs w:val="26"/>
              </w:rPr>
              <w:br/>
              <w:t xml:space="preserve">- Có tối thiểu 4 đường kính từ  9.0mm đến 12mm, chiều dài từ 320mm đến 420mm (bước tăng 20mm), có các bên trái/ phải. </w:t>
            </w:r>
            <w:r w:rsidRPr="00CB26B2">
              <w:rPr>
                <w:sz w:val="26"/>
                <w:szCs w:val="26"/>
              </w:rPr>
              <w:br/>
              <w:t>- Có tùy chọn khóa động và khóa tĩnh cho đầu xa và đầu gần, sử dụng tay khung định vị ba chiều.</w:t>
            </w:r>
            <w:r w:rsidRPr="00CB26B2">
              <w:rPr>
                <w:sz w:val="26"/>
                <w:szCs w:val="26"/>
              </w:rPr>
              <w:br/>
              <w:t xml:space="preserve">2. Vít tương ứng với đinh xương đùi: Có nhiều chọn lựa vít khóa </w:t>
            </w:r>
            <w:r w:rsidRPr="00CB26B2">
              <w:rPr>
                <w:sz w:val="26"/>
                <w:szCs w:val="26"/>
              </w:rPr>
              <w:br/>
              <w:t>- Vít cổ xương đùi, đường kính 6.5mm, chiều dài từ  ≥ 65 - 130mm.</w:t>
            </w:r>
            <w:r w:rsidRPr="00CB26B2">
              <w:rPr>
                <w:sz w:val="26"/>
                <w:szCs w:val="26"/>
              </w:rPr>
              <w:br/>
              <w:t xml:space="preserve">- Vít khóa đầu gần và đầu xa, đường </w:t>
            </w:r>
            <w:r w:rsidRPr="00CB26B2">
              <w:rPr>
                <w:sz w:val="26"/>
                <w:szCs w:val="26"/>
              </w:rPr>
              <w:lastRenderedPageBreak/>
              <w:t>kính 5.0mm, chiều dài từ  ≥26 - 80mm (bước tăng 2mm), chiều dài từ 85 - 100mm (bước tăng 5mm)</w:t>
            </w:r>
            <w:r w:rsidRPr="00CB26B2">
              <w:rPr>
                <w:sz w:val="26"/>
                <w:szCs w:val="26"/>
              </w:rPr>
              <w:br/>
              <w:t>3. Phần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246E8163"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3E667E1E" w14:textId="77777777" w:rsidR="00CB26B2" w:rsidRPr="00CB26B2" w:rsidRDefault="00CB26B2" w:rsidP="00F10184">
            <w:pPr>
              <w:jc w:val="center"/>
              <w:rPr>
                <w:sz w:val="26"/>
                <w:szCs w:val="26"/>
              </w:rPr>
            </w:pPr>
            <w:r w:rsidRPr="00CB26B2">
              <w:rPr>
                <w:sz w:val="26"/>
                <w:szCs w:val="26"/>
              </w:rPr>
              <w:t>35</w:t>
            </w:r>
          </w:p>
        </w:tc>
      </w:tr>
      <w:tr w:rsidR="00CB26B2" w:rsidRPr="00CB26B2" w14:paraId="116DBEE6"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0161E0C" w14:textId="77777777" w:rsidR="00CB26B2" w:rsidRPr="00CB26B2" w:rsidRDefault="00CB26B2" w:rsidP="00F10184">
            <w:pPr>
              <w:jc w:val="center"/>
              <w:rPr>
                <w:sz w:val="26"/>
                <w:szCs w:val="26"/>
              </w:rPr>
            </w:pPr>
            <w:r w:rsidRPr="00CB26B2">
              <w:rPr>
                <w:sz w:val="26"/>
                <w:szCs w:val="26"/>
              </w:rPr>
              <w:t>1.2</w:t>
            </w:r>
          </w:p>
        </w:tc>
        <w:tc>
          <w:tcPr>
            <w:tcW w:w="1964" w:type="dxa"/>
            <w:tcBorders>
              <w:top w:val="nil"/>
              <w:left w:val="single" w:sz="4" w:space="0" w:color="auto"/>
              <w:bottom w:val="single" w:sz="4" w:space="0" w:color="auto"/>
              <w:right w:val="single" w:sz="4" w:space="0" w:color="auto"/>
            </w:tcBorders>
            <w:shd w:val="clear" w:color="auto" w:fill="auto"/>
            <w:vAlign w:val="center"/>
          </w:tcPr>
          <w:p w14:paraId="5B8B83F4" w14:textId="77777777" w:rsidR="00CB26B2" w:rsidRPr="00CB26B2" w:rsidRDefault="00CB26B2" w:rsidP="00F10184">
            <w:pPr>
              <w:rPr>
                <w:sz w:val="26"/>
                <w:szCs w:val="26"/>
              </w:rPr>
            </w:pPr>
            <w:r w:rsidRPr="00CB26B2">
              <w:rPr>
                <w:sz w:val="26"/>
                <w:szCs w:val="26"/>
              </w:rPr>
              <w:t>Đinh nội tủy điều trị gãy thân xương chày</w:t>
            </w:r>
          </w:p>
        </w:tc>
        <w:tc>
          <w:tcPr>
            <w:tcW w:w="4147" w:type="dxa"/>
            <w:tcBorders>
              <w:top w:val="nil"/>
              <w:left w:val="nil"/>
              <w:bottom w:val="single" w:sz="4" w:space="0" w:color="auto"/>
              <w:right w:val="single" w:sz="4" w:space="0" w:color="auto"/>
            </w:tcBorders>
            <w:shd w:val="clear" w:color="auto" w:fill="auto"/>
            <w:vAlign w:val="center"/>
          </w:tcPr>
          <w:p w14:paraId="1252206E" w14:textId="77777777" w:rsidR="00CB26B2" w:rsidRPr="00CB26B2" w:rsidRDefault="00CB26B2" w:rsidP="00F10184">
            <w:pPr>
              <w:rPr>
                <w:sz w:val="26"/>
                <w:szCs w:val="26"/>
              </w:rPr>
            </w:pPr>
            <w:r w:rsidRPr="00CB26B2">
              <w:rPr>
                <w:sz w:val="26"/>
                <w:szCs w:val="26"/>
              </w:rPr>
              <w:t>Bộ đinh xương chày rỗng, bao gồm:</w:t>
            </w:r>
            <w:r w:rsidRPr="00CB26B2">
              <w:rPr>
                <w:sz w:val="26"/>
                <w:szCs w:val="26"/>
              </w:rPr>
              <w:br/>
              <w:t>Chất liệu đinh và vít, nắp đinh đều bằng hợp kim Titanium ELI (Ti6Al4V ELI).</w:t>
            </w:r>
            <w:r w:rsidRPr="00CB26B2">
              <w:rPr>
                <w:sz w:val="26"/>
                <w:szCs w:val="26"/>
              </w:rPr>
              <w:br/>
              <w:t>1. Đinh xương chày rỗng:</w:t>
            </w:r>
            <w:r w:rsidRPr="00CB26B2">
              <w:rPr>
                <w:sz w:val="26"/>
                <w:szCs w:val="26"/>
              </w:rPr>
              <w:br/>
              <w:t xml:space="preserve">- Có 4 đường kính từ 8.0mm- 11mm, chiều dài từ  ≥ 260mm đến 360mm (bước tăng 20mm). </w:t>
            </w:r>
            <w:r w:rsidRPr="00CB26B2">
              <w:rPr>
                <w:sz w:val="26"/>
                <w:szCs w:val="26"/>
              </w:rPr>
              <w:br/>
              <w:t>- Đầu gần thiết kế khóa trong ngoài cho phép nén ép di động</w:t>
            </w:r>
            <w:r w:rsidRPr="00CB26B2">
              <w:rPr>
                <w:sz w:val="26"/>
                <w:szCs w:val="26"/>
              </w:rPr>
              <w:br/>
              <w:t>- Đầu xa thiết kế lỗ vít khóa chéo theo trục 28 độ, có thể khóa trong - ngoài, trước - sau, tùy chọn khóa đa mặt phẳng.</w:t>
            </w:r>
            <w:r w:rsidRPr="00CB26B2">
              <w:rPr>
                <w:sz w:val="26"/>
                <w:szCs w:val="26"/>
              </w:rPr>
              <w:br/>
              <w:t>- Sử dụng tay khung định vị ba chiều</w:t>
            </w:r>
            <w:r w:rsidRPr="00CB26B2">
              <w:rPr>
                <w:sz w:val="26"/>
                <w:szCs w:val="26"/>
              </w:rPr>
              <w:br/>
              <w:t>2. Vít tương ứng với Đinh xương chày:</w:t>
            </w:r>
            <w:r w:rsidRPr="00CB26B2">
              <w:rPr>
                <w:sz w:val="26"/>
                <w:szCs w:val="26"/>
              </w:rPr>
              <w:br/>
              <w:t>- Đầu gần dùng vít khóa có đường kính 5.0mm, có chiều dài  ≥ 26mm đến 80mm (bước tăng 2mm)</w:t>
            </w:r>
            <w:r w:rsidRPr="00CB26B2">
              <w:rPr>
                <w:sz w:val="26"/>
                <w:szCs w:val="26"/>
              </w:rPr>
              <w:br/>
              <w:t>- Đầu xa dùng vít khóa có đường kính 4.2mm, chiều dài  ≥ 22mm đến 80mm (bước tăng 2mm).</w:t>
            </w:r>
            <w:r w:rsidRPr="00CB26B2">
              <w:rPr>
                <w:sz w:val="26"/>
                <w:szCs w:val="26"/>
              </w:rPr>
              <w:br/>
              <w:t>3. Phần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73B2C7F1" w14:textId="77777777" w:rsidR="00CB26B2" w:rsidRPr="00CB26B2" w:rsidRDefault="00CB26B2" w:rsidP="00F10184">
            <w:pPr>
              <w:jc w:val="center"/>
              <w:rPr>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2CAD5A4B" w14:textId="77777777" w:rsidR="00CB26B2" w:rsidRPr="00CB26B2" w:rsidRDefault="00CB26B2" w:rsidP="00F10184">
            <w:pPr>
              <w:jc w:val="center"/>
              <w:rPr>
                <w:sz w:val="26"/>
                <w:szCs w:val="26"/>
              </w:rPr>
            </w:pPr>
            <w:r w:rsidRPr="00CB26B2">
              <w:rPr>
                <w:sz w:val="26"/>
                <w:szCs w:val="26"/>
              </w:rPr>
              <w:t>40</w:t>
            </w:r>
          </w:p>
        </w:tc>
      </w:tr>
      <w:tr w:rsidR="00CB26B2" w:rsidRPr="00CB26B2" w14:paraId="30585643"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3A413441" w14:textId="77777777" w:rsidR="00CB26B2" w:rsidRPr="00CB26B2" w:rsidRDefault="00CB26B2" w:rsidP="00F10184">
            <w:pPr>
              <w:jc w:val="center"/>
              <w:rPr>
                <w:sz w:val="26"/>
                <w:szCs w:val="26"/>
              </w:rPr>
            </w:pPr>
            <w:r w:rsidRPr="00CB26B2">
              <w:rPr>
                <w:sz w:val="26"/>
                <w:szCs w:val="26"/>
              </w:rPr>
              <w:t>1.3</w:t>
            </w:r>
          </w:p>
        </w:tc>
        <w:tc>
          <w:tcPr>
            <w:tcW w:w="1964" w:type="dxa"/>
            <w:tcBorders>
              <w:top w:val="nil"/>
              <w:left w:val="single" w:sz="4" w:space="0" w:color="auto"/>
              <w:bottom w:val="single" w:sz="4" w:space="0" w:color="auto"/>
              <w:right w:val="single" w:sz="4" w:space="0" w:color="auto"/>
            </w:tcBorders>
            <w:shd w:val="clear" w:color="auto" w:fill="auto"/>
            <w:vAlign w:val="center"/>
          </w:tcPr>
          <w:p w14:paraId="727E6C04" w14:textId="77777777" w:rsidR="00CB26B2" w:rsidRPr="00CB26B2" w:rsidRDefault="00CB26B2" w:rsidP="00F10184">
            <w:pPr>
              <w:rPr>
                <w:sz w:val="26"/>
                <w:szCs w:val="26"/>
              </w:rPr>
            </w:pPr>
            <w:r w:rsidRPr="00CB26B2">
              <w:rPr>
                <w:sz w:val="26"/>
                <w:szCs w:val="26"/>
              </w:rPr>
              <w:t>Đinh nội tủy đầu gần xương đùi chống xoay loại ngắn</w:t>
            </w:r>
          </w:p>
        </w:tc>
        <w:tc>
          <w:tcPr>
            <w:tcW w:w="4147" w:type="dxa"/>
            <w:tcBorders>
              <w:top w:val="nil"/>
              <w:left w:val="nil"/>
              <w:bottom w:val="single" w:sz="4" w:space="0" w:color="auto"/>
              <w:right w:val="single" w:sz="4" w:space="0" w:color="auto"/>
            </w:tcBorders>
            <w:shd w:val="clear" w:color="auto" w:fill="auto"/>
            <w:vAlign w:val="center"/>
          </w:tcPr>
          <w:p w14:paraId="7702BD73" w14:textId="77777777" w:rsidR="00CB26B2" w:rsidRPr="00CB26B2" w:rsidRDefault="00CB26B2" w:rsidP="00F10184">
            <w:pPr>
              <w:rPr>
                <w:sz w:val="26"/>
                <w:szCs w:val="26"/>
              </w:rPr>
            </w:pPr>
            <w:r w:rsidRPr="00CB26B2">
              <w:rPr>
                <w:sz w:val="26"/>
                <w:szCs w:val="26"/>
              </w:rPr>
              <w:t>Bộ đinh đầu trên xương đùi rỗng (Đinh PFNA), bao gồm:</w:t>
            </w:r>
            <w:r w:rsidRPr="00CB26B2">
              <w:rPr>
                <w:sz w:val="26"/>
                <w:szCs w:val="26"/>
              </w:rPr>
              <w:br/>
              <w:t xml:space="preserve">Chất liệu đinh và vít, nắp đinh đều bằng hợp kim Titanium ELI </w:t>
            </w:r>
            <w:r w:rsidRPr="00CB26B2">
              <w:rPr>
                <w:sz w:val="26"/>
                <w:szCs w:val="26"/>
              </w:rPr>
              <w:lastRenderedPageBreak/>
              <w:t>(Ti6Al4V ELI).</w:t>
            </w:r>
            <w:r w:rsidRPr="00CB26B2">
              <w:rPr>
                <w:sz w:val="26"/>
                <w:szCs w:val="26"/>
              </w:rPr>
              <w:br/>
              <w:t>1. Đinh đầu trên xương đùi rỗng:</w:t>
            </w:r>
            <w:r w:rsidRPr="00CB26B2">
              <w:rPr>
                <w:sz w:val="26"/>
                <w:szCs w:val="26"/>
              </w:rPr>
              <w:br/>
              <w:t>- Thiết kế theo giải phẫu, có góc giữa-bên 5 độ</w:t>
            </w:r>
            <w:r w:rsidRPr="00CB26B2">
              <w:rPr>
                <w:sz w:val="26"/>
                <w:szCs w:val="26"/>
              </w:rPr>
              <w:br/>
              <w:t>- Có 4 đường kính  9.0mm- 12mm, có chiều dài 170mm/ 200mm/ 240mm, sử dụng tay khung định vị ba chiều.</w:t>
            </w:r>
            <w:r w:rsidRPr="00CB26B2">
              <w:rPr>
                <w:sz w:val="26"/>
                <w:szCs w:val="26"/>
              </w:rPr>
              <w:br/>
              <w:t>2. Vít tương ứng với đinh đầu trên xương đùi rỗng</w:t>
            </w:r>
            <w:r w:rsidRPr="00CB26B2">
              <w:rPr>
                <w:sz w:val="26"/>
                <w:szCs w:val="26"/>
              </w:rPr>
              <w:br/>
              <w:t>- Vít nén ép thiết kế nép ép xương xốp, cơ chế khóa bên trong điều khiển sự ổn định xoay giữa lưỡi xoắn của vít và chỏm xương đùi, có đường kính 10.5mm, chiều dài ≥  70 - 120mm (bước tăng 5mm).</w:t>
            </w:r>
            <w:r w:rsidRPr="00CB26B2">
              <w:rPr>
                <w:sz w:val="26"/>
                <w:szCs w:val="26"/>
              </w:rPr>
              <w:br/>
              <w:t>- Vít khóa đinh đầu xa, đường kính 5.0mm,  chiều dài ≥ 26 đến 80mm (bước tăng 2mm).</w:t>
            </w:r>
            <w:r w:rsidRPr="00CB26B2">
              <w:rPr>
                <w:sz w:val="26"/>
                <w:szCs w:val="26"/>
              </w:rPr>
              <w:br/>
              <w:t>3.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3F2AE97A"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6C4BBB2B" w14:textId="77777777" w:rsidR="00CB26B2" w:rsidRPr="00CB26B2" w:rsidRDefault="00CB26B2" w:rsidP="00F10184">
            <w:pPr>
              <w:jc w:val="center"/>
              <w:rPr>
                <w:sz w:val="26"/>
                <w:szCs w:val="26"/>
              </w:rPr>
            </w:pPr>
            <w:r w:rsidRPr="00CB26B2">
              <w:rPr>
                <w:sz w:val="26"/>
                <w:szCs w:val="26"/>
              </w:rPr>
              <w:t>30</w:t>
            </w:r>
          </w:p>
        </w:tc>
      </w:tr>
      <w:tr w:rsidR="00CB26B2" w:rsidRPr="00CB26B2" w14:paraId="6B1D9CE2"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7F202B5" w14:textId="77777777" w:rsidR="00CB26B2" w:rsidRPr="00CB26B2" w:rsidRDefault="00CB26B2" w:rsidP="00F10184">
            <w:pPr>
              <w:jc w:val="center"/>
              <w:rPr>
                <w:sz w:val="26"/>
                <w:szCs w:val="26"/>
              </w:rPr>
            </w:pPr>
            <w:r w:rsidRPr="00CB26B2">
              <w:rPr>
                <w:sz w:val="26"/>
                <w:szCs w:val="26"/>
              </w:rPr>
              <w:t>1.4</w:t>
            </w:r>
          </w:p>
        </w:tc>
        <w:tc>
          <w:tcPr>
            <w:tcW w:w="1964" w:type="dxa"/>
            <w:tcBorders>
              <w:top w:val="nil"/>
              <w:left w:val="single" w:sz="4" w:space="0" w:color="auto"/>
              <w:bottom w:val="single" w:sz="4" w:space="0" w:color="auto"/>
              <w:right w:val="single" w:sz="4" w:space="0" w:color="auto"/>
            </w:tcBorders>
            <w:shd w:val="clear" w:color="auto" w:fill="auto"/>
            <w:vAlign w:val="center"/>
          </w:tcPr>
          <w:p w14:paraId="2A5EC6B4" w14:textId="77777777" w:rsidR="00CB26B2" w:rsidRPr="00CB26B2" w:rsidRDefault="00CB26B2" w:rsidP="00F10184">
            <w:pPr>
              <w:rPr>
                <w:sz w:val="26"/>
                <w:szCs w:val="26"/>
              </w:rPr>
            </w:pPr>
            <w:r w:rsidRPr="00CB26B2">
              <w:rPr>
                <w:sz w:val="26"/>
                <w:szCs w:val="26"/>
              </w:rPr>
              <w:t>Đinh nội tủy đầu gần xương đùi chống xoay loại dài</w:t>
            </w:r>
          </w:p>
        </w:tc>
        <w:tc>
          <w:tcPr>
            <w:tcW w:w="4147" w:type="dxa"/>
            <w:tcBorders>
              <w:top w:val="nil"/>
              <w:left w:val="nil"/>
              <w:bottom w:val="single" w:sz="4" w:space="0" w:color="auto"/>
              <w:right w:val="single" w:sz="4" w:space="0" w:color="auto"/>
            </w:tcBorders>
            <w:shd w:val="clear" w:color="auto" w:fill="auto"/>
            <w:vAlign w:val="center"/>
          </w:tcPr>
          <w:p w14:paraId="10F99EEA" w14:textId="77777777" w:rsidR="00CB26B2" w:rsidRPr="00CB26B2" w:rsidRDefault="00CB26B2" w:rsidP="00F10184">
            <w:pPr>
              <w:rPr>
                <w:sz w:val="26"/>
                <w:szCs w:val="26"/>
              </w:rPr>
            </w:pPr>
            <w:r w:rsidRPr="00CB26B2">
              <w:rPr>
                <w:sz w:val="26"/>
                <w:szCs w:val="26"/>
              </w:rPr>
              <w:t>Bộ đinh đầu trên xương đùi rỗng (Đinh PFNA), bao gồm:</w:t>
            </w:r>
            <w:r w:rsidRPr="00CB26B2">
              <w:rPr>
                <w:sz w:val="26"/>
                <w:szCs w:val="26"/>
              </w:rPr>
              <w:br/>
              <w:t>Chất liệu đinh và vít, nắp đinh đều bằng hợp kim Titanium ELI (Ti6Al4V ELI).</w:t>
            </w:r>
            <w:r w:rsidRPr="00CB26B2">
              <w:rPr>
                <w:sz w:val="26"/>
                <w:szCs w:val="26"/>
              </w:rPr>
              <w:br/>
              <w:t>1. Đinh đầu trên xương đùi rỗng,</w:t>
            </w:r>
            <w:r w:rsidRPr="00CB26B2">
              <w:rPr>
                <w:sz w:val="26"/>
                <w:szCs w:val="26"/>
              </w:rPr>
              <w:br/>
              <w:t>- Thiết kế theo giải phẫu, có góc giữa-bên 5 độ</w:t>
            </w:r>
            <w:r w:rsidRPr="00CB26B2">
              <w:rPr>
                <w:sz w:val="26"/>
                <w:szCs w:val="26"/>
              </w:rPr>
              <w:br/>
              <w:t>- Có 4 đường kính  9.0mm- 12mm, có chiều dài ≥ 320 - 420mm (bước tăng 20mm), trái/ phải, sử dụng tay khung định vị ba chiều.</w:t>
            </w:r>
            <w:r w:rsidRPr="00CB26B2">
              <w:rPr>
                <w:sz w:val="26"/>
                <w:szCs w:val="26"/>
              </w:rPr>
              <w:br/>
              <w:t>2. Vít tương ứng với đinh đầu trên xương đùi rỗng</w:t>
            </w:r>
            <w:r w:rsidRPr="00CB26B2">
              <w:rPr>
                <w:sz w:val="26"/>
                <w:szCs w:val="26"/>
              </w:rPr>
              <w:br/>
              <w:t xml:space="preserve">- Vít nén ép thiết kế nép ép xương xốp, cơ chế khóa bên trong điều khiển sự ổn định xoay giữa lưỡi xoắn của vít và chỏm xương đùi, có đường kính 10.5mm, chiều dài ≥ 70 - 120mm </w:t>
            </w:r>
            <w:r w:rsidRPr="00CB26B2">
              <w:rPr>
                <w:sz w:val="26"/>
                <w:szCs w:val="26"/>
              </w:rPr>
              <w:lastRenderedPageBreak/>
              <w:t>(bước tăng 5mm).</w:t>
            </w:r>
            <w:r w:rsidRPr="00CB26B2">
              <w:rPr>
                <w:sz w:val="26"/>
                <w:szCs w:val="26"/>
              </w:rPr>
              <w:br/>
              <w:t>- Vít khóa đinh đầu xa, đường kính 5.0mm, chiều dài ≥ 26 đến 80mm (bước tăng 2mm).</w:t>
            </w:r>
            <w:r w:rsidRPr="00CB26B2">
              <w:rPr>
                <w:sz w:val="26"/>
                <w:szCs w:val="26"/>
              </w:rPr>
              <w:br/>
              <w:t>3.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53524156"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15A16147" w14:textId="77777777" w:rsidR="00CB26B2" w:rsidRPr="00CB26B2" w:rsidRDefault="00CB26B2" w:rsidP="00F10184">
            <w:pPr>
              <w:jc w:val="center"/>
              <w:rPr>
                <w:sz w:val="26"/>
                <w:szCs w:val="26"/>
              </w:rPr>
            </w:pPr>
            <w:r w:rsidRPr="00CB26B2">
              <w:rPr>
                <w:sz w:val="26"/>
                <w:szCs w:val="26"/>
              </w:rPr>
              <w:t>15</w:t>
            </w:r>
          </w:p>
        </w:tc>
      </w:tr>
      <w:tr w:rsidR="00CB26B2" w:rsidRPr="00CB26B2" w14:paraId="7EFD9BFC"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A187DDD" w14:textId="77777777" w:rsidR="00CB26B2" w:rsidRPr="00CB26B2" w:rsidRDefault="00CB26B2" w:rsidP="00F10184">
            <w:pPr>
              <w:jc w:val="center"/>
              <w:rPr>
                <w:color w:val="000000"/>
                <w:sz w:val="26"/>
                <w:szCs w:val="26"/>
              </w:rPr>
            </w:pPr>
            <w:r w:rsidRPr="00CB26B2">
              <w:rPr>
                <w:sz w:val="26"/>
                <w:szCs w:val="26"/>
              </w:rPr>
              <w:t>1.5</w:t>
            </w:r>
          </w:p>
        </w:tc>
        <w:tc>
          <w:tcPr>
            <w:tcW w:w="1964" w:type="dxa"/>
            <w:tcBorders>
              <w:top w:val="nil"/>
              <w:left w:val="single" w:sz="4" w:space="0" w:color="auto"/>
              <w:bottom w:val="single" w:sz="4" w:space="0" w:color="auto"/>
              <w:right w:val="single" w:sz="4" w:space="0" w:color="auto"/>
            </w:tcBorders>
            <w:shd w:val="clear" w:color="auto" w:fill="auto"/>
            <w:vAlign w:val="center"/>
          </w:tcPr>
          <w:p w14:paraId="48A1798D" w14:textId="77777777" w:rsidR="00CB26B2" w:rsidRPr="00CB26B2" w:rsidRDefault="00CB26B2" w:rsidP="00F10184">
            <w:pPr>
              <w:rPr>
                <w:color w:val="000000"/>
                <w:sz w:val="26"/>
                <w:szCs w:val="26"/>
              </w:rPr>
            </w:pPr>
            <w:r w:rsidRPr="00CB26B2">
              <w:rPr>
                <w:sz w:val="26"/>
                <w:szCs w:val="26"/>
              </w:rPr>
              <w:t>Đinh nội tủy điều trị gãy liên mấu chuyển loại ngắn</w:t>
            </w:r>
          </w:p>
        </w:tc>
        <w:tc>
          <w:tcPr>
            <w:tcW w:w="4147" w:type="dxa"/>
            <w:tcBorders>
              <w:top w:val="nil"/>
              <w:left w:val="nil"/>
              <w:bottom w:val="single" w:sz="4" w:space="0" w:color="auto"/>
              <w:right w:val="single" w:sz="4" w:space="0" w:color="auto"/>
            </w:tcBorders>
            <w:shd w:val="clear" w:color="auto" w:fill="auto"/>
            <w:vAlign w:val="center"/>
          </w:tcPr>
          <w:p w14:paraId="75C0F022" w14:textId="77777777" w:rsidR="00CB26B2" w:rsidRPr="00CB26B2" w:rsidRDefault="00CB26B2" w:rsidP="00F10184">
            <w:pPr>
              <w:rPr>
                <w:color w:val="000000"/>
                <w:sz w:val="26"/>
                <w:szCs w:val="26"/>
              </w:rPr>
            </w:pPr>
            <w:r w:rsidRPr="00CB26B2">
              <w:rPr>
                <w:sz w:val="26"/>
                <w:szCs w:val="26"/>
              </w:rPr>
              <w:t>Bộ đinh đầu trên xương đùi rỗng (Đinh Gamma), bao gồm:</w:t>
            </w:r>
            <w:r w:rsidRPr="00CB26B2">
              <w:rPr>
                <w:sz w:val="26"/>
                <w:szCs w:val="26"/>
              </w:rPr>
              <w:br/>
              <w:t>Chất liệu đinh và vít, nắp đinh đều bằng hợp kim Titanium (Ti6Al4V ELI).</w:t>
            </w:r>
            <w:r w:rsidRPr="00CB26B2">
              <w:rPr>
                <w:sz w:val="26"/>
                <w:szCs w:val="26"/>
              </w:rPr>
              <w:br/>
              <w:t>1. Đinh đầu trên xương đùi rỗng:</w:t>
            </w:r>
            <w:r w:rsidRPr="00CB26B2">
              <w:rPr>
                <w:sz w:val="26"/>
                <w:szCs w:val="26"/>
              </w:rPr>
              <w:br/>
              <w:t>- Thiết kế theo giải phẫu, có góc giữa-bên 5 độ</w:t>
            </w:r>
            <w:r w:rsidRPr="00CB26B2">
              <w:rPr>
                <w:sz w:val="26"/>
                <w:szCs w:val="26"/>
              </w:rPr>
              <w:br/>
              <w:t>- Có 4 đường kính  9.0mm- 12mm, có chiều dài 170mm/ 200mm/ 240mm, sử dụng tay khung định vị ba chiều.</w:t>
            </w:r>
            <w:r w:rsidRPr="00CB26B2">
              <w:rPr>
                <w:sz w:val="26"/>
                <w:szCs w:val="26"/>
              </w:rPr>
              <w:br/>
              <w:t>2. Vít tương ứng với đinh đầu trên xương đùi rỗng</w:t>
            </w:r>
            <w:r w:rsidRPr="00CB26B2">
              <w:rPr>
                <w:sz w:val="26"/>
                <w:szCs w:val="26"/>
              </w:rPr>
              <w:br/>
              <w:t>- Vít nén ép thiết kế hấp thụ lực cao, có rãnh đối xứng chỉ trượt theo hướng bên. Thiết kế vít xốp, dễ nén ép, tốt hơn cho liền xương, có đường kính 10.5mm, chiều dài ≥70mm đến 120mm (bước tăng 5mm).</w:t>
            </w:r>
            <w:r w:rsidRPr="00CB26B2">
              <w:rPr>
                <w:sz w:val="26"/>
                <w:szCs w:val="26"/>
              </w:rPr>
              <w:br/>
              <w:t>- Vít chốt nằm trong lòng đinh gamma để cố định vít nén ép</w:t>
            </w:r>
            <w:r w:rsidRPr="00CB26B2">
              <w:rPr>
                <w:sz w:val="26"/>
                <w:szCs w:val="26"/>
              </w:rPr>
              <w:br/>
              <w:t>- Vít khóa đinh đầu xa, đường kính 5.0mm, chiều dài ≥ 26 đến 80mm (bước tăng 2mm).</w:t>
            </w:r>
            <w:r w:rsidRPr="00CB26B2">
              <w:rPr>
                <w:sz w:val="26"/>
                <w:szCs w:val="26"/>
              </w:rPr>
              <w:br/>
              <w:t>3.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05C9475C" w14:textId="77777777" w:rsidR="00CB26B2" w:rsidRPr="00CB26B2" w:rsidRDefault="00CB26B2" w:rsidP="00F10184">
            <w:pPr>
              <w:jc w:val="center"/>
              <w:rPr>
                <w:color w:val="000000"/>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15C34368" w14:textId="77777777" w:rsidR="00CB26B2" w:rsidRPr="00CB26B2" w:rsidRDefault="00CB26B2" w:rsidP="00F10184">
            <w:pPr>
              <w:jc w:val="center"/>
              <w:rPr>
                <w:color w:val="000000"/>
                <w:sz w:val="26"/>
                <w:szCs w:val="26"/>
              </w:rPr>
            </w:pPr>
            <w:r w:rsidRPr="00CB26B2">
              <w:rPr>
                <w:sz w:val="26"/>
                <w:szCs w:val="26"/>
              </w:rPr>
              <w:t>20</w:t>
            </w:r>
          </w:p>
        </w:tc>
      </w:tr>
      <w:tr w:rsidR="00CB26B2" w:rsidRPr="00CB26B2" w14:paraId="1E195D42"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6255FD05" w14:textId="77777777" w:rsidR="00CB26B2" w:rsidRPr="00CB26B2" w:rsidRDefault="00CB26B2" w:rsidP="00F10184">
            <w:pPr>
              <w:jc w:val="center"/>
              <w:rPr>
                <w:color w:val="000000"/>
                <w:sz w:val="26"/>
                <w:szCs w:val="26"/>
              </w:rPr>
            </w:pPr>
            <w:r w:rsidRPr="00CB26B2">
              <w:rPr>
                <w:sz w:val="26"/>
                <w:szCs w:val="26"/>
              </w:rPr>
              <w:lastRenderedPageBreak/>
              <w:t>1.6</w:t>
            </w:r>
          </w:p>
        </w:tc>
        <w:tc>
          <w:tcPr>
            <w:tcW w:w="1964" w:type="dxa"/>
            <w:tcBorders>
              <w:top w:val="nil"/>
              <w:left w:val="single" w:sz="4" w:space="0" w:color="auto"/>
              <w:bottom w:val="single" w:sz="4" w:space="0" w:color="auto"/>
              <w:right w:val="single" w:sz="4" w:space="0" w:color="auto"/>
            </w:tcBorders>
            <w:shd w:val="clear" w:color="auto" w:fill="auto"/>
            <w:vAlign w:val="center"/>
          </w:tcPr>
          <w:p w14:paraId="17D88701" w14:textId="77777777" w:rsidR="00CB26B2" w:rsidRPr="00CB26B2" w:rsidRDefault="00CB26B2" w:rsidP="00F10184">
            <w:pPr>
              <w:rPr>
                <w:color w:val="000000"/>
                <w:sz w:val="26"/>
                <w:szCs w:val="26"/>
              </w:rPr>
            </w:pPr>
            <w:r w:rsidRPr="00CB26B2">
              <w:rPr>
                <w:sz w:val="26"/>
                <w:szCs w:val="26"/>
              </w:rPr>
              <w:t>Đinh nội tủy điều trị gãy liên mấu chuyển loại dài</w:t>
            </w:r>
          </w:p>
        </w:tc>
        <w:tc>
          <w:tcPr>
            <w:tcW w:w="4147" w:type="dxa"/>
            <w:tcBorders>
              <w:top w:val="nil"/>
              <w:left w:val="nil"/>
              <w:bottom w:val="single" w:sz="4" w:space="0" w:color="auto"/>
              <w:right w:val="single" w:sz="4" w:space="0" w:color="auto"/>
            </w:tcBorders>
            <w:shd w:val="clear" w:color="auto" w:fill="auto"/>
            <w:vAlign w:val="center"/>
          </w:tcPr>
          <w:p w14:paraId="68BFF133" w14:textId="77777777" w:rsidR="00CB26B2" w:rsidRPr="00CB26B2" w:rsidRDefault="00CB26B2" w:rsidP="00F10184">
            <w:pPr>
              <w:rPr>
                <w:sz w:val="26"/>
                <w:szCs w:val="26"/>
              </w:rPr>
            </w:pPr>
            <w:r w:rsidRPr="00CB26B2">
              <w:rPr>
                <w:sz w:val="26"/>
                <w:szCs w:val="26"/>
              </w:rPr>
              <w:t>Bộ đinh đầu trên xương đùi rỗng (Đinh Gamma), bao gồm:</w:t>
            </w:r>
            <w:r w:rsidRPr="00CB26B2">
              <w:rPr>
                <w:sz w:val="26"/>
                <w:szCs w:val="26"/>
              </w:rPr>
              <w:br/>
              <w:t>Chất liệu đinh và vít, nắp đinh đều bằng hợp kim Titanium ELI (Ti6Al4V ELI).</w:t>
            </w:r>
            <w:r w:rsidRPr="00CB26B2">
              <w:rPr>
                <w:sz w:val="26"/>
                <w:szCs w:val="26"/>
              </w:rPr>
              <w:br/>
              <w:t>1. Đinh đầu trên xương đùi rỗng,</w:t>
            </w:r>
            <w:r w:rsidRPr="00CB26B2">
              <w:rPr>
                <w:sz w:val="26"/>
                <w:szCs w:val="26"/>
              </w:rPr>
              <w:br/>
              <w:t>- Thiết kế theo giải phẫu, có góc giữa-bên 5 độ</w:t>
            </w:r>
            <w:r w:rsidRPr="00CB26B2">
              <w:rPr>
                <w:sz w:val="26"/>
                <w:szCs w:val="26"/>
              </w:rPr>
              <w:br/>
              <w:t>- Có 4 đường kính  9.0mm- 12mm, có chiều dài ≥ 320 - 420mm (bước tăng 20mm), trái/ phải, sử dụng tay khung định vị ba chiều.</w:t>
            </w:r>
            <w:r w:rsidRPr="00CB26B2">
              <w:rPr>
                <w:sz w:val="26"/>
                <w:szCs w:val="26"/>
              </w:rPr>
              <w:br/>
              <w:t>2. Vít tương ứng với đinh đầu trên xương đùi rỗng</w:t>
            </w:r>
            <w:r w:rsidRPr="00CB26B2">
              <w:rPr>
                <w:sz w:val="26"/>
                <w:szCs w:val="26"/>
              </w:rPr>
              <w:br/>
              <w:t>- Vít nén ép thiết kế hấp thụ lực cao, có rãnh đối xứng chỉ trượt theo hướng bên. Thiết kế vít xốp, dễ nén ép, tốt hơn cho liền xương, có đường kính 10.5mm, chiều dài ≥70mm đến 120mm (bước tăng 5mm).</w:t>
            </w:r>
            <w:r w:rsidRPr="00CB26B2">
              <w:rPr>
                <w:sz w:val="26"/>
                <w:szCs w:val="26"/>
              </w:rPr>
              <w:br/>
              <w:t>- Vít chốt nằm trong lòng đinh gamma để cố định vít nén ép</w:t>
            </w:r>
            <w:r w:rsidRPr="00CB26B2">
              <w:rPr>
                <w:sz w:val="26"/>
                <w:szCs w:val="26"/>
              </w:rPr>
              <w:br/>
              <w:t>- Vít khóa đinh đầu xa, đường kính 5.0mm, chiều dài ≥ 26 đến 80mm (bước tăng 2mm).</w:t>
            </w:r>
            <w:r w:rsidRPr="00CB26B2">
              <w:rPr>
                <w:sz w:val="26"/>
                <w:szCs w:val="26"/>
              </w:rPr>
              <w:br/>
              <w:t>3. Nắp đinh, ngăn ngừa sự xâm nhập của mô mềm và giúp tháo đinh dễ dàng</w:t>
            </w:r>
            <w:r w:rsidRPr="00CB26B2">
              <w:rPr>
                <w:sz w:val="26"/>
                <w:szCs w:val="26"/>
              </w:rPr>
              <w:br/>
              <w:t>Tiêu chuẩn chất lượng: CE và ISO 13485</w:t>
            </w:r>
            <w:r w:rsidRPr="00CB26B2">
              <w:rPr>
                <w:sz w:val="26"/>
                <w:szCs w:val="26"/>
              </w:rPr>
              <w:br/>
              <w:t>Xuất xứ: Nhóm nước thuộc Liên minh Châu Âu</w:t>
            </w:r>
          </w:p>
        </w:tc>
        <w:tc>
          <w:tcPr>
            <w:tcW w:w="1235" w:type="dxa"/>
            <w:tcBorders>
              <w:top w:val="nil"/>
              <w:left w:val="nil"/>
              <w:bottom w:val="single" w:sz="4" w:space="0" w:color="auto"/>
              <w:right w:val="single" w:sz="4" w:space="0" w:color="auto"/>
            </w:tcBorders>
            <w:shd w:val="clear" w:color="auto" w:fill="auto"/>
            <w:vAlign w:val="center"/>
          </w:tcPr>
          <w:p w14:paraId="26952871" w14:textId="77777777" w:rsidR="00CB26B2" w:rsidRPr="00CB26B2" w:rsidRDefault="00CB26B2" w:rsidP="00F10184">
            <w:pPr>
              <w:jc w:val="center"/>
              <w:rPr>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433D34A4" w14:textId="77777777" w:rsidR="00CB26B2" w:rsidRPr="00CB26B2" w:rsidRDefault="00CB26B2" w:rsidP="00F10184">
            <w:pPr>
              <w:jc w:val="center"/>
              <w:rPr>
                <w:sz w:val="26"/>
                <w:szCs w:val="26"/>
              </w:rPr>
            </w:pPr>
            <w:r w:rsidRPr="00CB26B2">
              <w:rPr>
                <w:sz w:val="26"/>
                <w:szCs w:val="26"/>
              </w:rPr>
              <w:t>10</w:t>
            </w:r>
          </w:p>
        </w:tc>
      </w:tr>
      <w:tr w:rsidR="00CB26B2" w:rsidRPr="00CB26B2" w14:paraId="35D8841A"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E1B731C" w14:textId="77777777" w:rsidR="00CB26B2" w:rsidRPr="00CB26B2" w:rsidRDefault="00CB26B2" w:rsidP="00F10184">
            <w:pPr>
              <w:jc w:val="center"/>
              <w:rPr>
                <w:color w:val="000000"/>
                <w:sz w:val="26"/>
                <w:szCs w:val="26"/>
              </w:rPr>
            </w:pPr>
            <w:r w:rsidRPr="00CB26B2">
              <w:rPr>
                <w:sz w:val="26"/>
                <w:szCs w:val="26"/>
              </w:rPr>
              <w:t>2</w:t>
            </w:r>
          </w:p>
        </w:tc>
        <w:tc>
          <w:tcPr>
            <w:tcW w:w="1964" w:type="dxa"/>
            <w:tcBorders>
              <w:top w:val="nil"/>
              <w:left w:val="single" w:sz="4" w:space="0" w:color="auto"/>
              <w:bottom w:val="single" w:sz="4" w:space="0" w:color="auto"/>
              <w:right w:val="single" w:sz="4" w:space="0" w:color="auto"/>
            </w:tcBorders>
            <w:shd w:val="clear" w:color="auto" w:fill="auto"/>
            <w:vAlign w:val="center"/>
          </w:tcPr>
          <w:p w14:paraId="0E1BD39D" w14:textId="77777777" w:rsidR="00CB26B2" w:rsidRPr="00CB26B2" w:rsidRDefault="00CB26B2" w:rsidP="00F10184">
            <w:pPr>
              <w:rPr>
                <w:color w:val="000000"/>
                <w:sz w:val="26"/>
                <w:szCs w:val="26"/>
              </w:rPr>
            </w:pPr>
            <w:r w:rsidRPr="00CB26B2">
              <w:rPr>
                <w:b/>
                <w:bCs/>
                <w:sz w:val="26"/>
                <w:szCs w:val="26"/>
              </w:rPr>
              <w:t>Phần II: Hệ thống đinh nội tủy Titanium tiêu chuẩn</w:t>
            </w:r>
          </w:p>
        </w:tc>
        <w:tc>
          <w:tcPr>
            <w:tcW w:w="4147" w:type="dxa"/>
            <w:tcBorders>
              <w:top w:val="nil"/>
              <w:left w:val="nil"/>
              <w:bottom w:val="single" w:sz="4" w:space="0" w:color="auto"/>
              <w:right w:val="single" w:sz="4" w:space="0" w:color="auto"/>
            </w:tcBorders>
            <w:shd w:val="clear" w:color="auto" w:fill="auto"/>
            <w:vAlign w:val="center"/>
          </w:tcPr>
          <w:p w14:paraId="5C91EABA" w14:textId="77777777" w:rsidR="00CB26B2" w:rsidRPr="00CB26B2" w:rsidRDefault="00CB26B2" w:rsidP="00F10184">
            <w:pPr>
              <w:rPr>
                <w:color w:val="000000"/>
                <w:sz w:val="26"/>
                <w:szCs w:val="26"/>
              </w:rPr>
            </w:pPr>
            <w:r w:rsidRPr="00CB26B2">
              <w:rPr>
                <w:b/>
                <w:bCs/>
                <w:sz w:val="26"/>
                <w:szCs w:val="26"/>
              </w:rPr>
              <w:t> </w:t>
            </w:r>
          </w:p>
        </w:tc>
        <w:tc>
          <w:tcPr>
            <w:tcW w:w="1235" w:type="dxa"/>
            <w:tcBorders>
              <w:top w:val="nil"/>
              <w:left w:val="nil"/>
              <w:bottom w:val="single" w:sz="4" w:space="0" w:color="auto"/>
              <w:right w:val="single" w:sz="4" w:space="0" w:color="auto"/>
            </w:tcBorders>
            <w:shd w:val="clear" w:color="auto" w:fill="auto"/>
            <w:vAlign w:val="center"/>
          </w:tcPr>
          <w:p w14:paraId="64E6C05A" w14:textId="77777777" w:rsidR="00CB26B2" w:rsidRPr="00CB26B2" w:rsidRDefault="00CB26B2" w:rsidP="00F10184">
            <w:pPr>
              <w:jc w:val="center"/>
              <w:rPr>
                <w:sz w:val="26"/>
                <w:szCs w:val="26"/>
              </w:rPr>
            </w:pPr>
            <w:r w:rsidRPr="00CB26B2">
              <w:rPr>
                <w:b/>
                <w:bCs/>
                <w:sz w:val="26"/>
                <w:szCs w:val="26"/>
              </w:rPr>
              <w:t> </w:t>
            </w:r>
          </w:p>
        </w:tc>
        <w:tc>
          <w:tcPr>
            <w:tcW w:w="1061" w:type="dxa"/>
            <w:tcBorders>
              <w:top w:val="nil"/>
              <w:left w:val="nil"/>
              <w:bottom w:val="single" w:sz="4" w:space="0" w:color="auto"/>
              <w:right w:val="single" w:sz="4" w:space="0" w:color="auto"/>
            </w:tcBorders>
            <w:shd w:val="clear" w:color="auto" w:fill="auto"/>
            <w:noWrap/>
            <w:vAlign w:val="center"/>
          </w:tcPr>
          <w:p w14:paraId="036E3449" w14:textId="77777777" w:rsidR="00CB26B2" w:rsidRPr="00CB26B2" w:rsidRDefault="00CB26B2" w:rsidP="00F10184">
            <w:pPr>
              <w:jc w:val="center"/>
              <w:rPr>
                <w:sz w:val="26"/>
                <w:szCs w:val="26"/>
              </w:rPr>
            </w:pPr>
            <w:r w:rsidRPr="00CB26B2">
              <w:rPr>
                <w:sz w:val="26"/>
                <w:szCs w:val="26"/>
              </w:rPr>
              <w:t>15</w:t>
            </w:r>
          </w:p>
        </w:tc>
      </w:tr>
      <w:tr w:rsidR="00CB26B2" w:rsidRPr="00CB26B2" w14:paraId="37BE57FD"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E509A08" w14:textId="77777777" w:rsidR="00CB26B2" w:rsidRPr="00CB26B2" w:rsidRDefault="00CB26B2" w:rsidP="00F10184">
            <w:pPr>
              <w:jc w:val="center"/>
              <w:rPr>
                <w:color w:val="000000"/>
                <w:sz w:val="26"/>
                <w:szCs w:val="26"/>
              </w:rPr>
            </w:pPr>
            <w:r w:rsidRPr="00CB26B2">
              <w:rPr>
                <w:sz w:val="26"/>
                <w:szCs w:val="26"/>
              </w:rPr>
              <w:t>2.1</w:t>
            </w:r>
          </w:p>
        </w:tc>
        <w:tc>
          <w:tcPr>
            <w:tcW w:w="1964" w:type="dxa"/>
            <w:tcBorders>
              <w:top w:val="nil"/>
              <w:left w:val="single" w:sz="4" w:space="0" w:color="auto"/>
              <w:bottom w:val="single" w:sz="4" w:space="0" w:color="auto"/>
              <w:right w:val="single" w:sz="4" w:space="0" w:color="auto"/>
            </w:tcBorders>
            <w:shd w:val="clear" w:color="auto" w:fill="auto"/>
            <w:vAlign w:val="center"/>
          </w:tcPr>
          <w:p w14:paraId="053214C7" w14:textId="77777777" w:rsidR="00CB26B2" w:rsidRPr="00CB26B2" w:rsidRDefault="00CB26B2" w:rsidP="00F10184">
            <w:pPr>
              <w:rPr>
                <w:color w:val="000000"/>
                <w:sz w:val="26"/>
                <w:szCs w:val="26"/>
              </w:rPr>
            </w:pPr>
            <w:r w:rsidRPr="00CB26B2">
              <w:rPr>
                <w:sz w:val="26"/>
                <w:szCs w:val="26"/>
              </w:rPr>
              <w:t>Đinh nội tủy điều trị gãy thân xương đùi</w:t>
            </w:r>
          </w:p>
        </w:tc>
        <w:tc>
          <w:tcPr>
            <w:tcW w:w="4147" w:type="dxa"/>
            <w:tcBorders>
              <w:top w:val="nil"/>
              <w:left w:val="nil"/>
              <w:bottom w:val="single" w:sz="4" w:space="0" w:color="auto"/>
              <w:right w:val="single" w:sz="4" w:space="0" w:color="auto"/>
            </w:tcBorders>
            <w:shd w:val="clear" w:color="auto" w:fill="auto"/>
            <w:vAlign w:val="center"/>
          </w:tcPr>
          <w:p w14:paraId="6D53D109" w14:textId="77777777" w:rsidR="00CB26B2" w:rsidRPr="00CB26B2" w:rsidRDefault="00CB26B2" w:rsidP="00F10184">
            <w:pPr>
              <w:rPr>
                <w:sz w:val="26"/>
                <w:szCs w:val="26"/>
              </w:rPr>
            </w:pPr>
            <w:r w:rsidRPr="00CB26B2">
              <w:rPr>
                <w:sz w:val="26"/>
                <w:szCs w:val="26"/>
              </w:rPr>
              <w:t xml:space="preserve">Vật liệu hợp kim Titanium (Ti6Al4V ELI) hoặc tương đương, bề mặt được xử lý bằng công nghệ phun cát hoặc điện hóa tăng cường độ bền vật liệu. Thiết kế đinh rỗng nòng, bề mặt trơn láng, đầu thuôn nhọn tối ưu cho việc đưa đinh vào ống tủy. Đường kính dải từ 9.5mm đến 11mm, chiều dài từ </w:t>
            </w:r>
            <w:r w:rsidRPr="00CB26B2">
              <w:rPr>
                <w:sz w:val="26"/>
                <w:szCs w:val="26"/>
              </w:rPr>
              <w:lastRenderedPageBreak/>
              <w:t>320mm đến 440mm (bước tăng 20mm), có đầy đủ tùy chọn chân trái và chân phải, hỗ trợ sử dụng tay khung định vị mục tiêu. Hệ thống vít đi kèm bao gồm: vít nén đầu gần đường kính khoảng 6.5mm, chiều dài 65-115mm (bước tăng 5mm); vít khóa đầu xa đường kính khoảng 4.5mm, chiều dài 35-80mm (bước tăng 5mm). Nắp đỉnh bằng Titanium đồng bộ giúp cố định cấu trúc đinh và ngăn ngừa mô mềm xâm nhập.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43872FB2"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343D8905" w14:textId="77777777" w:rsidR="00CB26B2" w:rsidRPr="00CB26B2" w:rsidRDefault="00CB26B2" w:rsidP="00F10184">
            <w:pPr>
              <w:jc w:val="center"/>
              <w:rPr>
                <w:sz w:val="26"/>
                <w:szCs w:val="26"/>
              </w:rPr>
            </w:pPr>
            <w:r w:rsidRPr="00CB26B2">
              <w:rPr>
                <w:sz w:val="26"/>
                <w:szCs w:val="26"/>
              </w:rPr>
              <w:t>35</w:t>
            </w:r>
          </w:p>
        </w:tc>
      </w:tr>
      <w:tr w:rsidR="00CB26B2" w:rsidRPr="00CB26B2" w14:paraId="0D63F8E9"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1C425037" w14:textId="77777777" w:rsidR="00CB26B2" w:rsidRPr="00CB26B2" w:rsidRDefault="00CB26B2" w:rsidP="00F10184">
            <w:pPr>
              <w:jc w:val="center"/>
              <w:rPr>
                <w:sz w:val="26"/>
                <w:szCs w:val="26"/>
              </w:rPr>
            </w:pPr>
            <w:r w:rsidRPr="00CB26B2">
              <w:rPr>
                <w:sz w:val="26"/>
                <w:szCs w:val="26"/>
              </w:rPr>
              <w:t>2.2</w:t>
            </w:r>
          </w:p>
        </w:tc>
        <w:tc>
          <w:tcPr>
            <w:tcW w:w="1964" w:type="dxa"/>
            <w:tcBorders>
              <w:top w:val="nil"/>
              <w:left w:val="single" w:sz="4" w:space="0" w:color="auto"/>
              <w:bottom w:val="single" w:sz="4" w:space="0" w:color="auto"/>
              <w:right w:val="single" w:sz="4" w:space="0" w:color="auto"/>
            </w:tcBorders>
            <w:shd w:val="clear" w:color="auto" w:fill="auto"/>
            <w:vAlign w:val="center"/>
          </w:tcPr>
          <w:p w14:paraId="370C1683" w14:textId="77777777" w:rsidR="00CB26B2" w:rsidRPr="00CB26B2" w:rsidRDefault="00CB26B2" w:rsidP="00F10184">
            <w:pPr>
              <w:rPr>
                <w:b/>
                <w:bCs/>
                <w:sz w:val="26"/>
                <w:szCs w:val="26"/>
              </w:rPr>
            </w:pPr>
            <w:r w:rsidRPr="00CB26B2">
              <w:rPr>
                <w:sz w:val="26"/>
                <w:szCs w:val="26"/>
              </w:rPr>
              <w:t>Đinh nội tủy điều trị gãy thân xương chày</w:t>
            </w:r>
          </w:p>
        </w:tc>
        <w:tc>
          <w:tcPr>
            <w:tcW w:w="4147" w:type="dxa"/>
            <w:tcBorders>
              <w:top w:val="nil"/>
              <w:left w:val="nil"/>
              <w:bottom w:val="single" w:sz="4" w:space="0" w:color="auto"/>
              <w:right w:val="single" w:sz="4" w:space="0" w:color="auto"/>
            </w:tcBorders>
            <w:shd w:val="clear" w:color="auto" w:fill="auto"/>
            <w:vAlign w:val="center"/>
          </w:tcPr>
          <w:p w14:paraId="65C872D5" w14:textId="77777777" w:rsidR="00CB26B2" w:rsidRPr="00CB26B2" w:rsidRDefault="00CB26B2" w:rsidP="00F10184">
            <w:pPr>
              <w:rPr>
                <w:b/>
                <w:bCs/>
                <w:sz w:val="26"/>
                <w:szCs w:val="26"/>
              </w:rPr>
            </w:pPr>
            <w:r w:rsidRPr="00CB26B2">
              <w:rPr>
                <w:sz w:val="26"/>
                <w:szCs w:val="26"/>
              </w:rPr>
              <w:t>Vật liệu hợp kim Titanium (Ti6Al4V ELI) hoặc tương đương, bề mặt được xử lý công nghệ điện hóa (Anodizing) giúp tăng độ bền cơ học. Thiết kế đinh rỗng nòng hỗ trợ định vị đa hướng, tương thích khung định vị ba chiều. Đầu gần có thiết kế tạo góc nghiêng cố định khoảng 10 độ so với thân đinh phù hợp giải phẫu xương chày. Đường kính từ 8.2mm đến 11mm, chiều dài từ 240mm đến 360mm (bước tăng 20mm). Hệ thống vít đi kèm bao gồm: vít khóa đầu gần tạo khung định vị đường kính khoảng 4.8mm, chiều dài 25-90mm; vít khóa ngoại biên đầu xa đường kính khoảng 4.5mm, chiều dài 25-70mm. Nắp khóa bảo vệ đỉnh đinh đồng bộ kích thước từ 0mm đến 15mm.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55EA4E03" w14:textId="77777777" w:rsidR="00CB26B2" w:rsidRPr="00CB26B2" w:rsidRDefault="00CB26B2" w:rsidP="00F10184">
            <w:pPr>
              <w:jc w:val="center"/>
              <w:rPr>
                <w:b/>
                <w:bCs/>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18BFB3DE" w14:textId="77777777" w:rsidR="00CB26B2" w:rsidRPr="00CB26B2" w:rsidRDefault="00CB26B2" w:rsidP="00F10184">
            <w:pPr>
              <w:jc w:val="center"/>
              <w:rPr>
                <w:sz w:val="26"/>
                <w:szCs w:val="26"/>
              </w:rPr>
            </w:pPr>
            <w:r w:rsidRPr="00CB26B2">
              <w:rPr>
                <w:sz w:val="26"/>
                <w:szCs w:val="26"/>
              </w:rPr>
              <w:t>40</w:t>
            </w:r>
          </w:p>
        </w:tc>
      </w:tr>
      <w:tr w:rsidR="00CB26B2" w:rsidRPr="00CB26B2" w14:paraId="5DC6A58D"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4F50AB08" w14:textId="77777777" w:rsidR="00CB26B2" w:rsidRPr="00CB26B2" w:rsidRDefault="00CB26B2" w:rsidP="00F10184">
            <w:pPr>
              <w:jc w:val="center"/>
              <w:rPr>
                <w:sz w:val="26"/>
                <w:szCs w:val="26"/>
              </w:rPr>
            </w:pPr>
            <w:r w:rsidRPr="00CB26B2">
              <w:rPr>
                <w:sz w:val="26"/>
                <w:szCs w:val="26"/>
              </w:rPr>
              <w:t>2.3</w:t>
            </w:r>
          </w:p>
        </w:tc>
        <w:tc>
          <w:tcPr>
            <w:tcW w:w="1964" w:type="dxa"/>
            <w:tcBorders>
              <w:top w:val="nil"/>
              <w:left w:val="single" w:sz="4" w:space="0" w:color="auto"/>
              <w:bottom w:val="single" w:sz="4" w:space="0" w:color="auto"/>
              <w:right w:val="single" w:sz="4" w:space="0" w:color="auto"/>
            </w:tcBorders>
            <w:shd w:val="clear" w:color="auto" w:fill="auto"/>
            <w:vAlign w:val="center"/>
          </w:tcPr>
          <w:p w14:paraId="64BE2812" w14:textId="77777777" w:rsidR="00CB26B2" w:rsidRPr="00CB26B2" w:rsidRDefault="00CB26B2" w:rsidP="00F10184">
            <w:pPr>
              <w:rPr>
                <w:sz w:val="26"/>
                <w:szCs w:val="26"/>
              </w:rPr>
            </w:pPr>
            <w:r w:rsidRPr="00CB26B2">
              <w:rPr>
                <w:sz w:val="26"/>
                <w:szCs w:val="26"/>
              </w:rPr>
              <w:t>Đinh nội tủy đầu gần xương đùi chống xoay loại ngắn</w:t>
            </w:r>
          </w:p>
        </w:tc>
        <w:tc>
          <w:tcPr>
            <w:tcW w:w="4147" w:type="dxa"/>
            <w:tcBorders>
              <w:top w:val="nil"/>
              <w:left w:val="nil"/>
              <w:bottom w:val="single" w:sz="4" w:space="0" w:color="auto"/>
              <w:right w:val="single" w:sz="4" w:space="0" w:color="auto"/>
            </w:tcBorders>
            <w:shd w:val="clear" w:color="auto" w:fill="auto"/>
            <w:vAlign w:val="center"/>
          </w:tcPr>
          <w:p w14:paraId="6E143665" w14:textId="77777777" w:rsidR="00CB26B2" w:rsidRPr="00CB26B2" w:rsidRDefault="00CB26B2" w:rsidP="00F10184">
            <w:pPr>
              <w:rPr>
                <w:b/>
                <w:bCs/>
                <w:sz w:val="26"/>
                <w:szCs w:val="26"/>
              </w:rPr>
            </w:pPr>
            <w:r w:rsidRPr="00CB26B2">
              <w:rPr>
                <w:sz w:val="26"/>
                <w:szCs w:val="26"/>
              </w:rPr>
              <w:t xml:space="preserve">Vật liệu hợp kim Titanium (Ti6Al4V ELI) hoặc tương đương, bề mặt xử lý điện hóa bảo vệ vật liệu. Thiết kế đinh rỗng nòng loại ngắn, sử dụng lưỡi chốt xoắn ốc chống xoay chuyên dụng cho vùng đầu trên xương đùi. Độ lớn góc cổ - thân khoảng 130 độ, đường kính đinh từ 9.0mm đến 12mm, chiều dài từ 170mm đến 240mm (bước tăng 30/40mm). Hệ thống vít đi kèm bao gồm: lưỡi chốt xoắn ốc đầu gần đường </w:t>
            </w:r>
            <w:r w:rsidRPr="00CB26B2">
              <w:rPr>
                <w:sz w:val="26"/>
                <w:szCs w:val="26"/>
              </w:rPr>
              <w:lastRenderedPageBreak/>
              <w:t>kính khoảng 10.4mm, chiều dài 75-120mm (bước tăng 5mm); vít khóa ngang đầu xa thiết kế đầu lục giác tạo góc 90 độ với thân đinh, đường kính khoảng 4.9mm, chiều dài 26-100mm. Nắp đỉnh đồng bộ giúp cố định cấu trúc đầu gần.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1877A433"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40E2F465" w14:textId="77777777" w:rsidR="00CB26B2" w:rsidRPr="00CB26B2" w:rsidRDefault="00CB26B2" w:rsidP="00F10184">
            <w:pPr>
              <w:jc w:val="center"/>
              <w:rPr>
                <w:sz w:val="26"/>
                <w:szCs w:val="26"/>
              </w:rPr>
            </w:pPr>
            <w:r w:rsidRPr="00CB26B2">
              <w:rPr>
                <w:sz w:val="26"/>
                <w:szCs w:val="26"/>
              </w:rPr>
              <w:t>30</w:t>
            </w:r>
          </w:p>
        </w:tc>
      </w:tr>
      <w:tr w:rsidR="00CB26B2" w:rsidRPr="00CB26B2" w14:paraId="33BD7FF4"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28C9EA6A" w14:textId="77777777" w:rsidR="00CB26B2" w:rsidRPr="00CB26B2" w:rsidRDefault="00CB26B2" w:rsidP="00F10184">
            <w:pPr>
              <w:jc w:val="center"/>
              <w:rPr>
                <w:sz w:val="26"/>
                <w:szCs w:val="26"/>
              </w:rPr>
            </w:pPr>
            <w:r w:rsidRPr="00CB26B2">
              <w:rPr>
                <w:sz w:val="26"/>
                <w:szCs w:val="26"/>
              </w:rPr>
              <w:t>2.4</w:t>
            </w:r>
          </w:p>
        </w:tc>
        <w:tc>
          <w:tcPr>
            <w:tcW w:w="1964" w:type="dxa"/>
            <w:tcBorders>
              <w:top w:val="nil"/>
              <w:left w:val="single" w:sz="4" w:space="0" w:color="auto"/>
              <w:bottom w:val="single" w:sz="4" w:space="0" w:color="auto"/>
              <w:right w:val="single" w:sz="4" w:space="0" w:color="auto"/>
            </w:tcBorders>
            <w:shd w:val="clear" w:color="auto" w:fill="auto"/>
            <w:vAlign w:val="center"/>
          </w:tcPr>
          <w:p w14:paraId="6532B654" w14:textId="77777777" w:rsidR="00CB26B2" w:rsidRPr="00CB26B2" w:rsidRDefault="00CB26B2" w:rsidP="00F10184">
            <w:pPr>
              <w:rPr>
                <w:b/>
                <w:bCs/>
                <w:sz w:val="26"/>
                <w:szCs w:val="26"/>
              </w:rPr>
            </w:pPr>
            <w:r w:rsidRPr="00CB26B2">
              <w:rPr>
                <w:sz w:val="26"/>
                <w:szCs w:val="26"/>
              </w:rPr>
              <w:t>Đinh nội tủy đầu gần xương đùi chống xoay loại dài</w:t>
            </w:r>
          </w:p>
        </w:tc>
        <w:tc>
          <w:tcPr>
            <w:tcW w:w="4147" w:type="dxa"/>
            <w:tcBorders>
              <w:top w:val="nil"/>
              <w:left w:val="nil"/>
              <w:bottom w:val="single" w:sz="4" w:space="0" w:color="auto"/>
              <w:right w:val="single" w:sz="4" w:space="0" w:color="auto"/>
            </w:tcBorders>
            <w:shd w:val="clear" w:color="auto" w:fill="auto"/>
            <w:vAlign w:val="center"/>
          </w:tcPr>
          <w:p w14:paraId="65899BD7" w14:textId="77777777" w:rsidR="00CB26B2" w:rsidRPr="00CB26B2" w:rsidRDefault="00CB26B2" w:rsidP="00F10184">
            <w:pPr>
              <w:rPr>
                <w:b/>
                <w:bCs/>
                <w:sz w:val="26"/>
                <w:szCs w:val="26"/>
              </w:rPr>
            </w:pPr>
            <w:r w:rsidRPr="00CB26B2">
              <w:rPr>
                <w:sz w:val="26"/>
                <w:szCs w:val="26"/>
              </w:rPr>
              <w:t>Vật liệu hợp kim Titanium (Ti6Al4V ELI) hoặc tương đương, bề mặt xử lý điện hóa tăng cường độ bền mỏi. Thiết kế đinh rỗng nòng loại dài phù hợp giải phẫu thân xương đùi, sử dụng lưỡi chốt xoắn ốc chống xoay, có tùy chọn chân trái và chân phải. Độ lớn góc cổ - thân khoảng 130 độ, đường kính đinh 9.0mm đến 12mm, chiều dài từ 300mm đến 420mm (bước tăng 20mm). Hệ thống vít đi kèm bao gồm: lưỡi chốt xoắn ốc đầu gần đường kính khoảng 10.4mm, chiều dài 75-120mm; vít khóa ngang đầu xa thiết kế đầu lục giác, đường kính khoảng 4.9mm, chiều dài 26-100mm. Nắp khóa bảo vệ cổ đinh đồng bộ kích thước từ 0mm đến 15mm.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6B2C7373" w14:textId="77777777" w:rsidR="00CB26B2" w:rsidRPr="00CB26B2" w:rsidRDefault="00CB26B2" w:rsidP="00F10184">
            <w:pPr>
              <w:jc w:val="center"/>
              <w:rPr>
                <w:b/>
                <w:bCs/>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2355F5A5" w14:textId="77777777" w:rsidR="00CB26B2" w:rsidRPr="00CB26B2" w:rsidRDefault="00CB26B2" w:rsidP="00F10184">
            <w:pPr>
              <w:jc w:val="center"/>
              <w:rPr>
                <w:sz w:val="26"/>
                <w:szCs w:val="26"/>
              </w:rPr>
            </w:pPr>
            <w:r w:rsidRPr="00CB26B2">
              <w:rPr>
                <w:sz w:val="26"/>
                <w:szCs w:val="26"/>
              </w:rPr>
              <w:t>15</w:t>
            </w:r>
          </w:p>
        </w:tc>
      </w:tr>
      <w:tr w:rsidR="00CB26B2" w:rsidRPr="00CB26B2" w14:paraId="459864D6"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7E27249" w14:textId="77777777" w:rsidR="00CB26B2" w:rsidRPr="00CB26B2" w:rsidRDefault="00CB26B2" w:rsidP="00F10184">
            <w:pPr>
              <w:jc w:val="center"/>
              <w:rPr>
                <w:sz w:val="26"/>
                <w:szCs w:val="26"/>
              </w:rPr>
            </w:pPr>
            <w:r w:rsidRPr="00CB26B2">
              <w:rPr>
                <w:sz w:val="26"/>
                <w:szCs w:val="26"/>
              </w:rPr>
              <w:t>2.5</w:t>
            </w:r>
          </w:p>
        </w:tc>
        <w:tc>
          <w:tcPr>
            <w:tcW w:w="1964" w:type="dxa"/>
            <w:tcBorders>
              <w:top w:val="nil"/>
              <w:left w:val="single" w:sz="4" w:space="0" w:color="auto"/>
              <w:bottom w:val="single" w:sz="4" w:space="0" w:color="auto"/>
              <w:right w:val="single" w:sz="4" w:space="0" w:color="auto"/>
            </w:tcBorders>
            <w:shd w:val="clear" w:color="auto" w:fill="auto"/>
            <w:vAlign w:val="center"/>
          </w:tcPr>
          <w:p w14:paraId="1547084E" w14:textId="77777777" w:rsidR="00CB26B2" w:rsidRPr="00CB26B2" w:rsidRDefault="00CB26B2" w:rsidP="00F10184">
            <w:pPr>
              <w:rPr>
                <w:sz w:val="26"/>
                <w:szCs w:val="26"/>
              </w:rPr>
            </w:pPr>
            <w:r w:rsidRPr="00CB26B2">
              <w:rPr>
                <w:sz w:val="26"/>
                <w:szCs w:val="26"/>
              </w:rPr>
              <w:t>Đinh nội tủy điều trị gãy liên mấu chuyển loại ngắn</w:t>
            </w:r>
          </w:p>
        </w:tc>
        <w:tc>
          <w:tcPr>
            <w:tcW w:w="4147" w:type="dxa"/>
            <w:tcBorders>
              <w:top w:val="nil"/>
              <w:left w:val="nil"/>
              <w:bottom w:val="single" w:sz="4" w:space="0" w:color="auto"/>
              <w:right w:val="single" w:sz="4" w:space="0" w:color="auto"/>
            </w:tcBorders>
            <w:shd w:val="clear" w:color="auto" w:fill="auto"/>
            <w:vAlign w:val="center"/>
          </w:tcPr>
          <w:p w14:paraId="61164B23" w14:textId="77777777" w:rsidR="00CB26B2" w:rsidRPr="00CB26B2" w:rsidRDefault="00CB26B2" w:rsidP="00F10184">
            <w:pPr>
              <w:rPr>
                <w:b/>
                <w:bCs/>
                <w:sz w:val="26"/>
                <w:szCs w:val="26"/>
              </w:rPr>
            </w:pPr>
            <w:r w:rsidRPr="00CB26B2">
              <w:rPr>
                <w:sz w:val="26"/>
                <w:szCs w:val="26"/>
              </w:rPr>
              <w:t xml:space="preserve">Vật liệu hợp kim Titanium (Ti6Al4V ELI) hoặc tương đương, bề mặt được xử lý điện hóa chuyên dụng. Thiết kế theo giải phẫu đầu trên xương đùi, góc lệch giữa - bên khoảng 5 độ hỗ trợ đóng đinh tại mấu chuyển lớn. Hệ thống vít đi kèm bao gồm: vít cổ xương đùi nén ép thiết kế hấp thụ lực cao, có rãnh đối xứng chỉ cho phép trượt theo hướng bên, đường kính khoảng 10.5mm, chiều dài 70-120mm; vít chốt cố định vít nén nằm trong lòng đinh; vít khóa đầu xa đường kính khoảng 5.0mm, chiều dài 26-80mm. Kích thước đinh ngắn chiều dài 170-240mm, đường kính 9.0mm đến 12mm. Nắp đỉnh Titanium </w:t>
            </w:r>
            <w:r w:rsidRPr="00CB26B2">
              <w:rPr>
                <w:sz w:val="26"/>
                <w:szCs w:val="26"/>
              </w:rPr>
              <w:lastRenderedPageBreak/>
              <w:t>đồng bộ hỗ trợ bảo vệ mô mềm và tháo đinh dễ dàng.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2F4D5D66" w14:textId="77777777" w:rsidR="00CB26B2" w:rsidRPr="00CB26B2" w:rsidRDefault="00CB26B2" w:rsidP="00F10184">
            <w:pPr>
              <w:jc w:val="center"/>
              <w:rPr>
                <w:sz w:val="26"/>
                <w:szCs w:val="26"/>
              </w:rPr>
            </w:pPr>
            <w:r w:rsidRPr="00CB26B2">
              <w:rPr>
                <w:sz w:val="26"/>
                <w:szCs w:val="26"/>
              </w:rPr>
              <w:lastRenderedPageBreak/>
              <w:t>Bộ</w:t>
            </w:r>
          </w:p>
        </w:tc>
        <w:tc>
          <w:tcPr>
            <w:tcW w:w="1061" w:type="dxa"/>
            <w:tcBorders>
              <w:top w:val="nil"/>
              <w:left w:val="nil"/>
              <w:bottom w:val="single" w:sz="4" w:space="0" w:color="auto"/>
              <w:right w:val="single" w:sz="4" w:space="0" w:color="auto"/>
            </w:tcBorders>
            <w:shd w:val="clear" w:color="auto" w:fill="auto"/>
            <w:noWrap/>
            <w:vAlign w:val="center"/>
          </w:tcPr>
          <w:p w14:paraId="4604EA2C" w14:textId="77777777" w:rsidR="00CB26B2" w:rsidRPr="00CB26B2" w:rsidRDefault="00CB26B2" w:rsidP="00F10184">
            <w:pPr>
              <w:jc w:val="center"/>
              <w:rPr>
                <w:sz w:val="26"/>
                <w:szCs w:val="26"/>
              </w:rPr>
            </w:pPr>
            <w:r w:rsidRPr="00CB26B2">
              <w:rPr>
                <w:sz w:val="26"/>
                <w:szCs w:val="26"/>
              </w:rPr>
              <w:t>20</w:t>
            </w:r>
          </w:p>
        </w:tc>
      </w:tr>
      <w:tr w:rsidR="00CB26B2" w:rsidRPr="00CB26B2" w14:paraId="3CABA565" w14:textId="77777777" w:rsidTr="00F10184">
        <w:trPr>
          <w:trHeight w:val="1050"/>
        </w:trPr>
        <w:tc>
          <w:tcPr>
            <w:tcW w:w="708" w:type="dxa"/>
            <w:tcBorders>
              <w:top w:val="nil"/>
              <w:left w:val="single" w:sz="4" w:space="0" w:color="auto"/>
              <w:bottom w:val="single" w:sz="4" w:space="0" w:color="auto"/>
              <w:right w:val="single" w:sz="4" w:space="0" w:color="auto"/>
            </w:tcBorders>
            <w:shd w:val="clear" w:color="auto" w:fill="auto"/>
            <w:vAlign w:val="center"/>
          </w:tcPr>
          <w:p w14:paraId="02615132" w14:textId="77777777" w:rsidR="00CB26B2" w:rsidRPr="00CB26B2" w:rsidRDefault="00CB26B2" w:rsidP="00F10184">
            <w:pPr>
              <w:jc w:val="center"/>
              <w:rPr>
                <w:sz w:val="26"/>
                <w:szCs w:val="26"/>
              </w:rPr>
            </w:pPr>
            <w:r w:rsidRPr="00CB26B2">
              <w:rPr>
                <w:sz w:val="26"/>
                <w:szCs w:val="26"/>
              </w:rPr>
              <w:t>2.6</w:t>
            </w:r>
          </w:p>
        </w:tc>
        <w:tc>
          <w:tcPr>
            <w:tcW w:w="1964" w:type="dxa"/>
            <w:tcBorders>
              <w:top w:val="nil"/>
              <w:left w:val="single" w:sz="4" w:space="0" w:color="auto"/>
              <w:bottom w:val="single" w:sz="4" w:space="0" w:color="auto"/>
              <w:right w:val="single" w:sz="4" w:space="0" w:color="auto"/>
            </w:tcBorders>
            <w:shd w:val="clear" w:color="auto" w:fill="auto"/>
            <w:vAlign w:val="center"/>
          </w:tcPr>
          <w:p w14:paraId="6A748A68" w14:textId="77777777" w:rsidR="00CB26B2" w:rsidRPr="00CB26B2" w:rsidRDefault="00CB26B2" w:rsidP="00F10184">
            <w:pPr>
              <w:rPr>
                <w:b/>
                <w:bCs/>
                <w:sz w:val="26"/>
                <w:szCs w:val="26"/>
              </w:rPr>
            </w:pPr>
            <w:r w:rsidRPr="00CB26B2">
              <w:rPr>
                <w:sz w:val="26"/>
                <w:szCs w:val="26"/>
              </w:rPr>
              <w:t>Đinh nội tủy điều trị gãy liên mấu chuyển loại dài</w:t>
            </w:r>
          </w:p>
        </w:tc>
        <w:tc>
          <w:tcPr>
            <w:tcW w:w="4147" w:type="dxa"/>
            <w:tcBorders>
              <w:top w:val="nil"/>
              <w:left w:val="nil"/>
              <w:bottom w:val="single" w:sz="4" w:space="0" w:color="auto"/>
              <w:right w:val="single" w:sz="4" w:space="0" w:color="auto"/>
            </w:tcBorders>
            <w:shd w:val="clear" w:color="auto" w:fill="auto"/>
            <w:vAlign w:val="center"/>
          </w:tcPr>
          <w:p w14:paraId="13EEAE2C" w14:textId="77777777" w:rsidR="00CB26B2" w:rsidRPr="00CB26B2" w:rsidRDefault="00CB26B2" w:rsidP="00F10184">
            <w:pPr>
              <w:rPr>
                <w:b/>
                <w:bCs/>
                <w:sz w:val="26"/>
                <w:szCs w:val="26"/>
              </w:rPr>
            </w:pPr>
            <w:r w:rsidRPr="00CB26B2">
              <w:rPr>
                <w:sz w:val="26"/>
                <w:szCs w:val="26"/>
              </w:rPr>
              <w:t>Vật liệu hợp kim Titanium (Ti6Al4V ELI) hoặc tương đương, bề mặt xử lý công nghệ điện hóa bảo vệ. Thiết kế dòng đinh dài phù hợp cho các ca gãy phức tạp kéo dài xuống thân xương đùi, có tùy chọn chân trái và phải. Cơ chế vít nén ép trượt với thiết kế vít xốp hỗ trợ tối ưu cho quá trình liền xương mặt gãy. Hệ thống vít đi kèm bao gồm: vít nén ép đầu gần đường kính khoảng 10.5mm, chiều dài đến 120mm; vít chốt khóa trong lòng đinh cố định vít nén; vít khóa đầu xa đa dạng kích thước đường kính khoảng 5.0mm. Đường kính đinh 9.0mm đến 12mm, chiều dài dải từ 320mm đến 420mm (bước tăng 20mm). Nắp đỉnh Titanium đồng bộ tạo cấu trúc góc cố định. Tiêu chuẩn chất lượng đạt CE và ISO 13485.</w:t>
            </w:r>
          </w:p>
        </w:tc>
        <w:tc>
          <w:tcPr>
            <w:tcW w:w="1235" w:type="dxa"/>
            <w:tcBorders>
              <w:top w:val="nil"/>
              <w:left w:val="nil"/>
              <w:bottom w:val="single" w:sz="4" w:space="0" w:color="auto"/>
              <w:right w:val="single" w:sz="4" w:space="0" w:color="auto"/>
            </w:tcBorders>
            <w:shd w:val="clear" w:color="auto" w:fill="auto"/>
            <w:vAlign w:val="center"/>
          </w:tcPr>
          <w:p w14:paraId="469C982A" w14:textId="77777777" w:rsidR="00CB26B2" w:rsidRPr="00CB26B2" w:rsidRDefault="00CB26B2" w:rsidP="00F10184">
            <w:pPr>
              <w:jc w:val="center"/>
              <w:rPr>
                <w:b/>
                <w:bCs/>
                <w:sz w:val="26"/>
                <w:szCs w:val="26"/>
              </w:rPr>
            </w:pPr>
            <w:r w:rsidRPr="00CB26B2">
              <w:rPr>
                <w:sz w:val="26"/>
                <w:szCs w:val="26"/>
              </w:rPr>
              <w:t>Bộ</w:t>
            </w:r>
          </w:p>
        </w:tc>
        <w:tc>
          <w:tcPr>
            <w:tcW w:w="1061" w:type="dxa"/>
            <w:tcBorders>
              <w:top w:val="nil"/>
              <w:left w:val="nil"/>
              <w:bottom w:val="single" w:sz="4" w:space="0" w:color="auto"/>
              <w:right w:val="single" w:sz="4" w:space="0" w:color="auto"/>
            </w:tcBorders>
            <w:shd w:val="clear" w:color="auto" w:fill="auto"/>
            <w:noWrap/>
            <w:vAlign w:val="center"/>
          </w:tcPr>
          <w:p w14:paraId="0086565C" w14:textId="77777777" w:rsidR="00CB26B2" w:rsidRPr="00CB26B2" w:rsidRDefault="00CB26B2" w:rsidP="00F10184">
            <w:pPr>
              <w:jc w:val="center"/>
              <w:rPr>
                <w:sz w:val="26"/>
                <w:szCs w:val="26"/>
              </w:rPr>
            </w:pPr>
            <w:r w:rsidRPr="00CB26B2">
              <w:rPr>
                <w:sz w:val="26"/>
                <w:szCs w:val="26"/>
              </w:rPr>
              <w:t>10</w:t>
            </w:r>
          </w:p>
        </w:tc>
      </w:tr>
    </w:tbl>
    <w:p w14:paraId="1FF4E059" w14:textId="77777777" w:rsidR="00CB26B2" w:rsidRPr="00CB26B2" w:rsidRDefault="00CB26B2" w:rsidP="00CB26B2">
      <w:pPr>
        <w:widowControl w:val="0"/>
        <w:spacing w:before="120" w:after="120" w:line="264" w:lineRule="auto"/>
        <w:ind w:firstLine="567"/>
        <w:rPr>
          <w:b/>
          <w:i/>
          <w:sz w:val="26"/>
          <w:szCs w:val="26"/>
          <w:lang w:val="nl-NL"/>
        </w:rPr>
      </w:pPr>
      <w:r w:rsidRPr="00CB26B2">
        <w:rPr>
          <w:b/>
          <w:i/>
          <w:sz w:val="26"/>
          <w:szCs w:val="26"/>
          <w:lang w:val="nl-NL"/>
        </w:rPr>
        <w:t xml:space="preserve"> Ghi chú:</w:t>
      </w:r>
    </w:p>
    <w:p w14:paraId="104F6E4F" w14:textId="77777777" w:rsidR="00CB26B2" w:rsidRPr="00CB26B2" w:rsidRDefault="00CB26B2" w:rsidP="00CB26B2">
      <w:pPr>
        <w:spacing w:before="120" w:after="120" w:line="264" w:lineRule="auto"/>
        <w:ind w:left="284"/>
        <w:rPr>
          <w:rStyle w:val="fontstyle01"/>
          <w:rFonts w:ascii="Times New Roman" w:hAnsi="Times New Roman"/>
          <w:lang w:val="nl-NL"/>
        </w:rPr>
      </w:pPr>
      <w:r w:rsidRPr="00CB26B2">
        <w:rPr>
          <w:rStyle w:val="fontstyle01"/>
          <w:rFonts w:ascii="Times New Roman" w:hAnsi="Times New Roman"/>
          <w:lang w:val="nl-NL"/>
        </w:rPr>
        <w:t>- Nhà thầu có thể chào các hàng hóa “tương đương” có mức độ đáp ứng bằng hoặc cao hơn so với yêu cầu trong E-HSMT.</w:t>
      </w:r>
    </w:p>
    <w:p w14:paraId="5247741C"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lang w:val="nl-NL"/>
        </w:rPr>
        <w:t>- “Tương đương” có nghĩa là có đặc tính kỹ thuật tương tự, có tính năng hoặc công năng sử dụng là tương đương với các hàng hóa nêu trên.</w:t>
      </w:r>
    </w:p>
    <w:p w14:paraId="1A3E44D8"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lang w:val="nl-NL"/>
        </w:rPr>
        <w:t>- Nhãn hiệu, tên nhà sản xuất hàng hóa nêu trong E-HSMT (nếu có) chỉ mang tính tham khảo, minh họa cho yêu cầu về kỹ thuật của hàng hóa, không phải tiêu chuẩn đánh giá, nhà thầu có thể chào hàng hóa của hãng khác có thông số kỹ thuật tương đương hoặc tốt hơn các hàng hóa nêu trên về đặc tính kỹ thuật.</w:t>
      </w:r>
    </w:p>
    <w:p w14:paraId="61E3D0CF"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lang w:val="nl-NL"/>
        </w:rPr>
        <w:t>-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Nhà thầu có thể chào thầu những hàng hóa có thông số kỹ thuật tương đương kèm văn bản giải trình và cung cấp tài liệu để chứng minh thông số kỹ thuật nhà thầu chào là tương đương hoặc tốt hơn. Trường hợp nhà thầu không có văn bản giải trình, cung cấp tài liệu chứng minh thì chủ đầu tư sẽ đánh giá theo đúng tài liệu kỹ thuật trong E-HSDT của nhà thầu đã chào.</w:t>
      </w:r>
    </w:p>
    <w:p w14:paraId="7BCE73D5"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lang w:val="nl-NL"/>
        </w:rPr>
        <w:lastRenderedPageBreak/>
        <w:t>- Nhà thầu phải cung cấp đầy đủ các tài liệu liên quan (cung cấp cataloge hoặc tài liệu tương đương khác) để chứng minh sự phù hợp của hàng hóa so với yêu cầu của E-HSMT. Đối với tài liệu chứng minh sự đáp ứng của hàng hóa dự thầu so với yêu cầu của E-HSMT không được viết bằng tiếng Việt,</w:t>
      </w:r>
      <w:r w:rsidRPr="00CB26B2">
        <w:rPr>
          <w:rStyle w:val="Heading1Char"/>
          <w:rFonts w:ascii="Times New Roman" w:hAnsi="Times New Roman" w:cs="Times New Roman"/>
          <w:sz w:val="26"/>
          <w:szCs w:val="26"/>
          <w:lang w:val="nl-NL"/>
        </w:rPr>
        <w:t xml:space="preserve"> </w:t>
      </w:r>
      <w:r w:rsidRPr="00CB26B2">
        <w:rPr>
          <w:rStyle w:val="fontstyle01"/>
          <w:rFonts w:ascii="Times New Roman" w:hAnsi="Times New Roman"/>
          <w:lang w:val="nl-NL"/>
        </w:rPr>
        <w:t>chủ đầu tư sẽ yêu cầu nhà thầu cung cấp bản dịch sang tiếng Việt (trong trường hợp cần thiết).</w:t>
      </w:r>
    </w:p>
    <w:p w14:paraId="3A3E9C07" w14:textId="77777777" w:rsidR="00CB26B2" w:rsidRPr="00CB26B2" w:rsidRDefault="00CB26B2" w:rsidP="00CB26B2">
      <w:pPr>
        <w:spacing w:before="120" w:after="120" w:line="264" w:lineRule="auto"/>
        <w:ind w:firstLine="709"/>
        <w:rPr>
          <w:b/>
          <w:i/>
          <w:sz w:val="26"/>
          <w:szCs w:val="26"/>
          <w:lang w:val="nl-NL"/>
        </w:rPr>
      </w:pPr>
      <w:r w:rsidRPr="00CB26B2">
        <w:rPr>
          <w:b/>
          <w:i/>
          <w:sz w:val="26"/>
          <w:szCs w:val="26"/>
          <w:lang w:val="nl-NL"/>
        </w:rPr>
        <w:t>1.3. Các yêu cầu khác</w:t>
      </w:r>
    </w:p>
    <w:p w14:paraId="0EF496E2"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rPr>
        <w:t xml:space="preserve"> </w:t>
      </w:r>
      <w:r w:rsidRPr="00CB26B2">
        <w:rPr>
          <w:rStyle w:val="fontstyle01"/>
          <w:rFonts w:ascii="Times New Roman" w:hAnsi="Times New Roman"/>
          <w:lang w:val="nl-NL"/>
        </w:rPr>
        <w:t>- Cam kết về thu hồi hàng hóa không đủ tiêu chuẩn chất lượng hoặc khi có quyết định của cơ quan có thẩm quyền</w:t>
      </w:r>
    </w:p>
    <w:p w14:paraId="584D0383" w14:textId="77777777" w:rsidR="00CB26B2" w:rsidRPr="00CB26B2" w:rsidRDefault="00CB26B2" w:rsidP="00CB26B2">
      <w:pPr>
        <w:widowControl w:val="0"/>
        <w:spacing w:before="120" w:after="120" w:line="264" w:lineRule="auto"/>
        <w:ind w:firstLine="567"/>
        <w:rPr>
          <w:rStyle w:val="fontstyle01"/>
          <w:rFonts w:ascii="Times New Roman" w:hAnsi="Times New Roman"/>
          <w:lang w:val="nl-NL"/>
        </w:rPr>
      </w:pPr>
      <w:r w:rsidRPr="00CB26B2">
        <w:rPr>
          <w:rStyle w:val="fontstyle01"/>
          <w:rFonts w:ascii="Times New Roman" w:hAnsi="Times New Roman"/>
          <w:lang w:val="nl-NL"/>
        </w:rPr>
        <w:t>- Số lượng cung cấp: Số lượng hàng hoá do Nhà thầu cung cấp theo yêu cầu từng đợt của bên mua.</w:t>
      </w:r>
    </w:p>
    <w:p w14:paraId="1D8CA743" w14:textId="77777777" w:rsidR="00CB26B2" w:rsidRPr="00CB26B2" w:rsidRDefault="00CB26B2" w:rsidP="00CB26B2">
      <w:pPr>
        <w:widowControl w:val="0"/>
        <w:spacing w:before="120" w:after="120" w:line="264" w:lineRule="auto"/>
        <w:ind w:firstLine="567"/>
        <w:rPr>
          <w:b/>
          <w:bCs/>
          <w:i/>
          <w:sz w:val="26"/>
          <w:szCs w:val="26"/>
          <w:lang w:val="nl-NL"/>
        </w:rPr>
      </w:pPr>
      <w:r w:rsidRPr="00CB26B2">
        <w:rPr>
          <w:b/>
          <w:bCs/>
          <w:i/>
          <w:sz w:val="26"/>
          <w:szCs w:val="26"/>
          <w:lang w:val="nl-NL"/>
        </w:rPr>
        <w:t xml:space="preserve">1.4. Hướng dẫn trình bày các file trong E-HSDT đăng tải trên </w:t>
      </w:r>
      <w:r w:rsidRPr="00CB26B2">
        <w:rPr>
          <w:b/>
          <w:bCs/>
          <w:i/>
          <w:color w:val="FF0000"/>
          <w:sz w:val="26"/>
          <w:szCs w:val="26"/>
          <w:lang w:val="nl-NL"/>
        </w:rPr>
        <w:t>Hệ thống</w:t>
      </w:r>
      <w:r w:rsidRPr="00CB26B2">
        <w:rPr>
          <w:b/>
          <w:bCs/>
          <w:i/>
          <w:sz w:val="26"/>
          <w:szCs w:val="26"/>
          <w:lang w:val="nl-NL"/>
        </w:rPr>
        <w:t>:</w:t>
      </w:r>
    </w:p>
    <w:p w14:paraId="37F973AE"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lang w:val="vi-VN"/>
        </w:rPr>
        <w:t>Các file dữ liệu của hàng hóa đính kèm E-HSDT phải được phân chia riêng biệt theo hướng dẫn như sau:</w:t>
      </w:r>
    </w:p>
    <w:p w14:paraId="77D7B8D8"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1. (Folder 1) Tính hợp lệ:</w:t>
      </w:r>
    </w:p>
    <w:p w14:paraId="29DB201F" w14:textId="77777777" w:rsidR="00CB26B2" w:rsidRPr="00CB26B2" w:rsidRDefault="00CB26B2" w:rsidP="00CB26B2">
      <w:pPr>
        <w:widowControl w:val="0"/>
        <w:numPr>
          <w:ilvl w:val="0"/>
          <w:numId w:val="1"/>
        </w:numPr>
        <w:spacing w:before="120" w:after="120" w:line="264" w:lineRule="auto"/>
        <w:ind w:left="426" w:firstLine="141"/>
        <w:rPr>
          <w:iCs/>
          <w:sz w:val="26"/>
          <w:szCs w:val="26"/>
        </w:rPr>
      </w:pPr>
      <w:bookmarkStart w:id="2" w:name="_Hlk187068960"/>
      <w:r w:rsidRPr="00CB26B2">
        <w:rPr>
          <w:iCs/>
          <w:sz w:val="26"/>
          <w:szCs w:val="26"/>
        </w:rPr>
        <w:t xml:space="preserve">(File 1) </w:t>
      </w:r>
      <w:bookmarkEnd w:id="2"/>
      <w:r w:rsidRPr="00CB26B2">
        <w:rPr>
          <w:iCs/>
          <w:sz w:val="26"/>
          <w:szCs w:val="26"/>
        </w:rPr>
        <w:t>Bảo đảm dự thầu + tài liệu chứng minh tư cách hợp lệ của người ký thư bảo lãnh.</w:t>
      </w:r>
    </w:p>
    <w:p w14:paraId="566BFD3B" w14:textId="77777777" w:rsidR="00CB26B2" w:rsidRPr="00CB26B2" w:rsidRDefault="00CB26B2" w:rsidP="00CB26B2">
      <w:pPr>
        <w:widowControl w:val="0"/>
        <w:numPr>
          <w:ilvl w:val="0"/>
          <w:numId w:val="1"/>
        </w:numPr>
        <w:spacing w:before="120" w:after="120" w:line="264" w:lineRule="auto"/>
        <w:ind w:left="426" w:firstLine="141"/>
        <w:rPr>
          <w:iCs/>
          <w:sz w:val="26"/>
          <w:szCs w:val="26"/>
        </w:rPr>
      </w:pPr>
      <w:bookmarkStart w:id="3" w:name="_Hlk187068971"/>
      <w:r w:rsidRPr="00CB26B2">
        <w:rPr>
          <w:iCs/>
          <w:sz w:val="26"/>
          <w:szCs w:val="26"/>
        </w:rPr>
        <w:t xml:space="preserve">(File 2) </w:t>
      </w:r>
      <w:bookmarkEnd w:id="3"/>
      <w:r w:rsidRPr="00CB26B2">
        <w:rPr>
          <w:iCs/>
          <w:sz w:val="26"/>
          <w:szCs w:val="26"/>
        </w:rPr>
        <w:t>Giấy chứng nhận đăng ký doanh nghiệp.</w:t>
      </w:r>
    </w:p>
    <w:p w14:paraId="07DEB494" w14:textId="77777777" w:rsidR="00CB26B2" w:rsidRPr="00CB26B2" w:rsidRDefault="00CB26B2" w:rsidP="00CB26B2">
      <w:pPr>
        <w:widowControl w:val="0"/>
        <w:spacing w:before="120" w:after="120" w:line="264" w:lineRule="auto"/>
        <w:ind w:firstLine="567"/>
        <w:rPr>
          <w:iCs/>
          <w:sz w:val="26"/>
          <w:szCs w:val="26"/>
          <w:lang w:val="nl-NL"/>
        </w:rPr>
      </w:pPr>
      <w:r w:rsidRPr="00CB26B2">
        <w:rPr>
          <w:iCs/>
          <w:sz w:val="26"/>
          <w:szCs w:val="26"/>
          <w:lang w:val="nl-NL"/>
        </w:rPr>
        <w:t>2. (Folder 2) Năng lực kinh nghiệm:</w:t>
      </w:r>
    </w:p>
    <w:p w14:paraId="05C233B6"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(Folder 2.1): Năng lực tài chính (tách từng file)</w:t>
      </w:r>
    </w:p>
    <w:p w14:paraId="06468B76"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(File 1) Tờ khai quyết toán thuế thu nhập doanh nghiệp và giấy nộp tiền vào ngân sách nhà nước hoặc Tờ khai quyết toán thuế thu nhập doanh nghiệp và xác nhận thực hiện nghĩa vụ thuế</w:t>
      </w:r>
    </w:p>
    <w:p w14:paraId="5B60E623"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(File 2) Báo cáo tài chính năm ___ (ví dụ: 2023)</w:t>
      </w:r>
    </w:p>
    <w:p w14:paraId="2F69B65D"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(File 3) Báo cáo tài chính năm ___ (ví dụ: 2024)</w:t>
      </w:r>
    </w:p>
    <w:p w14:paraId="0585EBF9"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(File 4) Báo cáo tài chính năm ___ (ví dụ: 2025)</w:t>
      </w:r>
    </w:p>
    <w:p w14:paraId="7DBA6F4B"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(Folder 2.2): Hợp đồng tương tự (tách từng file)</w:t>
      </w:r>
    </w:p>
    <w:p w14:paraId="744C8728"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Hợp đồng tương tự 1, bao gồm các file riêng:</w:t>
      </w:r>
    </w:p>
    <w:p w14:paraId="36E9ED90"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Hợp đồng;</w:t>
      </w:r>
    </w:p>
    <w:p w14:paraId="474B73AC"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Biên bản nghiệm thu;</w:t>
      </w:r>
    </w:p>
    <w:p w14:paraId="34A15677"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Biên bản thanh lý;</w:t>
      </w:r>
    </w:p>
    <w:p w14:paraId="2C7EE9ED"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Hóa đơn GTGT</w:t>
      </w:r>
    </w:p>
    <w:p w14:paraId="1BE0E2A5"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ab/>
        <w:t>+ Tờ khai hải quan (trong trường hợp chứng minh mã HS)</w:t>
      </w:r>
    </w:p>
    <w:p w14:paraId="1D639A9A"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Hợp đồng tương tự 2…</w:t>
      </w:r>
    </w:p>
    <w:p w14:paraId="112EC470"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xml:space="preserve">3. (Folder 3) Kỹ thuật: </w:t>
      </w:r>
    </w:p>
    <w:p w14:paraId="4A32C2E5"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(Folder 1): Tài liệu chung (theo yêu cầu Mục 3 Chương III):</w:t>
      </w:r>
    </w:p>
    <w:p w14:paraId="186BAC9A"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lastRenderedPageBreak/>
        <w:t>+ Tài liệu chứng minh tính hợp lệ hàng hóa</w:t>
      </w:r>
    </w:p>
    <w:p w14:paraId="75C94883"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Các cam kết</w:t>
      </w:r>
    </w:p>
    <w:p w14:paraId="45EFCF1D"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Bảng mô tả, so sánh đặc tính, thông số kỹ thuật.</w:t>
      </w:r>
    </w:p>
    <w:p w14:paraId="1BE95963"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Bảng kê khai chi tiết hàng hóa dự thầu.</w:t>
      </w:r>
    </w:p>
    <w:p w14:paraId="6216FA3D"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và các tài liệu liên quan khác (nếu có)</w:t>
      </w:r>
    </w:p>
    <w:p w14:paraId="268AD6BF"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Đối với hàng hóa dự thầu: nhà thầu lập các folder riêng cho từng mặt hàng hoặc các mặt hàng dự thầu có cùng hãng sản xuất hoặc cùng tài liệu pháp lý, trong mỗi folder đề nghị nhà thầu tách riêng các file tài liệu và đánh số thứ tự mặt hàng theo E-HSMT.</w:t>
      </w:r>
    </w:p>
    <w:p w14:paraId="375D1609"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Lưu ý: đề nghị nhà thầu tách riêng từng file tài liệu kỹ thuật (catalogue/ tài liệu kỹ thuật…), không gộp chung tất cả tài liệu kỹ thuật vào 1 file. Yêu cầu đặt tên file đúng theo tên tài liệu dùng để tham chiếu trong Bảng 1, bảng 2 và dùng công cụ đánh dấu (highlight) lên các nội dung kỹ thuật cụ thể chứng minh đặc tính, thông số kỹ thuật của hàng hóa theo yêu cầu.</w:t>
      </w:r>
    </w:p>
    <w:p w14:paraId="0923170A" w14:textId="77777777" w:rsidR="00CB26B2" w:rsidRPr="00CB26B2" w:rsidRDefault="00CB26B2" w:rsidP="00CB26B2">
      <w:pPr>
        <w:pStyle w:val="SectionVIHeader"/>
        <w:spacing w:after="120" w:line="264" w:lineRule="auto"/>
        <w:ind w:firstLine="709"/>
        <w:jc w:val="left"/>
        <w:rPr>
          <w:b w:val="0"/>
          <w:sz w:val="26"/>
          <w:szCs w:val="26"/>
        </w:rPr>
      </w:pPr>
      <w:r w:rsidRPr="00CB26B2">
        <w:rPr>
          <w:sz w:val="26"/>
          <w:szCs w:val="26"/>
        </w:rPr>
        <w:t>Mục 2. Bản vẽ: Không áp dụng</w:t>
      </w:r>
    </w:p>
    <w:p w14:paraId="22377DDA" w14:textId="77777777" w:rsidR="00CB26B2" w:rsidRPr="00CB26B2" w:rsidRDefault="00CB26B2" w:rsidP="00CB26B2">
      <w:pPr>
        <w:pStyle w:val="SectionVIHeader"/>
        <w:widowControl w:val="0"/>
        <w:spacing w:after="120" w:line="264" w:lineRule="auto"/>
        <w:ind w:firstLine="709"/>
        <w:jc w:val="left"/>
        <w:rPr>
          <w:sz w:val="26"/>
          <w:szCs w:val="26"/>
        </w:rPr>
      </w:pPr>
      <w:r w:rsidRPr="00CB26B2">
        <w:rPr>
          <w:sz w:val="26"/>
          <w:szCs w:val="26"/>
        </w:rPr>
        <w:t>Mục 3. Kiểm tra và thử nghiệm</w:t>
      </w:r>
    </w:p>
    <w:p w14:paraId="45E3D5E8"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Kiểm tra và thử nghiệm cần tiến hành gồm có:</w:t>
      </w:r>
    </w:p>
    <w:p w14:paraId="50920A95"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Khi giao nhận hàng hóa phải tổ chức kiểm tra, nghiệm thu hàng hóa theo yêu cầu của Hợp đồng đã ký. Trong trường hợp kiểm tra hàng hóa không đạt về kỹ thuật, chất lượng bên A sẽ không chấp nhận và trả về cho bên Nhà thầu (bên B) ngay tại địa điểm giao hàng.</w:t>
      </w:r>
    </w:p>
    <w:p w14:paraId="0DACE626"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Tổ chức nghiệm thu hàng hóa:</w:t>
      </w:r>
    </w:p>
    <w:p w14:paraId="3D06087C"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Tổ chức nghiệm thu hàng hóa tại địa điểm giao hàng: Bệnh Viện đa khoa Cà Mau (Hàng hóa đã được bốc dỡ khỏi phương tiện vận chuyển, đã được đưa ra khỏi thùng hàng và được phân loại rõ ràng).</w:t>
      </w:r>
    </w:p>
    <w:p w14:paraId="2B805E3B"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Hàng hoá sẽ được kiểm tra tại địa điểm nhận hàng đến và được Bên mua kiểm tra về số lượng, thông số, tính năng kỹ thuật và tình trạng của hàng hoá.</w:t>
      </w:r>
    </w:p>
    <w:p w14:paraId="76ABC776"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Hàng hóa phải được đóng gói, nguyên đai, nguyên kiện kiện theo đúng tiêu chuẩn của nhà sản xuất;</w:t>
      </w:r>
    </w:p>
    <w:p w14:paraId="370FE564"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Kiểm tra hình dáng, kích thước và các thông số kỹ thuật của hàng hóa nếu đáp ứng đầy đủ các yêu cầu đặt ra trong hợp đồng thì được đánh giá là đáp ứng yêu cầu về kỹ thuật;</w:t>
      </w:r>
    </w:p>
    <w:p w14:paraId="77DFF9FA"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Trong trường hợp Bên A có nghi ngờ về chất lượng hàng hóa, hai bên tiến hành thử nghiệm tại một phòng thí nghiệm/ trung tâm kiểm định đạt tiêu chuẩn do bên A chỉ định. Bên B sẽ chịu mọi chi phí thử nghiệm và các chi phí phát sinh khác đồng thời bên A từ chối không nhận hàng hóa.</w:t>
      </w:r>
    </w:p>
    <w:p w14:paraId="6685E50D"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xml:space="preserve">-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w:t>
      </w:r>
      <w:r w:rsidRPr="00CB26B2">
        <w:rPr>
          <w:iCs/>
          <w:sz w:val="26"/>
          <w:szCs w:val="26"/>
        </w:rPr>
        <w:lastRenderedPageBreak/>
        <w:t>không phù hợp đó, trong vòng 10 ngày sau khi nhận được khiếu nại của chủ đầu tư. Chủ đầu tư sẽ hoàn trả lại số hàng hoá không phù hợp đó theo yêu cầu và bằng chi phí của nhà thầu.</w:t>
      </w:r>
    </w:p>
    <w:p w14:paraId="39B12008"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w:t>
      </w:r>
    </w:p>
    <w:p w14:paraId="5B26937E"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Chi phí cho việc kiểm tra, thử nghiệm: Mọi chi phí cho việc kiểm tra, thử nghiệm hàng hóa đều do nhà thầu chịu trách nhiệm.</w:t>
      </w:r>
    </w:p>
    <w:p w14:paraId="71F538A3"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Sau khi hoàn thành các nội dung về kiểm tra và thử nghiệm hàng hóa, nhà thầu không được miễn trừ nghĩa vụ bảo hành hay các nghĩa vụ khác theo hợp đồng.</w:t>
      </w:r>
    </w:p>
    <w:p w14:paraId="678ACCAF"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Bên B phải cung cấp đầy đủ bộ tài liệu CO, CQ, tờ khai hải quan hợp lệ đúng theo quy định của hợp đồng. Trong trường hợp CO, CQ, Tờ khai hải quan là bản sao y công chứng, nếu Bên A có nghi ngờ thông tin chưa rõ ràng thì Bên B phải cung cấp bản gốc để đối chiếu. Bộ tài liệu này phải gửi cho bên A trước khi tổ chức nghiệm thu giao nhận hàng hóa. Cụ thể:</w:t>
      </w:r>
    </w:p>
    <w:p w14:paraId="52DB3EFF" w14:textId="77777777" w:rsidR="00CB26B2" w:rsidRPr="00CB26B2" w:rsidRDefault="00CB26B2" w:rsidP="00CB26B2">
      <w:pPr>
        <w:widowControl w:val="0"/>
        <w:spacing w:before="120" w:after="120" w:line="264" w:lineRule="auto"/>
        <w:ind w:firstLine="567"/>
        <w:rPr>
          <w:iCs/>
          <w:sz w:val="26"/>
          <w:szCs w:val="26"/>
        </w:rPr>
      </w:pPr>
      <w:r w:rsidRPr="00CB26B2">
        <w:rPr>
          <w:iCs/>
          <w:sz w:val="26"/>
          <w:szCs w:val="26"/>
        </w:rPr>
        <w:t xml:space="preserve">+ Tờ khai hải quan: Bên B phải cung cấp tờ khai hải quan bản sao (có thể không thể hiện giá trị hàng hóa) có đóng dấu xác nhận của đơn vị nhập khẩu/Nhà thầu. </w:t>
      </w:r>
    </w:p>
    <w:p w14:paraId="400CAC48" w14:textId="77777777" w:rsidR="00CB26B2" w:rsidRPr="00CB26B2" w:rsidRDefault="00CB26B2" w:rsidP="00CB26B2">
      <w:pPr>
        <w:spacing w:after="160" w:line="259" w:lineRule="auto"/>
        <w:jc w:val="left"/>
        <w:rPr>
          <w:iCs/>
          <w:sz w:val="26"/>
          <w:szCs w:val="26"/>
        </w:rPr>
      </w:pPr>
      <w:r w:rsidRPr="00CB26B2">
        <w:rPr>
          <w:iCs/>
          <w:sz w:val="26"/>
          <w:szCs w:val="26"/>
        </w:rPr>
        <w:br w:type="page"/>
      </w:r>
    </w:p>
    <w:p w14:paraId="413A125C" w14:textId="77777777" w:rsidR="00CB26B2" w:rsidRPr="00CB26B2" w:rsidRDefault="00CB26B2" w:rsidP="00CB26B2">
      <w:pPr>
        <w:pStyle w:val="ListParagraph"/>
        <w:numPr>
          <w:ilvl w:val="0"/>
          <w:numId w:val="2"/>
        </w:numPr>
        <w:spacing w:after="160" w:line="259" w:lineRule="auto"/>
        <w:jc w:val="left"/>
        <w:rPr>
          <w:b/>
          <w:sz w:val="26"/>
          <w:szCs w:val="26"/>
          <w:lang w:val="pl-PL"/>
        </w:rPr>
      </w:pPr>
      <w:r w:rsidRPr="00CB26B2">
        <w:rPr>
          <w:iCs/>
          <w:sz w:val="26"/>
          <w:szCs w:val="26"/>
        </w:rPr>
        <w:lastRenderedPageBreak/>
        <w:t xml:space="preserve">Tài liệu kỹ thuật </w:t>
      </w:r>
      <w:r w:rsidRPr="00CB26B2">
        <w:rPr>
          <w:sz w:val="26"/>
          <w:szCs w:val="26"/>
        </w:rPr>
        <w:t>Nhà thầu kê khai đầy đủ thông tin theo bảng 1 và đính kèm trong Hồ sơ dự thầu bản gốc có đại diện hợp pháp của nhà thầu ký tên và đóng dấu</w:t>
      </w:r>
    </w:p>
    <w:p w14:paraId="6BDF22D8" w14:textId="77777777" w:rsidR="00CB26B2" w:rsidRPr="00CB26B2" w:rsidRDefault="00CB26B2" w:rsidP="00CB26B2">
      <w:pPr>
        <w:spacing w:after="200" w:line="276" w:lineRule="auto"/>
        <w:jc w:val="center"/>
        <w:rPr>
          <w:b/>
          <w:bCs/>
          <w:sz w:val="26"/>
          <w:szCs w:val="26"/>
          <w:lang w:val="vi-VN"/>
        </w:rPr>
      </w:pPr>
      <w:r w:rsidRPr="00CB26B2">
        <w:rPr>
          <w:b/>
          <w:bCs/>
          <w:sz w:val="26"/>
          <w:szCs w:val="26"/>
          <w:lang w:val="pl-PL"/>
        </w:rPr>
        <w:t xml:space="preserve">BẢNG SỐ 1. </w:t>
      </w:r>
      <w:r w:rsidRPr="00CB26B2">
        <w:rPr>
          <w:b/>
          <w:bCs/>
          <w:sz w:val="26"/>
          <w:szCs w:val="26"/>
          <w:lang w:val="vi-VN"/>
        </w:rPr>
        <w:t>BẢNG MÔ TẢ, SO SÁNH ĐẶC TÍNH, THÔNG SỐ KỸ THUẬT</w:t>
      </w:r>
    </w:p>
    <w:tbl>
      <w:tblPr>
        <w:tblStyle w:val="TableGrid"/>
        <w:tblW w:w="9221" w:type="dxa"/>
        <w:tblInd w:w="137" w:type="dxa"/>
        <w:tblLook w:val="04A0" w:firstRow="1" w:lastRow="0" w:firstColumn="1" w:lastColumn="0" w:noHBand="0" w:noVBand="1"/>
      </w:tblPr>
      <w:tblGrid>
        <w:gridCol w:w="1185"/>
        <w:gridCol w:w="1792"/>
        <w:gridCol w:w="2409"/>
        <w:gridCol w:w="2268"/>
        <w:gridCol w:w="1567"/>
      </w:tblGrid>
      <w:tr w:rsidR="00CB26B2" w:rsidRPr="00CB26B2" w14:paraId="25BB2CBB" w14:textId="77777777" w:rsidTr="00F10184">
        <w:trPr>
          <w:trHeight w:val="264"/>
        </w:trPr>
        <w:tc>
          <w:tcPr>
            <w:tcW w:w="1185" w:type="dxa"/>
          </w:tcPr>
          <w:p w14:paraId="6A48A6FC" w14:textId="77777777" w:rsidR="00CB26B2" w:rsidRPr="00CB26B2" w:rsidRDefault="00CB26B2" w:rsidP="00F10184">
            <w:pPr>
              <w:pStyle w:val="ListParagraph"/>
              <w:spacing w:line="276" w:lineRule="auto"/>
              <w:ind w:left="0"/>
              <w:jc w:val="center"/>
              <w:rPr>
                <w:b/>
                <w:bCs/>
                <w:sz w:val="26"/>
                <w:szCs w:val="26"/>
              </w:rPr>
            </w:pPr>
            <w:r w:rsidRPr="00CB26B2">
              <w:rPr>
                <w:b/>
                <w:bCs/>
                <w:sz w:val="26"/>
                <w:szCs w:val="26"/>
              </w:rPr>
              <w:t>STT</w:t>
            </w:r>
          </w:p>
        </w:tc>
        <w:tc>
          <w:tcPr>
            <w:tcW w:w="1792" w:type="dxa"/>
          </w:tcPr>
          <w:p w14:paraId="003B0EC2" w14:textId="77777777" w:rsidR="00CB26B2" w:rsidRPr="00CB26B2" w:rsidRDefault="00CB26B2" w:rsidP="00F10184">
            <w:pPr>
              <w:pStyle w:val="ListParagraph"/>
              <w:spacing w:line="276" w:lineRule="auto"/>
              <w:ind w:left="0"/>
              <w:jc w:val="center"/>
              <w:rPr>
                <w:b/>
                <w:bCs/>
                <w:sz w:val="26"/>
                <w:szCs w:val="26"/>
              </w:rPr>
            </w:pPr>
            <w:r w:rsidRPr="00CB26B2">
              <w:rPr>
                <w:b/>
                <w:bCs/>
                <w:sz w:val="26"/>
                <w:szCs w:val="26"/>
              </w:rPr>
              <w:t>Danh mục hàng hóa</w:t>
            </w:r>
          </w:p>
        </w:tc>
        <w:tc>
          <w:tcPr>
            <w:tcW w:w="2409" w:type="dxa"/>
          </w:tcPr>
          <w:p w14:paraId="74B1C998" w14:textId="77777777" w:rsidR="00CB26B2" w:rsidRPr="00CB26B2" w:rsidRDefault="00CB26B2" w:rsidP="00F10184">
            <w:pPr>
              <w:pStyle w:val="ListParagraph"/>
              <w:spacing w:line="276" w:lineRule="auto"/>
              <w:ind w:left="0"/>
              <w:jc w:val="center"/>
              <w:rPr>
                <w:b/>
                <w:bCs/>
                <w:sz w:val="26"/>
                <w:szCs w:val="26"/>
              </w:rPr>
            </w:pPr>
            <w:r w:rsidRPr="00CB26B2">
              <w:rPr>
                <w:b/>
                <w:bCs/>
                <w:sz w:val="26"/>
                <w:szCs w:val="26"/>
              </w:rPr>
              <w:t>Nội dung yêu cầu của E-HSMT</w:t>
            </w:r>
          </w:p>
        </w:tc>
        <w:tc>
          <w:tcPr>
            <w:tcW w:w="2268" w:type="dxa"/>
          </w:tcPr>
          <w:p w14:paraId="638FB0FF" w14:textId="77777777" w:rsidR="00CB26B2" w:rsidRPr="00CB26B2" w:rsidRDefault="00CB26B2" w:rsidP="00F10184">
            <w:pPr>
              <w:pStyle w:val="ListParagraph"/>
              <w:spacing w:line="276" w:lineRule="auto"/>
              <w:ind w:left="0"/>
              <w:jc w:val="center"/>
              <w:rPr>
                <w:b/>
                <w:bCs/>
                <w:sz w:val="26"/>
                <w:szCs w:val="26"/>
              </w:rPr>
            </w:pPr>
            <w:r w:rsidRPr="00CB26B2">
              <w:rPr>
                <w:b/>
                <w:bCs/>
                <w:sz w:val="26"/>
                <w:szCs w:val="26"/>
              </w:rPr>
              <w:t>Nội dung E-HSDT</w:t>
            </w:r>
          </w:p>
        </w:tc>
        <w:tc>
          <w:tcPr>
            <w:tcW w:w="1567" w:type="dxa"/>
          </w:tcPr>
          <w:p w14:paraId="1A861AB4" w14:textId="77777777" w:rsidR="00CB26B2" w:rsidRPr="00CB26B2" w:rsidRDefault="00CB26B2" w:rsidP="00F10184">
            <w:pPr>
              <w:pStyle w:val="ListParagraph"/>
              <w:spacing w:line="276" w:lineRule="auto"/>
              <w:ind w:left="0"/>
              <w:jc w:val="center"/>
              <w:rPr>
                <w:b/>
                <w:bCs/>
                <w:sz w:val="26"/>
                <w:szCs w:val="26"/>
              </w:rPr>
            </w:pPr>
            <w:r w:rsidRPr="00CB26B2">
              <w:rPr>
                <w:b/>
                <w:bCs/>
                <w:sz w:val="26"/>
                <w:szCs w:val="26"/>
              </w:rPr>
              <w:t>Tài liệu tham chiếu</w:t>
            </w:r>
          </w:p>
        </w:tc>
      </w:tr>
      <w:tr w:rsidR="00CB26B2" w:rsidRPr="00CB26B2" w14:paraId="47824880" w14:textId="77777777" w:rsidTr="00F10184">
        <w:trPr>
          <w:trHeight w:val="252"/>
        </w:trPr>
        <w:tc>
          <w:tcPr>
            <w:tcW w:w="1185" w:type="dxa"/>
            <w:vAlign w:val="center"/>
          </w:tcPr>
          <w:p w14:paraId="18AFC466" w14:textId="77777777" w:rsidR="00CB26B2" w:rsidRPr="00CB26B2" w:rsidRDefault="00CB26B2" w:rsidP="00F10184">
            <w:pPr>
              <w:pStyle w:val="ListParagraph"/>
              <w:spacing w:line="276" w:lineRule="auto"/>
              <w:ind w:left="0"/>
              <w:jc w:val="center"/>
              <w:rPr>
                <w:sz w:val="26"/>
                <w:szCs w:val="26"/>
              </w:rPr>
            </w:pPr>
            <w:r w:rsidRPr="00CB26B2">
              <w:rPr>
                <w:sz w:val="26"/>
                <w:szCs w:val="26"/>
              </w:rPr>
              <w:t>1</w:t>
            </w:r>
          </w:p>
        </w:tc>
        <w:tc>
          <w:tcPr>
            <w:tcW w:w="1792" w:type="dxa"/>
          </w:tcPr>
          <w:p w14:paraId="2A0E34F4" w14:textId="77777777" w:rsidR="00CB26B2" w:rsidRPr="00CB26B2" w:rsidRDefault="00CB26B2" w:rsidP="00F10184">
            <w:pPr>
              <w:pStyle w:val="ListParagraph"/>
              <w:spacing w:line="276" w:lineRule="auto"/>
              <w:ind w:left="0"/>
              <w:jc w:val="center"/>
              <w:rPr>
                <w:b/>
                <w:bCs/>
                <w:sz w:val="26"/>
                <w:szCs w:val="26"/>
                <w:lang w:val="vi-VN"/>
              </w:rPr>
            </w:pPr>
          </w:p>
        </w:tc>
        <w:tc>
          <w:tcPr>
            <w:tcW w:w="2409" w:type="dxa"/>
          </w:tcPr>
          <w:p w14:paraId="7E123B72" w14:textId="77777777" w:rsidR="00CB26B2" w:rsidRPr="00CB26B2" w:rsidRDefault="00CB26B2" w:rsidP="00F10184">
            <w:pPr>
              <w:pStyle w:val="ListParagraph"/>
              <w:spacing w:line="276" w:lineRule="auto"/>
              <w:ind w:left="0"/>
              <w:jc w:val="center"/>
              <w:rPr>
                <w:b/>
                <w:bCs/>
                <w:sz w:val="26"/>
                <w:szCs w:val="26"/>
                <w:lang w:val="vi-VN"/>
              </w:rPr>
            </w:pPr>
          </w:p>
        </w:tc>
        <w:tc>
          <w:tcPr>
            <w:tcW w:w="2268" w:type="dxa"/>
          </w:tcPr>
          <w:p w14:paraId="1C7F7735" w14:textId="77777777" w:rsidR="00CB26B2" w:rsidRPr="00CB26B2" w:rsidRDefault="00CB26B2" w:rsidP="00F10184">
            <w:pPr>
              <w:pStyle w:val="ListParagraph"/>
              <w:spacing w:line="276" w:lineRule="auto"/>
              <w:ind w:left="0"/>
              <w:jc w:val="center"/>
              <w:rPr>
                <w:b/>
                <w:bCs/>
                <w:sz w:val="26"/>
                <w:szCs w:val="26"/>
                <w:lang w:val="vi-VN"/>
              </w:rPr>
            </w:pPr>
          </w:p>
        </w:tc>
        <w:tc>
          <w:tcPr>
            <w:tcW w:w="1567" w:type="dxa"/>
          </w:tcPr>
          <w:p w14:paraId="610CEA38" w14:textId="77777777" w:rsidR="00CB26B2" w:rsidRPr="00CB26B2" w:rsidRDefault="00CB26B2" w:rsidP="00F10184">
            <w:pPr>
              <w:pStyle w:val="ListParagraph"/>
              <w:spacing w:line="276" w:lineRule="auto"/>
              <w:ind w:left="0"/>
              <w:jc w:val="center"/>
              <w:rPr>
                <w:b/>
                <w:bCs/>
                <w:sz w:val="26"/>
                <w:szCs w:val="26"/>
                <w:lang w:val="vi-VN"/>
              </w:rPr>
            </w:pPr>
          </w:p>
        </w:tc>
      </w:tr>
      <w:tr w:rsidR="00CB26B2" w:rsidRPr="00CB26B2" w14:paraId="261BCDFB" w14:textId="77777777" w:rsidTr="00F10184">
        <w:trPr>
          <w:trHeight w:val="252"/>
        </w:trPr>
        <w:tc>
          <w:tcPr>
            <w:tcW w:w="1185" w:type="dxa"/>
            <w:vAlign w:val="center"/>
          </w:tcPr>
          <w:p w14:paraId="6C242E63" w14:textId="77777777" w:rsidR="00CB26B2" w:rsidRPr="00CB26B2" w:rsidRDefault="00CB26B2" w:rsidP="00F10184">
            <w:pPr>
              <w:pStyle w:val="ListParagraph"/>
              <w:spacing w:line="276" w:lineRule="auto"/>
              <w:ind w:left="0"/>
              <w:jc w:val="center"/>
              <w:rPr>
                <w:sz w:val="26"/>
                <w:szCs w:val="26"/>
              </w:rPr>
            </w:pPr>
            <w:r w:rsidRPr="00CB26B2">
              <w:rPr>
                <w:sz w:val="26"/>
                <w:szCs w:val="26"/>
              </w:rPr>
              <w:t>2</w:t>
            </w:r>
          </w:p>
        </w:tc>
        <w:tc>
          <w:tcPr>
            <w:tcW w:w="1792" w:type="dxa"/>
          </w:tcPr>
          <w:p w14:paraId="43148EA4" w14:textId="77777777" w:rsidR="00CB26B2" w:rsidRPr="00CB26B2" w:rsidRDefault="00CB26B2" w:rsidP="00F10184">
            <w:pPr>
              <w:pStyle w:val="ListParagraph"/>
              <w:spacing w:line="276" w:lineRule="auto"/>
              <w:ind w:left="0"/>
              <w:jc w:val="center"/>
              <w:rPr>
                <w:b/>
                <w:bCs/>
                <w:sz w:val="26"/>
                <w:szCs w:val="26"/>
                <w:lang w:val="vi-VN"/>
              </w:rPr>
            </w:pPr>
          </w:p>
        </w:tc>
        <w:tc>
          <w:tcPr>
            <w:tcW w:w="2409" w:type="dxa"/>
          </w:tcPr>
          <w:p w14:paraId="06B0FB07" w14:textId="77777777" w:rsidR="00CB26B2" w:rsidRPr="00CB26B2" w:rsidRDefault="00CB26B2" w:rsidP="00F10184">
            <w:pPr>
              <w:pStyle w:val="ListParagraph"/>
              <w:spacing w:line="276" w:lineRule="auto"/>
              <w:ind w:left="0"/>
              <w:jc w:val="center"/>
              <w:rPr>
                <w:b/>
                <w:bCs/>
                <w:sz w:val="26"/>
                <w:szCs w:val="26"/>
                <w:lang w:val="vi-VN"/>
              </w:rPr>
            </w:pPr>
          </w:p>
        </w:tc>
        <w:tc>
          <w:tcPr>
            <w:tcW w:w="2268" w:type="dxa"/>
          </w:tcPr>
          <w:p w14:paraId="4E9B0007" w14:textId="77777777" w:rsidR="00CB26B2" w:rsidRPr="00CB26B2" w:rsidRDefault="00CB26B2" w:rsidP="00F10184">
            <w:pPr>
              <w:pStyle w:val="ListParagraph"/>
              <w:spacing w:line="276" w:lineRule="auto"/>
              <w:ind w:left="0"/>
              <w:jc w:val="center"/>
              <w:rPr>
                <w:b/>
                <w:bCs/>
                <w:sz w:val="26"/>
                <w:szCs w:val="26"/>
                <w:lang w:val="vi-VN"/>
              </w:rPr>
            </w:pPr>
          </w:p>
        </w:tc>
        <w:tc>
          <w:tcPr>
            <w:tcW w:w="1567" w:type="dxa"/>
          </w:tcPr>
          <w:p w14:paraId="2B5CE722" w14:textId="77777777" w:rsidR="00CB26B2" w:rsidRPr="00CB26B2" w:rsidRDefault="00CB26B2" w:rsidP="00F10184">
            <w:pPr>
              <w:pStyle w:val="ListParagraph"/>
              <w:spacing w:line="276" w:lineRule="auto"/>
              <w:ind w:left="0"/>
              <w:jc w:val="center"/>
              <w:rPr>
                <w:b/>
                <w:bCs/>
                <w:sz w:val="26"/>
                <w:szCs w:val="26"/>
                <w:lang w:val="vi-VN"/>
              </w:rPr>
            </w:pPr>
          </w:p>
        </w:tc>
      </w:tr>
    </w:tbl>
    <w:p w14:paraId="13B9ECBB" w14:textId="77777777" w:rsidR="00CB26B2" w:rsidRPr="00CB26B2" w:rsidRDefault="00CB26B2" w:rsidP="00CB26B2">
      <w:pPr>
        <w:spacing w:line="276" w:lineRule="auto"/>
        <w:jc w:val="right"/>
        <w:rPr>
          <w:sz w:val="26"/>
          <w:szCs w:val="26"/>
        </w:rPr>
      </w:pPr>
      <w:r w:rsidRPr="00CB26B2">
        <w:rPr>
          <w:sz w:val="26"/>
          <w:szCs w:val="26"/>
        </w:rPr>
        <w:t>...................., ngày.........tháng..........năm 2026</w:t>
      </w:r>
    </w:p>
    <w:p w14:paraId="5EBB6D8A" w14:textId="77777777" w:rsidR="00CB26B2" w:rsidRPr="00CB26B2" w:rsidRDefault="00CB26B2" w:rsidP="00CB26B2">
      <w:pPr>
        <w:spacing w:line="276" w:lineRule="auto"/>
        <w:jc w:val="right"/>
        <w:rPr>
          <w:b/>
          <w:bCs/>
          <w:sz w:val="26"/>
          <w:szCs w:val="26"/>
        </w:rPr>
      </w:pPr>
      <w:r w:rsidRPr="00CB26B2">
        <w:rPr>
          <w:b/>
          <w:bCs/>
          <w:sz w:val="26"/>
          <w:szCs w:val="26"/>
        </w:rPr>
        <w:t>Đại diện hợp pháp của nhà thầu</w:t>
      </w:r>
    </w:p>
    <w:p w14:paraId="57663C65" w14:textId="77777777" w:rsidR="00CB26B2" w:rsidRPr="00CB26B2" w:rsidRDefault="00CB26B2" w:rsidP="00CB26B2">
      <w:pPr>
        <w:spacing w:line="276" w:lineRule="auto"/>
        <w:jc w:val="right"/>
        <w:rPr>
          <w:i/>
          <w:iCs/>
          <w:sz w:val="26"/>
          <w:szCs w:val="26"/>
        </w:rPr>
      </w:pPr>
      <w:r w:rsidRPr="00CB26B2">
        <w:rPr>
          <w:i/>
          <w:iCs/>
          <w:sz w:val="26"/>
          <w:szCs w:val="26"/>
        </w:rPr>
        <w:t>[Ghi tên, chức danh, ký tên và đóng dấu]</w:t>
      </w:r>
    </w:p>
    <w:p w14:paraId="0827D2CD" w14:textId="77777777" w:rsidR="00CB26B2" w:rsidRPr="00CB26B2" w:rsidRDefault="00CB26B2" w:rsidP="00CB26B2">
      <w:pPr>
        <w:pStyle w:val="ListParagraph"/>
        <w:spacing w:after="200" w:line="276" w:lineRule="auto"/>
        <w:ind w:left="1429"/>
        <w:rPr>
          <w:i/>
          <w:iCs/>
          <w:sz w:val="26"/>
          <w:szCs w:val="26"/>
          <w:lang w:val="vi-VN"/>
        </w:rPr>
      </w:pPr>
    </w:p>
    <w:p w14:paraId="7ACEA95B" w14:textId="77777777" w:rsidR="00CB26B2" w:rsidRPr="00CB26B2" w:rsidRDefault="00CB26B2" w:rsidP="00CB26B2">
      <w:pPr>
        <w:pStyle w:val="ListParagraph"/>
        <w:numPr>
          <w:ilvl w:val="0"/>
          <w:numId w:val="2"/>
        </w:numPr>
        <w:spacing w:after="160" w:line="259" w:lineRule="auto"/>
        <w:jc w:val="left"/>
        <w:rPr>
          <w:sz w:val="26"/>
          <w:szCs w:val="26"/>
          <w:lang w:val="vi-VN"/>
        </w:rPr>
        <w:sectPr w:rsidR="00CB26B2" w:rsidRPr="00CB26B2" w:rsidSect="00CB26B2">
          <w:footnotePr>
            <w:numRestart w:val="eachPage"/>
          </w:footnotePr>
          <w:endnotePr>
            <w:numFmt w:val="decimal"/>
          </w:endnotePr>
          <w:pgSz w:w="11906" w:h="16838" w:code="9"/>
          <w:pgMar w:top="1134" w:right="1134" w:bottom="1134" w:left="1701" w:header="720" w:footer="255" w:gutter="0"/>
          <w:cols w:space="720"/>
          <w:noEndnote/>
          <w:docGrid w:linePitch="381"/>
        </w:sectPr>
      </w:pPr>
      <w:r w:rsidRPr="00CB26B2">
        <w:rPr>
          <w:sz w:val="26"/>
          <w:szCs w:val="26"/>
          <w:lang w:val="vi-VN"/>
        </w:rPr>
        <w:br w:type="page"/>
      </w:r>
    </w:p>
    <w:p w14:paraId="654412AD" w14:textId="77777777" w:rsidR="00CB26B2" w:rsidRPr="00CB26B2" w:rsidRDefault="00CB26B2" w:rsidP="00CB26B2">
      <w:pPr>
        <w:pStyle w:val="ListParagraph"/>
        <w:numPr>
          <w:ilvl w:val="0"/>
          <w:numId w:val="2"/>
        </w:numPr>
        <w:spacing w:after="160" w:line="259" w:lineRule="auto"/>
        <w:jc w:val="left"/>
        <w:rPr>
          <w:sz w:val="26"/>
          <w:szCs w:val="26"/>
          <w:lang w:val="vi-VN"/>
        </w:rPr>
      </w:pPr>
      <w:r w:rsidRPr="00CB26B2">
        <w:rPr>
          <w:sz w:val="26"/>
          <w:szCs w:val="26"/>
          <w:lang w:val="vi-VN"/>
        </w:rPr>
        <w:lastRenderedPageBreak/>
        <w:t>Nhà thầu phải cung cấp bảng số 2</w:t>
      </w:r>
      <w:r w:rsidRPr="00CB26B2">
        <w:rPr>
          <w:sz w:val="26"/>
          <w:szCs w:val="26"/>
        </w:rPr>
        <w:t xml:space="preserve"> </w:t>
      </w:r>
      <w:r w:rsidRPr="00CB26B2">
        <w:rPr>
          <w:sz w:val="26"/>
          <w:szCs w:val="26"/>
          <w:lang w:val="vi-VN"/>
        </w:rPr>
        <w:t xml:space="preserve">(gồm file excel và bản scan có đóng dấu và chữ ký của người đại diện hợp pháp của Công ty) đầy đủ thông tin như sau: </w:t>
      </w:r>
    </w:p>
    <w:p w14:paraId="7F8D522F" w14:textId="77777777" w:rsidR="00CB26B2" w:rsidRPr="00CB26B2" w:rsidRDefault="00CB26B2" w:rsidP="00CB26B2">
      <w:pPr>
        <w:spacing w:after="200" w:line="276" w:lineRule="auto"/>
        <w:ind w:firstLine="709"/>
        <w:jc w:val="center"/>
        <w:rPr>
          <w:b/>
          <w:bCs/>
          <w:sz w:val="26"/>
          <w:szCs w:val="26"/>
          <w:lang w:val="vi-VN"/>
        </w:rPr>
      </w:pPr>
      <w:r w:rsidRPr="00CB26B2">
        <w:rPr>
          <w:b/>
          <w:bCs/>
          <w:sz w:val="26"/>
          <w:szCs w:val="26"/>
        </w:rPr>
        <w:t xml:space="preserve">BẢNG SỐ 2. </w:t>
      </w:r>
      <w:r w:rsidRPr="00CB26B2">
        <w:rPr>
          <w:b/>
          <w:bCs/>
          <w:sz w:val="26"/>
          <w:szCs w:val="26"/>
          <w:lang w:val="vi-VN"/>
        </w:rPr>
        <w:t>BẢNG KÊ KHAI CHI TIẾT HÀNG HÓA DỰ THẦU</w:t>
      </w:r>
    </w:p>
    <w:tbl>
      <w:tblPr>
        <w:tblStyle w:val="TableGrid"/>
        <w:tblW w:w="15699" w:type="dxa"/>
        <w:tblInd w:w="-572" w:type="dxa"/>
        <w:tblLayout w:type="fixed"/>
        <w:tblLook w:val="04A0" w:firstRow="1" w:lastRow="0" w:firstColumn="1" w:lastColumn="0" w:noHBand="0" w:noVBand="1"/>
      </w:tblPr>
      <w:tblGrid>
        <w:gridCol w:w="630"/>
        <w:gridCol w:w="871"/>
        <w:gridCol w:w="725"/>
        <w:gridCol w:w="726"/>
        <w:gridCol w:w="871"/>
        <w:gridCol w:w="727"/>
        <w:gridCol w:w="871"/>
        <w:gridCol w:w="726"/>
        <w:gridCol w:w="1016"/>
        <w:gridCol w:w="726"/>
        <w:gridCol w:w="870"/>
        <w:gridCol w:w="787"/>
        <w:gridCol w:w="726"/>
        <w:gridCol w:w="785"/>
        <w:gridCol w:w="726"/>
        <w:gridCol w:w="725"/>
        <w:gridCol w:w="871"/>
        <w:gridCol w:w="726"/>
        <w:gridCol w:w="874"/>
        <w:gridCol w:w="720"/>
      </w:tblGrid>
      <w:tr w:rsidR="00CB26B2" w:rsidRPr="00CB26B2" w14:paraId="3E0552E9" w14:textId="77777777" w:rsidTr="00F10184">
        <w:trPr>
          <w:trHeight w:val="70"/>
        </w:trPr>
        <w:tc>
          <w:tcPr>
            <w:tcW w:w="4550" w:type="dxa"/>
            <w:gridSpan w:val="6"/>
            <w:vAlign w:val="center"/>
          </w:tcPr>
          <w:p w14:paraId="6B96BF05" w14:textId="77777777" w:rsidR="00CB26B2" w:rsidRPr="00CB26B2" w:rsidRDefault="00CB26B2" w:rsidP="00F10184">
            <w:pPr>
              <w:spacing w:line="276" w:lineRule="auto"/>
              <w:jc w:val="center"/>
              <w:rPr>
                <w:b/>
                <w:bCs/>
                <w:sz w:val="26"/>
                <w:szCs w:val="26"/>
              </w:rPr>
            </w:pPr>
            <w:r w:rsidRPr="00CB26B2">
              <w:rPr>
                <w:b/>
                <w:bCs/>
                <w:sz w:val="26"/>
                <w:szCs w:val="26"/>
              </w:rPr>
              <w:t>Yêu cầu E-HSMT</w:t>
            </w:r>
          </w:p>
        </w:tc>
        <w:tc>
          <w:tcPr>
            <w:tcW w:w="11149" w:type="dxa"/>
            <w:gridSpan w:val="14"/>
            <w:vAlign w:val="center"/>
          </w:tcPr>
          <w:p w14:paraId="112B1D07" w14:textId="77777777" w:rsidR="00CB26B2" w:rsidRPr="00CB26B2" w:rsidRDefault="00CB26B2" w:rsidP="00F10184">
            <w:pPr>
              <w:spacing w:line="276" w:lineRule="auto"/>
              <w:jc w:val="center"/>
              <w:rPr>
                <w:b/>
                <w:bCs/>
                <w:sz w:val="26"/>
                <w:szCs w:val="26"/>
              </w:rPr>
            </w:pPr>
            <w:r w:rsidRPr="00CB26B2">
              <w:rPr>
                <w:b/>
                <w:bCs/>
                <w:sz w:val="26"/>
                <w:szCs w:val="26"/>
              </w:rPr>
              <w:t>Đáp ứng yêu cầu trong E-HSDT</w:t>
            </w:r>
          </w:p>
        </w:tc>
      </w:tr>
      <w:tr w:rsidR="00CB26B2" w:rsidRPr="00CB26B2" w14:paraId="0B110D3D" w14:textId="77777777" w:rsidTr="00F10184">
        <w:trPr>
          <w:trHeight w:val="1967"/>
        </w:trPr>
        <w:tc>
          <w:tcPr>
            <w:tcW w:w="630" w:type="dxa"/>
            <w:vAlign w:val="center"/>
          </w:tcPr>
          <w:p w14:paraId="6D4A856A" w14:textId="77777777" w:rsidR="00CB26B2" w:rsidRPr="00CB26B2" w:rsidRDefault="00CB26B2" w:rsidP="00F10184">
            <w:pPr>
              <w:spacing w:line="276" w:lineRule="auto"/>
              <w:ind w:left="-105" w:right="-41"/>
              <w:jc w:val="center"/>
              <w:rPr>
                <w:b/>
                <w:bCs/>
                <w:sz w:val="26"/>
                <w:szCs w:val="26"/>
              </w:rPr>
            </w:pPr>
            <w:r w:rsidRPr="00CB26B2">
              <w:rPr>
                <w:b/>
                <w:bCs/>
                <w:sz w:val="26"/>
                <w:szCs w:val="26"/>
              </w:rPr>
              <w:t>STT</w:t>
            </w:r>
          </w:p>
        </w:tc>
        <w:tc>
          <w:tcPr>
            <w:tcW w:w="871" w:type="dxa"/>
            <w:vAlign w:val="center"/>
          </w:tcPr>
          <w:p w14:paraId="5EED2C5E" w14:textId="77777777" w:rsidR="00CB26B2" w:rsidRPr="00CB26B2" w:rsidRDefault="00CB26B2" w:rsidP="00F10184">
            <w:pPr>
              <w:spacing w:line="276" w:lineRule="auto"/>
              <w:ind w:left="-105" w:right="-41"/>
              <w:jc w:val="center"/>
              <w:rPr>
                <w:b/>
                <w:bCs/>
                <w:sz w:val="26"/>
                <w:szCs w:val="26"/>
              </w:rPr>
            </w:pPr>
            <w:r w:rsidRPr="00CB26B2">
              <w:rPr>
                <w:b/>
                <w:bCs/>
                <w:sz w:val="26"/>
                <w:szCs w:val="26"/>
              </w:rPr>
              <w:t>Tên phần (lô)</w:t>
            </w:r>
          </w:p>
        </w:tc>
        <w:tc>
          <w:tcPr>
            <w:tcW w:w="725" w:type="dxa"/>
            <w:vAlign w:val="center"/>
          </w:tcPr>
          <w:p w14:paraId="4BCBEB8A" w14:textId="77777777" w:rsidR="00CB26B2" w:rsidRPr="00CB26B2" w:rsidRDefault="00CB26B2" w:rsidP="00F10184">
            <w:pPr>
              <w:spacing w:line="276" w:lineRule="auto"/>
              <w:ind w:left="-105" w:right="-41"/>
              <w:jc w:val="center"/>
              <w:rPr>
                <w:b/>
                <w:bCs/>
                <w:sz w:val="26"/>
                <w:szCs w:val="26"/>
              </w:rPr>
            </w:pPr>
            <w:r w:rsidRPr="00CB26B2">
              <w:rPr>
                <w:b/>
                <w:bCs/>
                <w:sz w:val="26"/>
                <w:szCs w:val="26"/>
              </w:rPr>
              <w:t>Danh mục hàng hóa</w:t>
            </w:r>
          </w:p>
        </w:tc>
        <w:tc>
          <w:tcPr>
            <w:tcW w:w="726" w:type="dxa"/>
            <w:vAlign w:val="center"/>
          </w:tcPr>
          <w:p w14:paraId="6917DB5B" w14:textId="77777777" w:rsidR="00CB26B2" w:rsidRPr="00CB26B2" w:rsidRDefault="00CB26B2" w:rsidP="00F10184">
            <w:pPr>
              <w:spacing w:line="276" w:lineRule="auto"/>
              <w:ind w:left="-105" w:right="-41"/>
              <w:jc w:val="center"/>
              <w:rPr>
                <w:b/>
                <w:bCs/>
                <w:sz w:val="26"/>
                <w:szCs w:val="26"/>
              </w:rPr>
            </w:pPr>
            <w:r w:rsidRPr="00CB26B2">
              <w:rPr>
                <w:b/>
                <w:bCs/>
                <w:sz w:val="26"/>
                <w:szCs w:val="26"/>
              </w:rPr>
              <w:t>Đơn vị tính</w:t>
            </w:r>
          </w:p>
        </w:tc>
        <w:tc>
          <w:tcPr>
            <w:tcW w:w="871" w:type="dxa"/>
            <w:vAlign w:val="center"/>
          </w:tcPr>
          <w:p w14:paraId="5347242C" w14:textId="77777777" w:rsidR="00CB26B2" w:rsidRPr="00CB26B2" w:rsidRDefault="00CB26B2" w:rsidP="00F10184">
            <w:pPr>
              <w:spacing w:line="276" w:lineRule="auto"/>
              <w:ind w:left="-105" w:right="-41"/>
              <w:jc w:val="center"/>
              <w:rPr>
                <w:b/>
                <w:bCs/>
                <w:sz w:val="26"/>
                <w:szCs w:val="26"/>
              </w:rPr>
            </w:pPr>
            <w:r w:rsidRPr="00CB26B2">
              <w:rPr>
                <w:b/>
                <w:bCs/>
                <w:sz w:val="26"/>
                <w:szCs w:val="26"/>
              </w:rPr>
              <w:t>Khối lượng</w:t>
            </w:r>
          </w:p>
        </w:tc>
        <w:tc>
          <w:tcPr>
            <w:tcW w:w="727" w:type="dxa"/>
            <w:vAlign w:val="center"/>
          </w:tcPr>
          <w:p w14:paraId="6B439E53" w14:textId="77777777" w:rsidR="00CB26B2" w:rsidRPr="00CB26B2" w:rsidRDefault="00CB26B2" w:rsidP="00F10184">
            <w:pPr>
              <w:spacing w:line="276" w:lineRule="auto"/>
              <w:ind w:left="-105" w:right="-41"/>
              <w:jc w:val="center"/>
              <w:rPr>
                <w:b/>
                <w:bCs/>
                <w:sz w:val="26"/>
                <w:szCs w:val="26"/>
              </w:rPr>
            </w:pPr>
            <w:r w:rsidRPr="00CB26B2">
              <w:rPr>
                <w:b/>
                <w:bCs/>
                <w:sz w:val="26"/>
                <w:szCs w:val="26"/>
              </w:rPr>
              <w:t>Yêu cầu về đặc tính, thông số kỹ thuật</w:t>
            </w:r>
          </w:p>
        </w:tc>
        <w:tc>
          <w:tcPr>
            <w:tcW w:w="871" w:type="dxa"/>
            <w:vAlign w:val="center"/>
          </w:tcPr>
          <w:p w14:paraId="1C1DB70A" w14:textId="77777777" w:rsidR="00CB26B2" w:rsidRPr="00CB26B2" w:rsidRDefault="00CB26B2" w:rsidP="00F10184">
            <w:pPr>
              <w:spacing w:line="276" w:lineRule="auto"/>
              <w:ind w:left="-105" w:right="-41"/>
              <w:jc w:val="center"/>
              <w:rPr>
                <w:b/>
                <w:bCs/>
                <w:sz w:val="26"/>
                <w:szCs w:val="26"/>
              </w:rPr>
            </w:pPr>
            <w:r w:rsidRPr="00CB26B2">
              <w:rPr>
                <w:b/>
                <w:bCs/>
                <w:sz w:val="26"/>
                <w:szCs w:val="26"/>
              </w:rPr>
              <w:t>Tên hàng hóa dự thầu</w:t>
            </w:r>
          </w:p>
        </w:tc>
        <w:tc>
          <w:tcPr>
            <w:tcW w:w="726" w:type="dxa"/>
            <w:vAlign w:val="center"/>
          </w:tcPr>
          <w:p w14:paraId="3B03A8DD" w14:textId="77777777" w:rsidR="00CB26B2" w:rsidRPr="00CB26B2" w:rsidRDefault="00CB26B2" w:rsidP="00F10184">
            <w:pPr>
              <w:spacing w:line="276" w:lineRule="auto"/>
              <w:ind w:left="-105" w:right="-41"/>
              <w:jc w:val="center"/>
              <w:rPr>
                <w:b/>
                <w:bCs/>
                <w:sz w:val="26"/>
                <w:szCs w:val="26"/>
              </w:rPr>
            </w:pPr>
            <w:r w:rsidRPr="00CB26B2">
              <w:rPr>
                <w:b/>
                <w:bCs/>
                <w:sz w:val="26"/>
                <w:szCs w:val="26"/>
              </w:rPr>
              <w:t>Quy cách đóng gói</w:t>
            </w:r>
          </w:p>
        </w:tc>
        <w:tc>
          <w:tcPr>
            <w:tcW w:w="1016" w:type="dxa"/>
            <w:vAlign w:val="center"/>
          </w:tcPr>
          <w:p w14:paraId="167202E6" w14:textId="77777777" w:rsidR="00CB26B2" w:rsidRPr="00CB26B2" w:rsidRDefault="00CB26B2" w:rsidP="00F10184">
            <w:pPr>
              <w:spacing w:line="276" w:lineRule="auto"/>
              <w:ind w:left="-105" w:right="-41"/>
              <w:jc w:val="center"/>
              <w:rPr>
                <w:b/>
                <w:bCs/>
                <w:sz w:val="26"/>
                <w:szCs w:val="26"/>
              </w:rPr>
            </w:pPr>
            <w:r w:rsidRPr="00CB26B2">
              <w:rPr>
                <w:b/>
                <w:bCs/>
                <w:sz w:val="26"/>
                <w:szCs w:val="26"/>
              </w:rPr>
              <w:t>Tên, mã vật tư y tế theo quy định  (nếu có)</w:t>
            </w:r>
          </w:p>
        </w:tc>
        <w:tc>
          <w:tcPr>
            <w:tcW w:w="726" w:type="dxa"/>
            <w:vAlign w:val="center"/>
          </w:tcPr>
          <w:p w14:paraId="2EE5F883" w14:textId="77777777" w:rsidR="00CB26B2" w:rsidRPr="00CB26B2" w:rsidRDefault="00CB26B2" w:rsidP="00F10184">
            <w:pPr>
              <w:spacing w:line="276" w:lineRule="auto"/>
              <w:ind w:left="-105" w:right="-41"/>
              <w:jc w:val="center"/>
              <w:rPr>
                <w:b/>
                <w:bCs/>
                <w:sz w:val="26"/>
                <w:szCs w:val="26"/>
              </w:rPr>
            </w:pPr>
            <w:r w:rsidRPr="00CB26B2">
              <w:rPr>
                <w:b/>
                <w:bCs/>
                <w:sz w:val="26"/>
                <w:szCs w:val="26"/>
              </w:rPr>
              <w:t>Chủng loại (Model/ Ký mã hiệu)</w:t>
            </w:r>
          </w:p>
        </w:tc>
        <w:tc>
          <w:tcPr>
            <w:tcW w:w="870" w:type="dxa"/>
            <w:vAlign w:val="center"/>
          </w:tcPr>
          <w:p w14:paraId="477B93F4" w14:textId="77777777" w:rsidR="00CB26B2" w:rsidRPr="00CB26B2" w:rsidRDefault="00CB26B2" w:rsidP="00F10184">
            <w:pPr>
              <w:spacing w:line="276" w:lineRule="auto"/>
              <w:ind w:left="-105" w:right="-41"/>
              <w:jc w:val="center"/>
              <w:rPr>
                <w:b/>
                <w:bCs/>
                <w:sz w:val="26"/>
                <w:szCs w:val="26"/>
              </w:rPr>
            </w:pPr>
            <w:r w:rsidRPr="00CB26B2">
              <w:rPr>
                <w:b/>
                <w:bCs/>
                <w:sz w:val="26"/>
                <w:szCs w:val="26"/>
              </w:rPr>
              <w:t>Số lưu hành hoặc số GPNK ngày cấp</w:t>
            </w:r>
          </w:p>
        </w:tc>
        <w:tc>
          <w:tcPr>
            <w:tcW w:w="787" w:type="dxa"/>
            <w:vAlign w:val="center"/>
          </w:tcPr>
          <w:p w14:paraId="6AE7D3BA" w14:textId="77777777" w:rsidR="00CB26B2" w:rsidRPr="00CB26B2" w:rsidRDefault="00CB26B2" w:rsidP="00F10184">
            <w:pPr>
              <w:spacing w:line="276" w:lineRule="auto"/>
              <w:ind w:left="-105" w:right="-41"/>
              <w:jc w:val="center"/>
              <w:rPr>
                <w:b/>
                <w:bCs/>
                <w:sz w:val="26"/>
                <w:szCs w:val="26"/>
              </w:rPr>
            </w:pPr>
            <w:r w:rsidRPr="00CB26B2">
              <w:rPr>
                <w:b/>
                <w:bCs/>
                <w:sz w:val="26"/>
                <w:szCs w:val="26"/>
              </w:rPr>
              <w:t>Phân loại TTBYT ngày cấp</w:t>
            </w:r>
          </w:p>
        </w:tc>
        <w:tc>
          <w:tcPr>
            <w:tcW w:w="726" w:type="dxa"/>
            <w:vAlign w:val="center"/>
          </w:tcPr>
          <w:p w14:paraId="5AB26979" w14:textId="77777777" w:rsidR="00CB26B2" w:rsidRPr="00CB26B2" w:rsidRDefault="00CB26B2" w:rsidP="00F10184">
            <w:pPr>
              <w:spacing w:line="276" w:lineRule="auto"/>
              <w:ind w:left="-105" w:right="-41"/>
              <w:jc w:val="center"/>
              <w:rPr>
                <w:b/>
                <w:bCs/>
                <w:sz w:val="26"/>
                <w:szCs w:val="26"/>
              </w:rPr>
            </w:pPr>
            <w:r w:rsidRPr="00CB26B2">
              <w:rPr>
                <w:b/>
                <w:bCs/>
                <w:sz w:val="26"/>
                <w:szCs w:val="26"/>
              </w:rPr>
              <w:t>Năm sản xuất</w:t>
            </w:r>
          </w:p>
        </w:tc>
        <w:tc>
          <w:tcPr>
            <w:tcW w:w="785" w:type="dxa"/>
            <w:vAlign w:val="center"/>
          </w:tcPr>
          <w:p w14:paraId="09853E2C" w14:textId="77777777" w:rsidR="00CB26B2" w:rsidRPr="00CB26B2" w:rsidRDefault="00CB26B2" w:rsidP="00F10184">
            <w:pPr>
              <w:spacing w:line="276" w:lineRule="auto"/>
              <w:ind w:left="-105" w:right="-41"/>
              <w:jc w:val="center"/>
              <w:rPr>
                <w:b/>
                <w:bCs/>
                <w:sz w:val="26"/>
                <w:szCs w:val="26"/>
              </w:rPr>
            </w:pPr>
            <w:r w:rsidRPr="00CB26B2">
              <w:rPr>
                <w:b/>
                <w:bCs/>
                <w:sz w:val="26"/>
                <w:szCs w:val="26"/>
              </w:rPr>
              <w:t>Nước sản xuất</w:t>
            </w:r>
          </w:p>
        </w:tc>
        <w:tc>
          <w:tcPr>
            <w:tcW w:w="726" w:type="dxa"/>
            <w:vAlign w:val="center"/>
          </w:tcPr>
          <w:p w14:paraId="57AED116" w14:textId="77777777" w:rsidR="00CB26B2" w:rsidRPr="00CB26B2" w:rsidRDefault="00CB26B2" w:rsidP="00F10184">
            <w:pPr>
              <w:spacing w:line="276" w:lineRule="auto"/>
              <w:ind w:left="-105" w:right="-41"/>
              <w:jc w:val="center"/>
              <w:rPr>
                <w:b/>
                <w:bCs/>
                <w:sz w:val="26"/>
                <w:szCs w:val="26"/>
              </w:rPr>
            </w:pPr>
            <w:r w:rsidRPr="00CB26B2">
              <w:rPr>
                <w:b/>
                <w:bCs/>
                <w:sz w:val="26"/>
                <w:szCs w:val="26"/>
              </w:rPr>
              <w:t>Hãng sản xuất</w:t>
            </w:r>
          </w:p>
        </w:tc>
        <w:tc>
          <w:tcPr>
            <w:tcW w:w="725" w:type="dxa"/>
            <w:vAlign w:val="center"/>
          </w:tcPr>
          <w:p w14:paraId="68980E2F" w14:textId="77777777" w:rsidR="00CB26B2" w:rsidRPr="00CB26B2" w:rsidRDefault="00CB26B2" w:rsidP="00F10184">
            <w:pPr>
              <w:spacing w:line="276" w:lineRule="auto"/>
              <w:ind w:left="-105" w:right="-41"/>
              <w:jc w:val="center"/>
              <w:rPr>
                <w:b/>
                <w:bCs/>
                <w:sz w:val="26"/>
                <w:szCs w:val="26"/>
              </w:rPr>
            </w:pPr>
          </w:p>
          <w:p w14:paraId="2C650F12" w14:textId="77777777" w:rsidR="00CB26B2" w:rsidRPr="00CB26B2" w:rsidRDefault="00CB26B2" w:rsidP="00F10184">
            <w:pPr>
              <w:spacing w:line="276" w:lineRule="auto"/>
              <w:ind w:left="-105" w:right="-41"/>
              <w:jc w:val="center"/>
              <w:rPr>
                <w:b/>
                <w:bCs/>
                <w:sz w:val="26"/>
                <w:szCs w:val="26"/>
              </w:rPr>
            </w:pPr>
          </w:p>
          <w:p w14:paraId="3BFFF1E4" w14:textId="77777777" w:rsidR="00CB26B2" w:rsidRPr="00CB26B2" w:rsidRDefault="00CB26B2" w:rsidP="00F10184">
            <w:pPr>
              <w:spacing w:line="276" w:lineRule="auto"/>
              <w:ind w:left="-105" w:right="-41"/>
              <w:jc w:val="center"/>
              <w:rPr>
                <w:b/>
                <w:bCs/>
                <w:sz w:val="26"/>
                <w:szCs w:val="26"/>
              </w:rPr>
            </w:pPr>
            <w:r w:rsidRPr="00CB26B2">
              <w:rPr>
                <w:b/>
                <w:bCs/>
                <w:sz w:val="26"/>
                <w:szCs w:val="26"/>
              </w:rPr>
              <w:t>Hãng/ Nước chủ sở hữu</w:t>
            </w:r>
          </w:p>
        </w:tc>
        <w:tc>
          <w:tcPr>
            <w:tcW w:w="871" w:type="dxa"/>
            <w:vAlign w:val="center"/>
          </w:tcPr>
          <w:p w14:paraId="64EF9530" w14:textId="77777777" w:rsidR="00CB26B2" w:rsidRPr="00CB26B2" w:rsidRDefault="00CB26B2" w:rsidP="00F10184">
            <w:pPr>
              <w:spacing w:line="276" w:lineRule="auto"/>
              <w:ind w:left="-105" w:right="-41"/>
              <w:jc w:val="center"/>
              <w:rPr>
                <w:b/>
                <w:bCs/>
                <w:sz w:val="26"/>
                <w:szCs w:val="26"/>
              </w:rPr>
            </w:pPr>
          </w:p>
          <w:p w14:paraId="563B38B7" w14:textId="77777777" w:rsidR="00CB26B2" w:rsidRPr="00CB26B2" w:rsidRDefault="00CB26B2" w:rsidP="00F10184">
            <w:pPr>
              <w:spacing w:line="276" w:lineRule="auto"/>
              <w:ind w:left="-105" w:right="-41"/>
              <w:jc w:val="center"/>
              <w:rPr>
                <w:b/>
                <w:bCs/>
                <w:sz w:val="26"/>
                <w:szCs w:val="26"/>
              </w:rPr>
            </w:pPr>
          </w:p>
          <w:p w14:paraId="38FB9BFF" w14:textId="77777777" w:rsidR="00CB26B2" w:rsidRPr="00CB26B2" w:rsidRDefault="00CB26B2" w:rsidP="00F10184">
            <w:pPr>
              <w:spacing w:line="276" w:lineRule="auto"/>
              <w:ind w:left="-105" w:right="-41"/>
              <w:jc w:val="center"/>
              <w:rPr>
                <w:b/>
                <w:bCs/>
                <w:sz w:val="26"/>
                <w:szCs w:val="26"/>
              </w:rPr>
            </w:pPr>
          </w:p>
          <w:p w14:paraId="279C6579" w14:textId="77777777" w:rsidR="00CB26B2" w:rsidRPr="00CB26B2" w:rsidRDefault="00CB26B2" w:rsidP="00F10184">
            <w:pPr>
              <w:spacing w:line="276" w:lineRule="auto"/>
              <w:ind w:left="-105" w:right="-41"/>
              <w:jc w:val="center"/>
              <w:rPr>
                <w:b/>
                <w:bCs/>
                <w:sz w:val="26"/>
                <w:szCs w:val="26"/>
              </w:rPr>
            </w:pPr>
            <w:r w:rsidRPr="00CB26B2">
              <w:rPr>
                <w:b/>
                <w:bCs/>
                <w:sz w:val="26"/>
                <w:szCs w:val="26"/>
              </w:rPr>
              <w:t>Đơn vị tính</w:t>
            </w:r>
          </w:p>
        </w:tc>
        <w:tc>
          <w:tcPr>
            <w:tcW w:w="726" w:type="dxa"/>
            <w:vAlign w:val="center"/>
          </w:tcPr>
          <w:p w14:paraId="35ED92A6" w14:textId="77777777" w:rsidR="00CB26B2" w:rsidRPr="00CB26B2" w:rsidRDefault="00CB26B2" w:rsidP="00F10184">
            <w:pPr>
              <w:spacing w:line="276" w:lineRule="auto"/>
              <w:ind w:left="-105" w:right="-41"/>
              <w:jc w:val="center"/>
              <w:rPr>
                <w:b/>
                <w:bCs/>
                <w:sz w:val="26"/>
                <w:szCs w:val="26"/>
              </w:rPr>
            </w:pPr>
          </w:p>
          <w:p w14:paraId="761FACEA" w14:textId="77777777" w:rsidR="00CB26B2" w:rsidRPr="00CB26B2" w:rsidRDefault="00CB26B2" w:rsidP="00F10184">
            <w:pPr>
              <w:spacing w:line="276" w:lineRule="auto"/>
              <w:ind w:left="-105" w:right="-41"/>
              <w:jc w:val="center"/>
              <w:rPr>
                <w:b/>
                <w:bCs/>
                <w:sz w:val="26"/>
                <w:szCs w:val="26"/>
              </w:rPr>
            </w:pPr>
          </w:p>
          <w:p w14:paraId="38397934" w14:textId="77777777" w:rsidR="00CB26B2" w:rsidRPr="00CB26B2" w:rsidRDefault="00CB26B2" w:rsidP="00F10184">
            <w:pPr>
              <w:spacing w:line="276" w:lineRule="auto"/>
              <w:ind w:left="-105" w:right="-41"/>
              <w:jc w:val="center"/>
              <w:rPr>
                <w:b/>
                <w:bCs/>
                <w:sz w:val="26"/>
                <w:szCs w:val="26"/>
              </w:rPr>
            </w:pPr>
          </w:p>
          <w:p w14:paraId="0FEBA4D3" w14:textId="77777777" w:rsidR="00CB26B2" w:rsidRPr="00CB26B2" w:rsidRDefault="00CB26B2" w:rsidP="00F10184">
            <w:pPr>
              <w:spacing w:line="276" w:lineRule="auto"/>
              <w:ind w:left="-105" w:right="-41"/>
              <w:jc w:val="center"/>
              <w:rPr>
                <w:b/>
                <w:bCs/>
                <w:sz w:val="26"/>
                <w:szCs w:val="26"/>
              </w:rPr>
            </w:pPr>
            <w:r w:rsidRPr="00CB26B2">
              <w:rPr>
                <w:b/>
                <w:bCs/>
                <w:sz w:val="26"/>
                <w:szCs w:val="26"/>
              </w:rPr>
              <w:t>Khối lượng dự thầu</w:t>
            </w:r>
          </w:p>
        </w:tc>
        <w:tc>
          <w:tcPr>
            <w:tcW w:w="874" w:type="dxa"/>
            <w:vAlign w:val="center"/>
          </w:tcPr>
          <w:p w14:paraId="5E1ED977" w14:textId="77777777" w:rsidR="00CB26B2" w:rsidRPr="00CB26B2" w:rsidRDefault="00CB26B2" w:rsidP="00F10184">
            <w:pPr>
              <w:spacing w:line="276" w:lineRule="auto"/>
              <w:ind w:left="-105" w:right="-41"/>
              <w:jc w:val="center"/>
              <w:rPr>
                <w:b/>
                <w:bCs/>
                <w:sz w:val="26"/>
                <w:szCs w:val="26"/>
              </w:rPr>
            </w:pPr>
          </w:p>
          <w:p w14:paraId="60898784" w14:textId="77777777" w:rsidR="00CB26B2" w:rsidRPr="00CB26B2" w:rsidRDefault="00CB26B2" w:rsidP="00F10184">
            <w:pPr>
              <w:spacing w:line="276" w:lineRule="auto"/>
              <w:ind w:left="-105" w:right="-41"/>
              <w:jc w:val="center"/>
              <w:rPr>
                <w:b/>
                <w:bCs/>
                <w:sz w:val="26"/>
                <w:szCs w:val="26"/>
              </w:rPr>
            </w:pPr>
          </w:p>
          <w:p w14:paraId="1720B244" w14:textId="77777777" w:rsidR="00CB26B2" w:rsidRPr="00CB26B2" w:rsidRDefault="00CB26B2" w:rsidP="00F10184">
            <w:pPr>
              <w:spacing w:line="276" w:lineRule="auto"/>
              <w:ind w:left="-105" w:right="-41"/>
              <w:jc w:val="center"/>
              <w:rPr>
                <w:b/>
                <w:bCs/>
                <w:sz w:val="26"/>
                <w:szCs w:val="26"/>
              </w:rPr>
            </w:pPr>
          </w:p>
          <w:p w14:paraId="5C638FFA" w14:textId="77777777" w:rsidR="00CB26B2" w:rsidRPr="00CB26B2" w:rsidRDefault="00CB26B2" w:rsidP="00F10184">
            <w:pPr>
              <w:spacing w:line="276" w:lineRule="auto"/>
              <w:ind w:left="-105" w:right="-41"/>
              <w:jc w:val="center"/>
              <w:rPr>
                <w:b/>
                <w:bCs/>
                <w:sz w:val="26"/>
                <w:szCs w:val="26"/>
              </w:rPr>
            </w:pPr>
            <w:r w:rsidRPr="00CB26B2">
              <w:rPr>
                <w:b/>
                <w:bCs/>
                <w:sz w:val="26"/>
                <w:szCs w:val="26"/>
              </w:rPr>
              <w:t>Đặc tính thông số kỹ thuật</w:t>
            </w:r>
          </w:p>
        </w:tc>
        <w:tc>
          <w:tcPr>
            <w:tcW w:w="720" w:type="dxa"/>
            <w:vAlign w:val="center"/>
          </w:tcPr>
          <w:p w14:paraId="72974947" w14:textId="77777777" w:rsidR="00CB26B2" w:rsidRPr="00CB26B2" w:rsidRDefault="00CB26B2" w:rsidP="00F10184">
            <w:pPr>
              <w:spacing w:line="276" w:lineRule="auto"/>
              <w:ind w:left="-105" w:right="-41"/>
              <w:jc w:val="center"/>
              <w:rPr>
                <w:b/>
                <w:bCs/>
                <w:sz w:val="26"/>
                <w:szCs w:val="26"/>
              </w:rPr>
            </w:pPr>
          </w:p>
          <w:p w14:paraId="30E3125E" w14:textId="77777777" w:rsidR="00CB26B2" w:rsidRPr="00CB26B2" w:rsidRDefault="00CB26B2" w:rsidP="00F10184">
            <w:pPr>
              <w:spacing w:line="276" w:lineRule="auto"/>
              <w:ind w:left="-105" w:right="-41"/>
              <w:jc w:val="center"/>
              <w:rPr>
                <w:b/>
                <w:bCs/>
                <w:sz w:val="26"/>
                <w:szCs w:val="26"/>
              </w:rPr>
            </w:pPr>
          </w:p>
          <w:p w14:paraId="12447771" w14:textId="77777777" w:rsidR="00CB26B2" w:rsidRPr="00CB26B2" w:rsidRDefault="00CB26B2" w:rsidP="00F10184">
            <w:pPr>
              <w:spacing w:line="276" w:lineRule="auto"/>
              <w:ind w:left="-105" w:right="-41"/>
              <w:jc w:val="center"/>
              <w:rPr>
                <w:b/>
                <w:bCs/>
                <w:sz w:val="26"/>
                <w:szCs w:val="26"/>
              </w:rPr>
            </w:pPr>
          </w:p>
          <w:p w14:paraId="67A6F4FA" w14:textId="77777777" w:rsidR="00CB26B2" w:rsidRPr="00CB26B2" w:rsidRDefault="00CB26B2" w:rsidP="00F10184">
            <w:pPr>
              <w:spacing w:line="276" w:lineRule="auto"/>
              <w:ind w:left="-105" w:right="-41"/>
              <w:jc w:val="center"/>
              <w:rPr>
                <w:b/>
                <w:bCs/>
                <w:sz w:val="26"/>
                <w:szCs w:val="26"/>
              </w:rPr>
            </w:pPr>
            <w:r w:rsidRPr="00CB26B2">
              <w:rPr>
                <w:b/>
                <w:bCs/>
                <w:sz w:val="26"/>
                <w:szCs w:val="26"/>
              </w:rPr>
              <w:t>Đánh giá về kỹ thuật Đạt/ Không đạt</w:t>
            </w:r>
          </w:p>
        </w:tc>
      </w:tr>
      <w:tr w:rsidR="00CB26B2" w:rsidRPr="00CB26B2" w14:paraId="6197BFF0" w14:textId="77777777" w:rsidTr="00F10184">
        <w:trPr>
          <w:trHeight w:val="299"/>
        </w:trPr>
        <w:tc>
          <w:tcPr>
            <w:tcW w:w="630" w:type="dxa"/>
          </w:tcPr>
          <w:p w14:paraId="28359EA6" w14:textId="77777777" w:rsidR="00CB26B2" w:rsidRPr="00CB26B2" w:rsidRDefault="00CB26B2" w:rsidP="00F10184">
            <w:pPr>
              <w:spacing w:line="276" w:lineRule="auto"/>
              <w:jc w:val="center"/>
              <w:rPr>
                <w:b/>
                <w:bCs/>
                <w:sz w:val="26"/>
                <w:szCs w:val="26"/>
              </w:rPr>
            </w:pPr>
            <w:r w:rsidRPr="00CB26B2">
              <w:rPr>
                <w:b/>
                <w:bCs/>
                <w:sz w:val="26"/>
                <w:szCs w:val="26"/>
              </w:rPr>
              <w:t>(1)</w:t>
            </w:r>
          </w:p>
        </w:tc>
        <w:tc>
          <w:tcPr>
            <w:tcW w:w="871" w:type="dxa"/>
          </w:tcPr>
          <w:p w14:paraId="2C1416B4" w14:textId="77777777" w:rsidR="00CB26B2" w:rsidRPr="00CB26B2" w:rsidRDefault="00CB26B2" w:rsidP="00F10184">
            <w:pPr>
              <w:spacing w:line="276" w:lineRule="auto"/>
              <w:jc w:val="center"/>
              <w:rPr>
                <w:b/>
                <w:bCs/>
                <w:sz w:val="26"/>
                <w:szCs w:val="26"/>
              </w:rPr>
            </w:pPr>
            <w:r w:rsidRPr="00CB26B2">
              <w:rPr>
                <w:b/>
                <w:bCs/>
                <w:sz w:val="26"/>
                <w:szCs w:val="26"/>
              </w:rPr>
              <w:t>(2)</w:t>
            </w:r>
          </w:p>
        </w:tc>
        <w:tc>
          <w:tcPr>
            <w:tcW w:w="725" w:type="dxa"/>
          </w:tcPr>
          <w:p w14:paraId="19B7CD69" w14:textId="77777777" w:rsidR="00CB26B2" w:rsidRPr="00CB26B2" w:rsidRDefault="00CB26B2" w:rsidP="00F10184">
            <w:pPr>
              <w:spacing w:line="276" w:lineRule="auto"/>
              <w:jc w:val="center"/>
              <w:rPr>
                <w:b/>
                <w:bCs/>
                <w:sz w:val="26"/>
                <w:szCs w:val="26"/>
              </w:rPr>
            </w:pPr>
            <w:r w:rsidRPr="00CB26B2">
              <w:rPr>
                <w:b/>
                <w:bCs/>
                <w:sz w:val="26"/>
                <w:szCs w:val="26"/>
              </w:rPr>
              <w:t>(3)</w:t>
            </w:r>
          </w:p>
        </w:tc>
        <w:tc>
          <w:tcPr>
            <w:tcW w:w="726" w:type="dxa"/>
          </w:tcPr>
          <w:p w14:paraId="3B4FFCB4" w14:textId="77777777" w:rsidR="00CB26B2" w:rsidRPr="00CB26B2" w:rsidRDefault="00CB26B2" w:rsidP="00F10184">
            <w:pPr>
              <w:spacing w:line="276" w:lineRule="auto"/>
              <w:jc w:val="center"/>
              <w:rPr>
                <w:b/>
                <w:bCs/>
                <w:sz w:val="26"/>
                <w:szCs w:val="26"/>
              </w:rPr>
            </w:pPr>
            <w:r w:rsidRPr="00CB26B2">
              <w:rPr>
                <w:b/>
                <w:bCs/>
                <w:sz w:val="26"/>
                <w:szCs w:val="26"/>
              </w:rPr>
              <w:t>(4)</w:t>
            </w:r>
          </w:p>
        </w:tc>
        <w:tc>
          <w:tcPr>
            <w:tcW w:w="871" w:type="dxa"/>
          </w:tcPr>
          <w:p w14:paraId="069E4AC7" w14:textId="77777777" w:rsidR="00CB26B2" w:rsidRPr="00CB26B2" w:rsidRDefault="00CB26B2" w:rsidP="00F10184">
            <w:pPr>
              <w:spacing w:line="276" w:lineRule="auto"/>
              <w:jc w:val="center"/>
              <w:rPr>
                <w:b/>
                <w:bCs/>
                <w:sz w:val="26"/>
                <w:szCs w:val="26"/>
              </w:rPr>
            </w:pPr>
            <w:r w:rsidRPr="00CB26B2">
              <w:rPr>
                <w:b/>
                <w:bCs/>
                <w:sz w:val="26"/>
                <w:szCs w:val="26"/>
              </w:rPr>
              <w:t>(5)</w:t>
            </w:r>
          </w:p>
        </w:tc>
        <w:tc>
          <w:tcPr>
            <w:tcW w:w="727" w:type="dxa"/>
          </w:tcPr>
          <w:p w14:paraId="01A76F6A" w14:textId="77777777" w:rsidR="00CB26B2" w:rsidRPr="00CB26B2" w:rsidRDefault="00CB26B2" w:rsidP="00F10184">
            <w:pPr>
              <w:spacing w:line="276" w:lineRule="auto"/>
              <w:jc w:val="center"/>
              <w:rPr>
                <w:b/>
                <w:bCs/>
                <w:sz w:val="26"/>
                <w:szCs w:val="26"/>
              </w:rPr>
            </w:pPr>
            <w:r w:rsidRPr="00CB26B2">
              <w:rPr>
                <w:b/>
                <w:bCs/>
                <w:sz w:val="26"/>
                <w:szCs w:val="26"/>
              </w:rPr>
              <w:t>(6)</w:t>
            </w:r>
          </w:p>
        </w:tc>
        <w:tc>
          <w:tcPr>
            <w:tcW w:w="871" w:type="dxa"/>
          </w:tcPr>
          <w:p w14:paraId="0F69F50D" w14:textId="77777777" w:rsidR="00CB26B2" w:rsidRPr="00CB26B2" w:rsidRDefault="00CB26B2" w:rsidP="00F10184">
            <w:pPr>
              <w:spacing w:line="276" w:lineRule="auto"/>
              <w:jc w:val="center"/>
              <w:rPr>
                <w:b/>
                <w:bCs/>
                <w:sz w:val="26"/>
                <w:szCs w:val="26"/>
              </w:rPr>
            </w:pPr>
            <w:r w:rsidRPr="00CB26B2">
              <w:rPr>
                <w:b/>
                <w:bCs/>
                <w:sz w:val="26"/>
                <w:szCs w:val="26"/>
              </w:rPr>
              <w:t>(7)</w:t>
            </w:r>
          </w:p>
        </w:tc>
        <w:tc>
          <w:tcPr>
            <w:tcW w:w="726" w:type="dxa"/>
          </w:tcPr>
          <w:p w14:paraId="6EEAA865" w14:textId="77777777" w:rsidR="00CB26B2" w:rsidRPr="00CB26B2" w:rsidRDefault="00CB26B2" w:rsidP="00F10184">
            <w:pPr>
              <w:spacing w:line="276" w:lineRule="auto"/>
              <w:jc w:val="center"/>
              <w:rPr>
                <w:b/>
                <w:bCs/>
                <w:sz w:val="26"/>
                <w:szCs w:val="26"/>
              </w:rPr>
            </w:pPr>
            <w:r w:rsidRPr="00CB26B2">
              <w:rPr>
                <w:b/>
                <w:bCs/>
                <w:sz w:val="26"/>
                <w:szCs w:val="26"/>
              </w:rPr>
              <w:t>(8)</w:t>
            </w:r>
          </w:p>
        </w:tc>
        <w:tc>
          <w:tcPr>
            <w:tcW w:w="1016" w:type="dxa"/>
          </w:tcPr>
          <w:p w14:paraId="3B4B2AA2" w14:textId="77777777" w:rsidR="00CB26B2" w:rsidRPr="00CB26B2" w:rsidRDefault="00CB26B2" w:rsidP="00F10184">
            <w:pPr>
              <w:spacing w:line="276" w:lineRule="auto"/>
              <w:jc w:val="center"/>
              <w:rPr>
                <w:b/>
                <w:bCs/>
                <w:sz w:val="26"/>
                <w:szCs w:val="26"/>
              </w:rPr>
            </w:pPr>
            <w:r w:rsidRPr="00CB26B2">
              <w:rPr>
                <w:b/>
                <w:bCs/>
                <w:sz w:val="26"/>
                <w:szCs w:val="26"/>
              </w:rPr>
              <w:t>(9)</w:t>
            </w:r>
          </w:p>
        </w:tc>
        <w:tc>
          <w:tcPr>
            <w:tcW w:w="726" w:type="dxa"/>
          </w:tcPr>
          <w:p w14:paraId="4DAF555A" w14:textId="77777777" w:rsidR="00CB26B2" w:rsidRPr="00CB26B2" w:rsidRDefault="00CB26B2" w:rsidP="00F10184">
            <w:pPr>
              <w:spacing w:line="276" w:lineRule="auto"/>
              <w:jc w:val="center"/>
              <w:rPr>
                <w:b/>
                <w:bCs/>
                <w:sz w:val="26"/>
                <w:szCs w:val="26"/>
              </w:rPr>
            </w:pPr>
            <w:r w:rsidRPr="00CB26B2">
              <w:rPr>
                <w:b/>
                <w:bCs/>
                <w:sz w:val="26"/>
                <w:szCs w:val="26"/>
              </w:rPr>
              <w:t>(10)</w:t>
            </w:r>
          </w:p>
        </w:tc>
        <w:tc>
          <w:tcPr>
            <w:tcW w:w="870" w:type="dxa"/>
          </w:tcPr>
          <w:p w14:paraId="5A6A48FE" w14:textId="77777777" w:rsidR="00CB26B2" w:rsidRPr="00CB26B2" w:rsidRDefault="00CB26B2" w:rsidP="00F10184">
            <w:pPr>
              <w:spacing w:line="276" w:lineRule="auto"/>
              <w:jc w:val="center"/>
              <w:rPr>
                <w:b/>
                <w:bCs/>
                <w:sz w:val="26"/>
                <w:szCs w:val="26"/>
              </w:rPr>
            </w:pPr>
            <w:r w:rsidRPr="00CB26B2">
              <w:rPr>
                <w:b/>
                <w:bCs/>
                <w:sz w:val="26"/>
                <w:szCs w:val="26"/>
              </w:rPr>
              <w:t>(11)</w:t>
            </w:r>
          </w:p>
        </w:tc>
        <w:tc>
          <w:tcPr>
            <w:tcW w:w="787" w:type="dxa"/>
          </w:tcPr>
          <w:p w14:paraId="3A7F164F" w14:textId="77777777" w:rsidR="00CB26B2" w:rsidRPr="00CB26B2" w:rsidRDefault="00CB26B2" w:rsidP="00F10184">
            <w:pPr>
              <w:spacing w:line="276" w:lineRule="auto"/>
              <w:jc w:val="center"/>
              <w:rPr>
                <w:b/>
                <w:bCs/>
                <w:sz w:val="26"/>
                <w:szCs w:val="26"/>
              </w:rPr>
            </w:pPr>
            <w:r w:rsidRPr="00CB26B2">
              <w:rPr>
                <w:b/>
                <w:bCs/>
                <w:sz w:val="26"/>
                <w:szCs w:val="26"/>
              </w:rPr>
              <w:t>(12)</w:t>
            </w:r>
          </w:p>
        </w:tc>
        <w:tc>
          <w:tcPr>
            <w:tcW w:w="726" w:type="dxa"/>
          </w:tcPr>
          <w:p w14:paraId="3887ACF7" w14:textId="77777777" w:rsidR="00CB26B2" w:rsidRPr="00CB26B2" w:rsidRDefault="00CB26B2" w:rsidP="00F10184">
            <w:pPr>
              <w:spacing w:line="276" w:lineRule="auto"/>
              <w:jc w:val="center"/>
              <w:rPr>
                <w:b/>
                <w:bCs/>
                <w:sz w:val="26"/>
                <w:szCs w:val="26"/>
              </w:rPr>
            </w:pPr>
            <w:r w:rsidRPr="00CB26B2">
              <w:rPr>
                <w:b/>
                <w:bCs/>
                <w:sz w:val="26"/>
                <w:szCs w:val="26"/>
              </w:rPr>
              <w:t>(13)</w:t>
            </w:r>
          </w:p>
        </w:tc>
        <w:tc>
          <w:tcPr>
            <w:tcW w:w="785" w:type="dxa"/>
          </w:tcPr>
          <w:p w14:paraId="48035885" w14:textId="77777777" w:rsidR="00CB26B2" w:rsidRPr="00CB26B2" w:rsidRDefault="00CB26B2" w:rsidP="00F10184">
            <w:pPr>
              <w:spacing w:line="276" w:lineRule="auto"/>
              <w:jc w:val="center"/>
              <w:rPr>
                <w:b/>
                <w:bCs/>
                <w:sz w:val="26"/>
                <w:szCs w:val="26"/>
              </w:rPr>
            </w:pPr>
            <w:r w:rsidRPr="00CB26B2">
              <w:rPr>
                <w:b/>
                <w:bCs/>
                <w:sz w:val="26"/>
                <w:szCs w:val="26"/>
              </w:rPr>
              <w:t>(14)</w:t>
            </w:r>
          </w:p>
        </w:tc>
        <w:tc>
          <w:tcPr>
            <w:tcW w:w="726" w:type="dxa"/>
          </w:tcPr>
          <w:p w14:paraId="4367C986" w14:textId="77777777" w:rsidR="00CB26B2" w:rsidRPr="00CB26B2" w:rsidRDefault="00CB26B2" w:rsidP="00F10184">
            <w:pPr>
              <w:spacing w:line="276" w:lineRule="auto"/>
              <w:jc w:val="center"/>
              <w:rPr>
                <w:b/>
                <w:bCs/>
                <w:sz w:val="26"/>
                <w:szCs w:val="26"/>
              </w:rPr>
            </w:pPr>
            <w:r w:rsidRPr="00CB26B2">
              <w:rPr>
                <w:b/>
                <w:bCs/>
                <w:sz w:val="26"/>
                <w:szCs w:val="26"/>
              </w:rPr>
              <w:t>(15)</w:t>
            </w:r>
          </w:p>
        </w:tc>
        <w:tc>
          <w:tcPr>
            <w:tcW w:w="725" w:type="dxa"/>
          </w:tcPr>
          <w:p w14:paraId="7FAAE009" w14:textId="77777777" w:rsidR="00CB26B2" w:rsidRPr="00CB26B2" w:rsidRDefault="00CB26B2" w:rsidP="00F10184">
            <w:pPr>
              <w:spacing w:line="276" w:lineRule="auto"/>
              <w:jc w:val="center"/>
              <w:rPr>
                <w:b/>
                <w:bCs/>
                <w:sz w:val="26"/>
                <w:szCs w:val="26"/>
              </w:rPr>
            </w:pPr>
            <w:r w:rsidRPr="00CB26B2">
              <w:rPr>
                <w:b/>
                <w:bCs/>
                <w:sz w:val="26"/>
                <w:szCs w:val="26"/>
              </w:rPr>
              <w:t>(16)</w:t>
            </w:r>
          </w:p>
        </w:tc>
        <w:tc>
          <w:tcPr>
            <w:tcW w:w="871" w:type="dxa"/>
          </w:tcPr>
          <w:p w14:paraId="5961A89D" w14:textId="77777777" w:rsidR="00CB26B2" w:rsidRPr="00CB26B2" w:rsidRDefault="00CB26B2" w:rsidP="00F10184">
            <w:pPr>
              <w:spacing w:line="276" w:lineRule="auto"/>
              <w:jc w:val="center"/>
              <w:rPr>
                <w:b/>
                <w:bCs/>
                <w:sz w:val="26"/>
                <w:szCs w:val="26"/>
              </w:rPr>
            </w:pPr>
            <w:r w:rsidRPr="00CB26B2">
              <w:rPr>
                <w:b/>
                <w:bCs/>
                <w:sz w:val="26"/>
                <w:szCs w:val="26"/>
              </w:rPr>
              <w:t>(17)</w:t>
            </w:r>
          </w:p>
        </w:tc>
        <w:tc>
          <w:tcPr>
            <w:tcW w:w="726" w:type="dxa"/>
          </w:tcPr>
          <w:p w14:paraId="128E65E1" w14:textId="77777777" w:rsidR="00CB26B2" w:rsidRPr="00CB26B2" w:rsidRDefault="00CB26B2" w:rsidP="00F10184">
            <w:pPr>
              <w:spacing w:line="276" w:lineRule="auto"/>
              <w:jc w:val="center"/>
              <w:rPr>
                <w:b/>
                <w:bCs/>
                <w:sz w:val="26"/>
                <w:szCs w:val="26"/>
              </w:rPr>
            </w:pPr>
            <w:r w:rsidRPr="00CB26B2">
              <w:rPr>
                <w:b/>
                <w:bCs/>
                <w:sz w:val="26"/>
                <w:szCs w:val="26"/>
              </w:rPr>
              <w:t>(18)</w:t>
            </w:r>
          </w:p>
        </w:tc>
        <w:tc>
          <w:tcPr>
            <w:tcW w:w="874" w:type="dxa"/>
          </w:tcPr>
          <w:p w14:paraId="7BE73037" w14:textId="77777777" w:rsidR="00CB26B2" w:rsidRPr="00CB26B2" w:rsidRDefault="00CB26B2" w:rsidP="00F10184">
            <w:pPr>
              <w:spacing w:line="276" w:lineRule="auto"/>
              <w:jc w:val="center"/>
              <w:rPr>
                <w:b/>
                <w:bCs/>
                <w:sz w:val="26"/>
                <w:szCs w:val="26"/>
              </w:rPr>
            </w:pPr>
            <w:r w:rsidRPr="00CB26B2">
              <w:rPr>
                <w:b/>
                <w:bCs/>
                <w:sz w:val="26"/>
                <w:szCs w:val="26"/>
              </w:rPr>
              <w:t>(19)</w:t>
            </w:r>
          </w:p>
        </w:tc>
        <w:tc>
          <w:tcPr>
            <w:tcW w:w="720" w:type="dxa"/>
          </w:tcPr>
          <w:p w14:paraId="6F31B91F" w14:textId="77777777" w:rsidR="00CB26B2" w:rsidRPr="00CB26B2" w:rsidRDefault="00CB26B2" w:rsidP="00F10184">
            <w:pPr>
              <w:spacing w:line="276" w:lineRule="auto"/>
              <w:jc w:val="center"/>
              <w:rPr>
                <w:b/>
                <w:bCs/>
                <w:sz w:val="26"/>
                <w:szCs w:val="26"/>
              </w:rPr>
            </w:pPr>
            <w:r w:rsidRPr="00CB26B2">
              <w:rPr>
                <w:b/>
                <w:bCs/>
                <w:sz w:val="26"/>
                <w:szCs w:val="26"/>
              </w:rPr>
              <w:t>(20)</w:t>
            </w:r>
          </w:p>
        </w:tc>
      </w:tr>
      <w:tr w:rsidR="00CB26B2" w:rsidRPr="00CB26B2" w14:paraId="0ACA19E7" w14:textId="77777777" w:rsidTr="00F10184">
        <w:trPr>
          <w:trHeight w:val="320"/>
        </w:trPr>
        <w:tc>
          <w:tcPr>
            <w:tcW w:w="630" w:type="dxa"/>
          </w:tcPr>
          <w:p w14:paraId="15AB46C3" w14:textId="77777777" w:rsidR="00CB26B2" w:rsidRPr="00CB26B2" w:rsidRDefault="00CB26B2" w:rsidP="00F10184">
            <w:pPr>
              <w:spacing w:line="276" w:lineRule="auto"/>
              <w:jc w:val="center"/>
              <w:rPr>
                <w:b/>
                <w:bCs/>
                <w:sz w:val="26"/>
                <w:szCs w:val="26"/>
              </w:rPr>
            </w:pPr>
            <w:r w:rsidRPr="00CB26B2">
              <w:rPr>
                <w:b/>
                <w:bCs/>
                <w:sz w:val="26"/>
                <w:szCs w:val="26"/>
              </w:rPr>
              <w:t>....</w:t>
            </w:r>
          </w:p>
        </w:tc>
        <w:tc>
          <w:tcPr>
            <w:tcW w:w="871" w:type="dxa"/>
          </w:tcPr>
          <w:p w14:paraId="66C661E2" w14:textId="77777777" w:rsidR="00CB26B2" w:rsidRPr="00CB26B2" w:rsidRDefault="00CB26B2" w:rsidP="00F10184">
            <w:pPr>
              <w:spacing w:line="276" w:lineRule="auto"/>
              <w:jc w:val="center"/>
              <w:rPr>
                <w:b/>
                <w:bCs/>
                <w:sz w:val="26"/>
                <w:szCs w:val="26"/>
              </w:rPr>
            </w:pPr>
          </w:p>
        </w:tc>
        <w:tc>
          <w:tcPr>
            <w:tcW w:w="725" w:type="dxa"/>
          </w:tcPr>
          <w:p w14:paraId="63A5FA09" w14:textId="77777777" w:rsidR="00CB26B2" w:rsidRPr="00CB26B2" w:rsidRDefault="00CB26B2" w:rsidP="00F10184">
            <w:pPr>
              <w:spacing w:line="276" w:lineRule="auto"/>
              <w:jc w:val="center"/>
              <w:rPr>
                <w:b/>
                <w:bCs/>
                <w:sz w:val="26"/>
                <w:szCs w:val="26"/>
              </w:rPr>
            </w:pPr>
          </w:p>
        </w:tc>
        <w:tc>
          <w:tcPr>
            <w:tcW w:w="726" w:type="dxa"/>
          </w:tcPr>
          <w:p w14:paraId="71760A6D" w14:textId="77777777" w:rsidR="00CB26B2" w:rsidRPr="00CB26B2" w:rsidRDefault="00CB26B2" w:rsidP="00F10184">
            <w:pPr>
              <w:spacing w:line="276" w:lineRule="auto"/>
              <w:jc w:val="center"/>
              <w:rPr>
                <w:b/>
                <w:bCs/>
                <w:sz w:val="26"/>
                <w:szCs w:val="26"/>
              </w:rPr>
            </w:pPr>
          </w:p>
        </w:tc>
        <w:tc>
          <w:tcPr>
            <w:tcW w:w="871" w:type="dxa"/>
          </w:tcPr>
          <w:p w14:paraId="587AEBA9" w14:textId="77777777" w:rsidR="00CB26B2" w:rsidRPr="00CB26B2" w:rsidRDefault="00CB26B2" w:rsidP="00F10184">
            <w:pPr>
              <w:spacing w:line="276" w:lineRule="auto"/>
              <w:jc w:val="center"/>
              <w:rPr>
                <w:b/>
                <w:bCs/>
                <w:sz w:val="26"/>
                <w:szCs w:val="26"/>
              </w:rPr>
            </w:pPr>
          </w:p>
        </w:tc>
        <w:tc>
          <w:tcPr>
            <w:tcW w:w="727" w:type="dxa"/>
          </w:tcPr>
          <w:p w14:paraId="7EAF9A2B" w14:textId="77777777" w:rsidR="00CB26B2" w:rsidRPr="00CB26B2" w:rsidRDefault="00CB26B2" w:rsidP="00F10184">
            <w:pPr>
              <w:spacing w:line="276" w:lineRule="auto"/>
              <w:jc w:val="center"/>
              <w:rPr>
                <w:b/>
                <w:bCs/>
                <w:sz w:val="26"/>
                <w:szCs w:val="26"/>
              </w:rPr>
            </w:pPr>
          </w:p>
        </w:tc>
        <w:tc>
          <w:tcPr>
            <w:tcW w:w="871" w:type="dxa"/>
          </w:tcPr>
          <w:p w14:paraId="31BA536A" w14:textId="77777777" w:rsidR="00CB26B2" w:rsidRPr="00CB26B2" w:rsidRDefault="00CB26B2" w:rsidP="00F10184">
            <w:pPr>
              <w:spacing w:line="276" w:lineRule="auto"/>
              <w:jc w:val="center"/>
              <w:rPr>
                <w:b/>
                <w:bCs/>
                <w:sz w:val="26"/>
                <w:szCs w:val="26"/>
              </w:rPr>
            </w:pPr>
          </w:p>
        </w:tc>
        <w:tc>
          <w:tcPr>
            <w:tcW w:w="726" w:type="dxa"/>
          </w:tcPr>
          <w:p w14:paraId="541EE3A5" w14:textId="77777777" w:rsidR="00CB26B2" w:rsidRPr="00CB26B2" w:rsidRDefault="00CB26B2" w:rsidP="00F10184">
            <w:pPr>
              <w:spacing w:line="276" w:lineRule="auto"/>
              <w:jc w:val="center"/>
              <w:rPr>
                <w:b/>
                <w:bCs/>
                <w:sz w:val="26"/>
                <w:szCs w:val="26"/>
              </w:rPr>
            </w:pPr>
          </w:p>
        </w:tc>
        <w:tc>
          <w:tcPr>
            <w:tcW w:w="1016" w:type="dxa"/>
          </w:tcPr>
          <w:p w14:paraId="40101E7D" w14:textId="77777777" w:rsidR="00CB26B2" w:rsidRPr="00CB26B2" w:rsidRDefault="00CB26B2" w:rsidP="00F10184">
            <w:pPr>
              <w:spacing w:line="276" w:lineRule="auto"/>
              <w:jc w:val="center"/>
              <w:rPr>
                <w:b/>
                <w:bCs/>
                <w:sz w:val="26"/>
                <w:szCs w:val="26"/>
              </w:rPr>
            </w:pPr>
          </w:p>
        </w:tc>
        <w:tc>
          <w:tcPr>
            <w:tcW w:w="726" w:type="dxa"/>
          </w:tcPr>
          <w:p w14:paraId="456E6A51" w14:textId="77777777" w:rsidR="00CB26B2" w:rsidRPr="00CB26B2" w:rsidRDefault="00CB26B2" w:rsidP="00F10184">
            <w:pPr>
              <w:spacing w:line="276" w:lineRule="auto"/>
              <w:jc w:val="center"/>
              <w:rPr>
                <w:b/>
                <w:bCs/>
                <w:sz w:val="26"/>
                <w:szCs w:val="26"/>
              </w:rPr>
            </w:pPr>
          </w:p>
        </w:tc>
        <w:tc>
          <w:tcPr>
            <w:tcW w:w="870" w:type="dxa"/>
          </w:tcPr>
          <w:p w14:paraId="37F17526" w14:textId="77777777" w:rsidR="00CB26B2" w:rsidRPr="00CB26B2" w:rsidRDefault="00CB26B2" w:rsidP="00F10184">
            <w:pPr>
              <w:spacing w:line="276" w:lineRule="auto"/>
              <w:jc w:val="center"/>
              <w:rPr>
                <w:b/>
                <w:bCs/>
                <w:sz w:val="26"/>
                <w:szCs w:val="26"/>
              </w:rPr>
            </w:pPr>
          </w:p>
        </w:tc>
        <w:tc>
          <w:tcPr>
            <w:tcW w:w="787" w:type="dxa"/>
          </w:tcPr>
          <w:p w14:paraId="452816D5" w14:textId="77777777" w:rsidR="00CB26B2" w:rsidRPr="00CB26B2" w:rsidRDefault="00CB26B2" w:rsidP="00F10184">
            <w:pPr>
              <w:spacing w:line="276" w:lineRule="auto"/>
              <w:jc w:val="center"/>
              <w:rPr>
                <w:b/>
                <w:bCs/>
                <w:sz w:val="26"/>
                <w:szCs w:val="26"/>
              </w:rPr>
            </w:pPr>
          </w:p>
        </w:tc>
        <w:tc>
          <w:tcPr>
            <w:tcW w:w="726" w:type="dxa"/>
          </w:tcPr>
          <w:p w14:paraId="2E00D607" w14:textId="77777777" w:rsidR="00CB26B2" w:rsidRPr="00CB26B2" w:rsidRDefault="00CB26B2" w:rsidP="00F10184">
            <w:pPr>
              <w:spacing w:line="276" w:lineRule="auto"/>
              <w:jc w:val="center"/>
              <w:rPr>
                <w:b/>
                <w:bCs/>
                <w:sz w:val="26"/>
                <w:szCs w:val="26"/>
              </w:rPr>
            </w:pPr>
          </w:p>
        </w:tc>
        <w:tc>
          <w:tcPr>
            <w:tcW w:w="785" w:type="dxa"/>
          </w:tcPr>
          <w:p w14:paraId="711F8C8D" w14:textId="77777777" w:rsidR="00CB26B2" w:rsidRPr="00CB26B2" w:rsidRDefault="00CB26B2" w:rsidP="00F10184">
            <w:pPr>
              <w:spacing w:line="276" w:lineRule="auto"/>
              <w:jc w:val="center"/>
              <w:rPr>
                <w:b/>
                <w:bCs/>
                <w:sz w:val="26"/>
                <w:szCs w:val="26"/>
              </w:rPr>
            </w:pPr>
          </w:p>
        </w:tc>
        <w:tc>
          <w:tcPr>
            <w:tcW w:w="726" w:type="dxa"/>
          </w:tcPr>
          <w:p w14:paraId="625FFE66" w14:textId="77777777" w:rsidR="00CB26B2" w:rsidRPr="00CB26B2" w:rsidRDefault="00CB26B2" w:rsidP="00F10184">
            <w:pPr>
              <w:spacing w:line="276" w:lineRule="auto"/>
              <w:jc w:val="center"/>
              <w:rPr>
                <w:b/>
                <w:bCs/>
                <w:sz w:val="26"/>
                <w:szCs w:val="26"/>
              </w:rPr>
            </w:pPr>
          </w:p>
        </w:tc>
        <w:tc>
          <w:tcPr>
            <w:tcW w:w="725" w:type="dxa"/>
          </w:tcPr>
          <w:p w14:paraId="17AF6E97" w14:textId="77777777" w:rsidR="00CB26B2" w:rsidRPr="00CB26B2" w:rsidRDefault="00CB26B2" w:rsidP="00F10184">
            <w:pPr>
              <w:spacing w:line="276" w:lineRule="auto"/>
              <w:jc w:val="center"/>
              <w:rPr>
                <w:b/>
                <w:bCs/>
                <w:sz w:val="26"/>
                <w:szCs w:val="26"/>
              </w:rPr>
            </w:pPr>
          </w:p>
        </w:tc>
        <w:tc>
          <w:tcPr>
            <w:tcW w:w="871" w:type="dxa"/>
          </w:tcPr>
          <w:p w14:paraId="40326109" w14:textId="77777777" w:rsidR="00CB26B2" w:rsidRPr="00CB26B2" w:rsidRDefault="00CB26B2" w:rsidP="00F10184">
            <w:pPr>
              <w:spacing w:line="276" w:lineRule="auto"/>
              <w:jc w:val="center"/>
              <w:rPr>
                <w:b/>
                <w:bCs/>
                <w:sz w:val="26"/>
                <w:szCs w:val="26"/>
              </w:rPr>
            </w:pPr>
          </w:p>
        </w:tc>
        <w:tc>
          <w:tcPr>
            <w:tcW w:w="726" w:type="dxa"/>
          </w:tcPr>
          <w:p w14:paraId="67C1695D" w14:textId="77777777" w:rsidR="00CB26B2" w:rsidRPr="00CB26B2" w:rsidRDefault="00CB26B2" w:rsidP="00F10184">
            <w:pPr>
              <w:spacing w:line="276" w:lineRule="auto"/>
              <w:jc w:val="center"/>
              <w:rPr>
                <w:b/>
                <w:bCs/>
                <w:sz w:val="26"/>
                <w:szCs w:val="26"/>
              </w:rPr>
            </w:pPr>
          </w:p>
        </w:tc>
        <w:tc>
          <w:tcPr>
            <w:tcW w:w="874" w:type="dxa"/>
          </w:tcPr>
          <w:p w14:paraId="01F3FF7D" w14:textId="77777777" w:rsidR="00CB26B2" w:rsidRPr="00CB26B2" w:rsidRDefault="00CB26B2" w:rsidP="00F10184">
            <w:pPr>
              <w:spacing w:line="276" w:lineRule="auto"/>
              <w:jc w:val="center"/>
              <w:rPr>
                <w:b/>
                <w:bCs/>
                <w:sz w:val="26"/>
                <w:szCs w:val="26"/>
              </w:rPr>
            </w:pPr>
          </w:p>
        </w:tc>
        <w:tc>
          <w:tcPr>
            <w:tcW w:w="720" w:type="dxa"/>
          </w:tcPr>
          <w:p w14:paraId="089D04B4" w14:textId="77777777" w:rsidR="00CB26B2" w:rsidRPr="00CB26B2" w:rsidRDefault="00CB26B2" w:rsidP="00F10184">
            <w:pPr>
              <w:spacing w:line="276" w:lineRule="auto"/>
              <w:jc w:val="center"/>
              <w:rPr>
                <w:b/>
                <w:bCs/>
                <w:sz w:val="26"/>
                <w:szCs w:val="26"/>
              </w:rPr>
            </w:pPr>
          </w:p>
        </w:tc>
      </w:tr>
    </w:tbl>
    <w:p w14:paraId="06507958" w14:textId="77777777" w:rsidR="00CB26B2" w:rsidRPr="00CB26B2" w:rsidRDefault="00CB26B2" w:rsidP="00CB26B2">
      <w:pPr>
        <w:spacing w:after="200" w:line="276" w:lineRule="auto"/>
        <w:ind w:firstLine="709"/>
        <w:jc w:val="left"/>
        <w:rPr>
          <w:sz w:val="26"/>
          <w:szCs w:val="26"/>
        </w:rPr>
      </w:pPr>
      <w:r w:rsidRPr="00CB26B2">
        <w:rPr>
          <w:sz w:val="26"/>
          <w:szCs w:val="26"/>
        </w:rPr>
        <w:t>Chúng tôi cam đoan những nội dung kê khai trên là đúng sự thật. Chúng tôi xin hoàn toàn chịu trách nhiệm về thông tin đã kê khai.</w:t>
      </w:r>
    </w:p>
    <w:p w14:paraId="584BE5A9" w14:textId="77777777" w:rsidR="00CB26B2" w:rsidRPr="00CB26B2" w:rsidRDefault="00CB26B2" w:rsidP="00CB26B2">
      <w:pPr>
        <w:spacing w:after="200" w:line="276" w:lineRule="auto"/>
        <w:ind w:firstLine="8505"/>
        <w:jc w:val="center"/>
        <w:rPr>
          <w:sz w:val="26"/>
          <w:szCs w:val="26"/>
        </w:rPr>
      </w:pPr>
      <w:r w:rsidRPr="00CB26B2">
        <w:rPr>
          <w:sz w:val="26"/>
          <w:szCs w:val="26"/>
        </w:rPr>
        <w:t>...................., ngày.........tháng..........năm 2026</w:t>
      </w:r>
    </w:p>
    <w:p w14:paraId="72B65C46" w14:textId="77777777" w:rsidR="00CB26B2" w:rsidRPr="00CB26B2" w:rsidRDefault="00CB26B2" w:rsidP="00CB26B2">
      <w:pPr>
        <w:spacing w:after="200" w:line="276" w:lineRule="auto"/>
        <w:ind w:firstLine="8505"/>
        <w:jc w:val="center"/>
        <w:rPr>
          <w:b/>
          <w:bCs/>
          <w:sz w:val="26"/>
          <w:szCs w:val="26"/>
        </w:rPr>
      </w:pPr>
      <w:r w:rsidRPr="00CB26B2">
        <w:rPr>
          <w:b/>
          <w:bCs/>
          <w:sz w:val="26"/>
          <w:szCs w:val="26"/>
        </w:rPr>
        <w:t>Đại diện hợp pháp của nhà thầu</w:t>
      </w:r>
    </w:p>
    <w:p w14:paraId="58FEDCD1" w14:textId="77777777" w:rsidR="00CB26B2" w:rsidRPr="00CB26B2" w:rsidRDefault="00CB26B2" w:rsidP="00CB26B2">
      <w:pPr>
        <w:spacing w:after="200" w:line="276" w:lineRule="auto"/>
        <w:ind w:firstLine="8505"/>
        <w:jc w:val="center"/>
        <w:rPr>
          <w:i/>
          <w:iCs/>
          <w:sz w:val="26"/>
          <w:szCs w:val="26"/>
        </w:rPr>
      </w:pPr>
      <w:r w:rsidRPr="00CB26B2">
        <w:rPr>
          <w:i/>
          <w:iCs/>
          <w:sz w:val="26"/>
          <w:szCs w:val="26"/>
        </w:rPr>
        <w:t xml:space="preserve">[Ghi tên, chức danh, ký tên và </w:t>
      </w:r>
      <w:r w:rsidRPr="00CB26B2">
        <w:rPr>
          <w:sz w:val="26"/>
          <w:szCs w:val="26"/>
        </w:rPr>
        <w:t>đóng</w:t>
      </w:r>
      <w:r w:rsidRPr="00CB26B2">
        <w:rPr>
          <w:i/>
          <w:iCs/>
          <w:sz w:val="26"/>
          <w:szCs w:val="26"/>
        </w:rPr>
        <w:t xml:space="preserve"> dấu]</w:t>
      </w:r>
    </w:p>
    <w:p w14:paraId="446A33A3" w14:textId="77777777" w:rsidR="00CB26B2" w:rsidRPr="00CB26B2" w:rsidRDefault="00CB26B2" w:rsidP="00CB26B2">
      <w:pPr>
        <w:spacing w:after="200" w:line="276" w:lineRule="auto"/>
        <w:ind w:firstLine="709"/>
        <w:jc w:val="left"/>
        <w:rPr>
          <w:i/>
          <w:iCs/>
          <w:sz w:val="26"/>
          <w:szCs w:val="26"/>
        </w:rPr>
      </w:pPr>
    </w:p>
    <w:p w14:paraId="394BDBC4" w14:textId="77777777" w:rsidR="00CB26B2" w:rsidRPr="00CB26B2" w:rsidRDefault="00CB26B2" w:rsidP="00CB26B2">
      <w:pPr>
        <w:pStyle w:val="Subtitle"/>
        <w:widowControl w:val="0"/>
        <w:spacing w:before="120" w:after="120" w:line="264" w:lineRule="auto"/>
        <w:outlineLvl w:val="0"/>
        <w:rPr>
          <w:rFonts w:ascii="Times New Roman" w:hAnsi="Times New Roman" w:cs="Times New Roman"/>
          <w:sz w:val="26"/>
          <w:szCs w:val="26"/>
        </w:rPr>
        <w:sectPr w:rsidR="00CB26B2" w:rsidRPr="00CB26B2" w:rsidSect="00CB26B2">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E3AC918" w14:textId="77777777" w:rsidR="00CB26B2" w:rsidRPr="00CB26B2" w:rsidRDefault="00CB26B2" w:rsidP="00CB26B2">
      <w:pPr>
        <w:widowControl w:val="0"/>
        <w:spacing w:before="120" w:after="120"/>
        <w:jc w:val="center"/>
        <w:rPr>
          <w:b/>
          <w:sz w:val="26"/>
          <w:szCs w:val="26"/>
        </w:rPr>
      </w:pPr>
      <w:r w:rsidRPr="00CB26B2">
        <w:rPr>
          <w:b/>
          <w:sz w:val="26"/>
          <w:szCs w:val="26"/>
        </w:rPr>
        <w:lastRenderedPageBreak/>
        <w:t>PHỤ LỤC I</w:t>
      </w:r>
    </w:p>
    <w:p w14:paraId="20415DDC" w14:textId="77777777" w:rsidR="00CB26B2" w:rsidRPr="00CB26B2" w:rsidRDefault="00CB26B2" w:rsidP="00CB26B2">
      <w:pPr>
        <w:widowControl w:val="0"/>
        <w:spacing w:before="120" w:after="120"/>
        <w:ind w:firstLine="567"/>
        <w:jc w:val="center"/>
        <w:rPr>
          <w:b/>
          <w:sz w:val="26"/>
          <w:szCs w:val="26"/>
        </w:rPr>
      </w:pPr>
      <w:r w:rsidRPr="00CB26B2">
        <w:rPr>
          <w:b/>
          <w:sz w:val="26"/>
          <w:szCs w:val="26"/>
        </w:rPr>
        <w:t>CỘNG HÒA XÃ HỘI CHỦ NGHĨA VIỆT NAM</w:t>
      </w:r>
    </w:p>
    <w:p w14:paraId="06BA86FC" w14:textId="77777777" w:rsidR="00CB26B2" w:rsidRPr="00CB26B2" w:rsidRDefault="00CB26B2" w:rsidP="00CB26B2">
      <w:pPr>
        <w:widowControl w:val="0"/>
        <w:spacing w:before="120" w:after="120"/>
        <w:ind w:firstLine="567"/>
        <w:jc w:val="center"/>
        <w:rPr>
          <w:b/>
          <w:sz w:val="26"/>
          <w:szCs w:val="26"/>
        </w:rPr>
      </w:pPr>
      <w:r w:rsidRPr="00CB26B2">
        <w:rPr>
          <w:b/>
          <w:noProof/>
          <w:sz w:val="26"/>
          <w:szCs w:val="26"/>
        </w:rPr>
        <mc:AlternateContent>
          <mc:Choice Requires="wps">
            <w:drawing>
              <wp:anchor distT="0" distB="0" distL="114300" distR="114300" simplePos="0" relativeHeight="251659264" behindDoc="0" locked="0" layoutInCell="1" allowOverlap="1" wp14:anchorId="0F6CF2FB" wp14:editId="61B24CA4">
                <wp:simplePos x="0" y="0"/>
                <wp:positionH relativeFrom="column">
                  <wp:posOffset>2305685</wp:posOffset>
                </wp:positionH>
                <wp:positionV relativeFrom="paragraph">
                  <wp:posOffset>238125</wp:posOffset>
                </wp:positionV>
                <wp:extent cx="1662430" cy="0"/>
                <wp:effectExtent l="0" t="0" r="0" b="0"/>
                <wp:wrapNone/>
                <wp:docPr id="194" name="Straight Connector 194"/>
                <wp:cNvGraphicFramePr/>
                <a:graphic xmlns:a="http://schemas.openxmlformats.org/drawingml/2006/main">
                  <a:graphicData uri="http://schemas.microsoft.com/office/word/2010/wordprocessingShape">
                    <wps:wsp>
                      <wps:cNvCnPr/>
                      <wps:spPr>
                        <a:xfrm>
                          <a:off x="0" y="0"/>
                          <a:ext cx="16624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85B1D" id="Straight Connector 1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55pt,18.75pt" to="312.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" strokecolor="black [3200]" strokeweight=".5pt">
                <v:stroke joinstyle="miter"/>
              </v:line>
            </w:pict>
          </mc:Fallback>
        </mc:AlternateContent>
      </w:r>
      <w:r w:rsidRPr="00CB26B2">
        <w:rPr>
          <w:b/>
          <w:sz w:val="26"/>
          <w:szCs w:val="26"/>
        </w:rPr>
        <w:t>Độc lập – Tự do – Hạnh phúc</w:t>
      </w:r>
    </w:p>
    <w:p w14:paraId="3CD91EA7" w14:textId="77777777" w:rsidR="00CB26B2" w:rsidRPr="00CB26B2" w:rsidRDefault="00CB26B2" w:rsidP="00CB26B2">
      <w:pPr>
        <w:widowControl w:val="0"/>
        <w:spacing w:before="360" w:after="120" w:line="264" w:lineRule="auto"/>
        <w:ind w:firstLine="562"/>
        <w:jc w:val="center"/>
        <w:rPr>
          <w:b/>
          <w:sz w:val="26"/>
          <w:szCs w:val="26"/>
        </w:rPr>
      </w:pPr>
      <w:r w:rsidRPr="00CB26B2">
        <w:rPr>
          <w:b/>
          <w:sz w:val="26"/>
          <w:szCs w:val="26"/>
        </w:rPr>
        <w:t xml:space="preserve">BẢN CAM KẾT </w:t>
      </w:r>
    </w:p>
    <w:p w14:paraId="7079D3D7" w14:textId="77777777" w:rsidR="00CB26B2" w:rsidRPr="00CB26B2" w:rsidRDefault="00CB26B2" w:rsidP="00CB26B2">
      <w:pPr>
        <w:widowControl w:val="0"/>
        <w:spacing w:line="264" w:lineRule="auto"/>
        <w:jc w:val="center"/>
        <w:rPr>
          <w:b/>
          <w:sz w:val="26"/>
          <w:szCs w:val="26"/>
        </w:rPr>
      </w:pPr>
      <w:r w:rsidRPr="00CB26B2">
        <w:rPr>
          <w:b/>
          <w:sz w:val="26"/>
          <w:szCs w:val="26"/>
        </w:rPr>
        <w:t xml:space="preserve">Kính gửi: </w:t>
      </w:r>
      <w:r w:rsidRPr="00CB26B2">
        <w:rPr>
          <w:b/>
          <w:bCs/>
          <w:sz w:val="26"/>
          <w:szCs w:val="26"/>
          <w:lang w:val="pl-PL"/>
        </w:rPr>
        <w:t>Bệnh Viện đa khoa Cà Mau</w:t>
      </w:r>
    </w:p>
    <w:p w14:paraId="0CC0E3E2" w14:textId="77777777" w:rsidR="00CB26B2" w:rsidRPr="00CB26B2" w:rsidRDefault="00CB26B2" w:rsidP="00CB26B2">
      <w:pPr>
        <w:widowControl w:val="0"/>
        <w:autoSpaceDE w:val="0"/>
        <w:autoSpaceDN w:val="0"/>
        <w:adjustRightInd w:val="0"/>
        <w:spacing w:before="40" w:after="40"/>
        <w:ind w:firstLine="567"/>
        <w:jc w:val="left"/>
        <w:rPr>
          <w:sz w:val="26"/>
          <w:szCs w:val="26"/>
        </w:rPr>
      </w:pPr>
      <w:r w:rsidRPr="00CB26B2">
        <w:rPr>
          <w:sz w:val="26"/>
          <w:szCs w:val="26"/>
        </w:rPr>
        <w:t xml:space="preserve">Sau khi nghiên cứu E-HSMT gói thầu </w:t>
      </w:r>
      <w:r w:rsidRPr="00CB26B2">
        <w:rPr>
          <w:bCs/>
          <w:sz w:val="26"/>
          <w:szCs w:val="26"/>
        </w:rPr>
        <w:t>Gói thầu số 02: Hệ thống đinh nội tủy</w:t>
      </w:r>
    </w:p>
    <w:p w14:paraId="5EF3037B" w14:textId="77777777" w:rsidR="00CB26B2" w:rsidRPr="00CB26B2" w:rsidRDefault="00CB26B2" w:rsidP="00CB26B2">
      <w:pPr>
        <w:widowControl w:val="0"/>
        <w:spacing w:before="40" w:after="40"/>
        <w:ind w:left="284" w:firstLine="567"/>
        <w:rPr>
          <w:sz w:val="26"/>
          <w:szCs w:val="26"/>
        </w:rPr>
      </w:pPr>
      <w:r w:rsidRPr="00CB26B2">
        <w:rPr>
          <w:sz w:val="26"/>
          <w:szCs w:val="26"/>
        </w:rPr>
        <w:t>Chúng tôi, [ghi tên nhà thầu], cam kết các nội dung sau:</w:t>
      </w:r>
    </w:p>
    <w:p w14:paraId="2BD9703C" w14:textId="77777777" w:rsidR="00CB26B2" w:rsidRPr="00CB26B2" w:rsidRDefault="00CB26B2" w:rsidP="00CB26B2">
      <w:pPr>
        <w:widowControl w:val="0"/>
        <w:autoSpaceDE w:val="0"/>
        <w:autoSpaceDN w:val="0"/>
        <w:adjustRightInd w:val="0"/>
        <w:spacing w:before="40" w:after="40"/>
        <w:ind w:firstLine="567"/>
        <w:rPr>
          <w:rFonts w:eastAsia="Calibri"/>
          <w:b/>
          <w:snapToGrid w:val="0"/>
          <w:spacing w:val="-4"/>
          <w:sz w:val="26"/>
          <w:szCs w:val="26"/>
          <w:lang w:val="pl-PL"/>
        </w:rPr>
      </w:pPr>
      <w:r w:rsidRPr="00CB26B2">
        <w:rPr>
          <w:rFonts w:eastAsia="Calibri"/>
          <w:b/>
          <w:snapToGrid w:val="0"/>
          <w:spacing w:val="-4"/>
          <w:sz w:val="26"/>
          <w:szCs w:val="26"/>
          <w:lang w:val="pl-PL"/>
        </w:rPr>
        <w:t xml:space="preserve">1. Cam kết về các dịch vụ sau bán hàng: </w:t>
      </w:r>
      <w:r w:rsidRPr="00CB26B2">
        <w:rPr>
          <w:rFonts w:eastAsia="Calibri"/>
          <w:snapToGrid w:val="0"/>
          <w:sz w:val="26"/>
          <w:szCs w:val="26"/>
          <w:lang w:val="pl-PL"/>
        </w:rPr>
        <w:t xml:space="preserve">Nếu hàng hóa xảy ra việc không đáp ứng yêu cầu về một trong những yếu tố như: chất lượng, chủng loại, số lượng, khối lượng… như đã nêu trong hợp đồng, hồ sơ mời thầu và hồ sơ thầu dự thầu của nhà thầu, trong vòng tối đa </w:t>
      </w:r>
      <w:r w:rsidRPr="00CB26B2">
        <w:rPr>
          <w:rFonts w:eastAsia="Calibri"/>
          <w:snapToGrid w:val="0"/>
          <w:sz w:val="26"/>
          <w:szCs w:val="26"/>
        </w:rPr>
        <w:t>48</w:t>
      </w:r>
      <w:r w:rsidRPr="00CB26B2">
        <w:rPr>
          <w:rFonts w:eastAsia="Calibri"/>
          <w:snapToGrid w:val="0"/>
          <w:sz w:val="26"/>
          <w:szCs w:val="26"/>
          <w:lang w:val="vi-VN"/>
        </w:rPr>
        <w:t xml:space="preserve"> giờ </w:t>
      </w:r>
      <w:r w:rsidRPr="00CB26B2">
        <w:rPr>
          <w:rFonts w:eastAsia="Calibri"/>
          <w:snapToGrid w:val="0"/>
          <w:sz w:val="26"/>
          <w:szCs w:val="26"/>
          <w:lang w:val="pl-PL"/>
        </w:rPr>
        <w:t>nhà thầu sẽ cung cấp hàng hóa mới cùng loại để thay thế. Trong trường hợp này, nhà thầu có trách nhiệm thu hồi hàng hóa không đạt yêu cầu.</w:t>
      </w:r>
    </w:p>
    <w:p w14:paraId="4FB36C83" w14:textId="77777777" w:rsidR="00CB26B2" w:rsidRPr="00CB26B2" w:rsidRDefault="00CB26B2" w:rsidP="00CB26B2">
      <w:pPr>
        <w:widowControl w:val="0"/>
        <w:autoSpaceDE w:val="0"/>
        <w:autoSpaceDN w:val="0"/>
        <w:adjustRightInd w:val="0"/>
        <w:spacing w:before="40" w:after="40"/>
        <w:ind w:firstLine="567"/>
        <w:rPr>
          <w:rFonts w:eastAsia="Calibri"/>
          <w:b/>
          <w:snapToGrid w:val="0"/>
          <w:spacing w:val="-4"/>
          <w:sz w:val="26"/>
          <w:szCs w:val="26"/>
          <w:lang w:val="pl-PL"/>
        </w:rPr>
      </w:pPr>
      <w:r w:rsidRPr="00CB26B2">
        <w:rPr>
          <w:rFonts w:eastAsia="Calibri"/>
          <w:b/>
          <w:snapToGrid w:val="0"/>
          <w:spacing w:val="-4"/>
          <w:sz w:val="26"/>
          <w:szCs w:val="26"/>
          <w:lang w:val="pl-PL"/>
        </w:rPr>
        <w:t xml:space="preserve">2. Cam kết về tiến độ: </w:t>
      </w:r>
      <w:r w:rsidRPr="00CB26B2">
        <w:rPr>
          <w:sz w:val="26"/>
          <w:szCs w:val="26"/>
        </w:rPr>
        <w:t>Hàng hóa sẽ được cung cấp làm nhiều đợt theo nhu cầu sử dụng của Chủ đầu tư</w:t>
      </w:r>
    </w:p>
    <w:p w14:paraId="3156B8B4" w14:textId="77777777" w:rsidR="00CB26B2" w:rsidRPr="00CB26B2" w:rsidRDefault="00CB26B2" w:rsidP="00CB26B2">
      <w:pPr>
        <w:widowControl w:val="0"/>
        <w:autoSpaceDE w:val="0"/>
        <w:autoSpaceDN w:val="0"/>
        <w:adjustRightInd w:val="0"/>
        <w:spacing w:before="40" w:after="40"/>
        <w:ind w:firstLine="567"/>
        <w:rPr>
          <w:rFonts w:eastAsia="Calibri"/>
          <w:snapToGrid w:val="0"/>
          <w:spacing w:val="-4"/>
          <w:sz w:val="26"/>
          <w:szCs w:val="26"/>
          <w:lang w:val="pl-PL"/>
        </w:rPr>
      </w:pPr>
      <w:r w:rsidRPr="00CB26B2">
        <w:rPr>
          <w:sz w:val="26"/>
          <w:szCs w:val="26"/>
        </w:rPr>
        <w:t xml:space="preserve">3. Cung cấp Tờ khai hải quan tại thời điểm nhập hàng hóa khi có yêu cầu </w:t>
      </w:r>
      <w:r w:rsidRPr="00CB26B2">
        <w:rPr>
          <w:sz w:val="26"/>
          <w:szCs w:val="26"/>
          <w:lang w:val="vi-VN"/>
        </w:rPr>
        <w:t xml:space="preserve">(đối với các </w:t>
      </w:r>
      <w:r w:rsidRPr="00CB26B2">
        <w:rPr>
          <w:sz w:val="26"/>
          <w:szCs w:val="26"/>
        </w:rPr>
        <w:t>hàng hóa</w:t>
      </w:r>
      <w:r w:rsidRPr="00CB26B2">
        <w:rPr>
          <w:sz w:val="26"/>
          <w:szCs w:val="26"/>
          <w:lang w:val="vi-VN"/>
        </w:rPr>
        <w:t xml:space="preserve"> nhập khẩu)</w:t>
      </w:r>
      <w:r w:rsidRPr="00CB26B2">
        <w:rPr>
          <w:sz w:val="26"/>
          <w:szCs w:val="26"/>
        </w:rPr>
        <w:t>.</w:t>
      </w:r>
    </w:p>
    <w:p w14:paraId="66F8A66F" w14:textId="77777777" w:rsidR="00CB26B2" w:rsidRPr="00CB26B2" w:rsidRDefault="00CB26B2" w:rsidP="00CB26B2">
      <w:pPr>
        <w:widowControl w:val="0"/>
        <w:autoSpaceDE w:val="0"/>
        <w:autoSpaceDN w:val="0"/>
        <w:adjustRightInd w:val="0"/>
        <w:spacing w:before="40" w:after="40"/>
        <w:ind w:firstLine="567"/>
        <w:rPr>
          <w:rFonts w:eastAsia="Calibri"/>
          <w:snapToGrid w:val="0"/>
          <w:spacing w:val="-4"/>
          <w:sz w:val="26"/>
          <w:szCs w:val="26"/>
          <w:lang w:val="vi-VN"/>
        </w:rPr>
      </w:pPr>
      <w:r w:rsidRPr="00CB26B2">
        <w:rPr>
          <w:rFonts w:eastAsia="Calibri"/>
          <w:sz w:val="26"/>
          <w:szCs w:val="26"/>
        </w:rPr>
        <w:t xml:space="preserve">4. Hàng hóa cung cấp phải đảm bảo đầy đủ số lượng, chất lượng, kỹ thuật, quy cách hàng hóa và giao hàng tại kho của </w:t>
      </w:r>
      <w:r w:rsidRPr="00CB26B2">
        <w:rPr>
          <w:sz w:val="26"/>
          <w:szCs w:val="26"/>
        </w:rPr>
        <w:t>Chủ đầu tư</w:t>
      </w:r>
      <w:r w:rsidRPr="00CB26B2">
        <w:rPr>
          <w:rFonts w:eastAsia="Calibri"/>
          <w:sz w:val="26"/>
          <w:szCs w:val="26"/>
        </w:rPr>
        <w:t>.</w:t>
      </w:r>
    </w:p>
    <w:p w14:paraId="6C15D061" w14:textId="77777777" w:rsidR="00CB26B2" w:rsidRPr="00CB26B2" w:rsidRDefault="00CB26B2" w:rsidP="00CB26B2">
      <w:pPr>
        <w:widowControl w:val="0"/>
        <w:autoSpaceDE w:val="0"/>
        <w:autoSpaceDN w:val="0"/>
        <w:adjustRightInd w:val="0"/>
        <w:spacing w:before="40" w:after="40"/>
        <w:ind w:right="-185" w:firstLine="567"/>
        <w:jc w:val="left"/>
        <w:rPr>
          <w:rFonts w:eastAsia="Calibri"/>
          <w:snapToGrid w:val="0"/>
          <w:spacing w:val="-4"/>
          <w:sz w:val="26"/>
          <w:szCs w:val="26"/>
          <w:lang w:val="pl-PL"/>
        </w:rPr>
      </w:pPr>
      <w:r w:rsidRPr="00CB26B2">
        <w:rPr>
          <w:spacing w:val="-4"/>
          <w:sz w:val="26"/>
          <w:szCs w:val="26"/>
        </w:rPr>
        <w:t xml:space="preserve">5. Thời hạn giao hàng là 3 ngày kể từ khi nhận được yêu cầu giao hàng của </w:t>
      </w:r>
      <w:r w:rsidRPr="00CB26B2">
        <w:rPr>
          <w:sz w:val="26"/>
          <w:szCs w:val="26"/>
        </w:rPr>
        <w:t>Chủ đầu tư</w:t>
      </w:r>
      <w:r w:rsidRPr="00CB26B2">
        <w:rPr>
          <w:spacing w:val="-4"/>
          <w:sz w:val="26"/>
          <w:szCs w:val="26"/>
        </w:rPr>
        <w:t xml:space="preserve">. </w:t>
      </w:r>
    </w:p>
    <w:p w14:paraId="1BE81433" w14:textId="77777777" w:rsidR="00CB26B2" w:rsidRPr="00CB26B2" w:rsidRDefault="00CB26B2" w:rsidP="00CB26B2">
      <w:pPr>
        <w:widowControl w:val="0"/>
        <w:autoSpaceDE w:val="0"/>
        <w:autoSpaceDN w:val="0"/>
        <w:adjustRightInd w:val="0"/>
        <w:spacing w:before="40" w:after="40"/>
        <w:ind w:firstLine="567"/>
        <w:rPr>
          <w:rFonts w:eastAsia="Calibri"/>
          <w:snapToGrid w:val="0"/>
          <w:spacing w:val="-2"/>
          <w:sz w:val="26"/>
          <w:szCs w:val="26"/>
          <w:lang w:val="pl-PL"/>
        </w:rPr>
      </w:pPr>
      <w:r w:rsidRPr="00CB26B2">
        <w:rPr>
          <w:spacing w:val="-2"/>
          <w:sz w:val="26"/>
          <w:szCs w:val="26"/>
        </w:rPr>
        <w:t xml:space="preserve">6. Thu hồi và đổi trả nếu hàng hóa bị lỗi do nhà sản xuất và lỗi do quá trình vận chuyển đến kho của </w:t>
      </w:r>
      <w:r w:rsidRPr="00CB26B2">
        <w:rPr>
          <w:b/>
          <w:bCs/>
          <w:spacing w:val="-2"/>
          <w:sz w:val="26"/>
          <w:szCs w:val="26"/>
        </w:rPr>
        <w:t xml:space="preserve">Bệnh Viện đa khoa Cà Mau </w:t>
      </w:r>
      <w:r w:rsidRPr="00CB26B2">
        <w:rPr>
          <w:spacing w:val="-2"/>
          <w:sz w:val="26"/>
          <w:szCs w:val="26"/>
        </w:rPr>
        <w:t xml:space="preserve">hoặc </w:t>
      </w:r>
      <w:r w:rsidRPr="00CB26B2">
        <w:rPr>
          <w:spacing w:val="-2"/>
          <w:sz w:val="26"/>
          <w:szCs w:val="26"/>
          <w:lang w:val="pt-BR"/>
        </w:rPr>
        <w:t>có thông báo thu hồi của cơ quan có thẩm quyền mà nguyên nhân không do lỗi của Chủ đầu tư</w:t>
      </w:r>
      <w:r w:rsidRPr="00CB26B2">
        <w:rPr>
          <w:spacing w:val="-2"/>
          <w:sz w:val="26"/>
          <w:szCs w:val="26"/>
        </w:rPr>
        <w:t>.</w:t>
      </w:r>
    </w:p>
    <w:p w14:paraId="315B9EDA" w14:textId="77777777" w:rsidR="00CB26B2" w:rsidRPr="00896D45" w:rsidRDefault="00CB26B2" w:rsidP="00CB26B2">
      <w:pPr>
        <w:widowControl w:val="0"/>
        <w:autoSpaceDE w:val="0"/>
        <w:autoSpaceDN w:val="0"/>
        <w:adjustRightInd w:val="0"/>
        <w:spacing w:before="40" w:after="40"/>
        <w:ind w:firstLine="567"/>
        <w:rPr>
          <w:sz w:val="26"/>
          <w:szCs w:val="26"/>
          <w:lang w:val="es-ES_tradnl"/>
        </w:rPr>
      </w:pPr>
      <w:r w:rsidRPr="00CB26B2">
        <w:rPr>
          <w:sz w:val="26"/>
          <w:szCs w:val="26"/>
          <w:lang w:val="es-ES_tradnl"/>
        </w:rPr>
        <w:t xml:space="preserve">7. </w:t>
      </w:r>
      <w:r w:rsidRPr="00896D45">
        <w:rPr>
          <w:sz w:val="26"/>
          <w:szCs w:val="26"/>
          <w:lang w:val="es-ES_tradnl"/>
        </w:rPr>
        <w:t>Cam kết cung cấp trợ cụ, dụng cụ hỗ trợ phẫu thuật chuyên dụng kèm theo khi có yêu cầu của Chủ đầu tư.</w:t>
      </w:r>
    </w:p>
    <w:p w14:paraId="22E9DF1F" w14:textId="77777777" w:rsidR="00CB26B2" w:rsidRPr="00CB26B2" w:rsidRDefault="00CB26B2" w:rsidP="00CB26B2">
      <w:pPr>
        <w:widowControl w:val="0"/>
        <w:autoSpaceDE w:val="0"/>
        <w:autoSpaceDN w:val="0"/>
        <w:adjustRightInd w:val="0"/>
        <w:spacing w:before="40" w:after="40"/>
        <w:ind w:firstLine="567"/>
        <w:rPr>
          <w:color w:val="C45911" w:themeColor="accent2" w:themeShade="BF"/>
          <w:sz w:val="26"/>
          <w:szCs w:val="26"/>
          <w:lang w:val="es-ES_tradnl"/>
        </w:rPr>
      </w:pPr>
      <w:r w:rsidRPr="00896D45">
        <w:rPr>
          <w:sz w:val="26"/>
          <w:szCs w:val="26"/>
          <w:lang w:val="es-ES_tradnl"/>
        </w:rPr>
        <w:t xml:space="preserve">8. </w:t>
      </w:r>
      <w:r w:rsidRPr="00CB26B2">
        <w:rPr>
          <w:sz w:val="26"/>
          <w:szCs w:val="26"/>
          <w:lang w:val="es-ES_tradnl"/>
        </w:rPr>
        <w:t>Các tài liệu trong hồ sơ dự thầu này đều chính xác, nếu có dấu hiệu gian lận hoặc không trung thực thì HSDT xem như không hợp lệ.</w:t>
      </w:r>
    </w:p>
    <w:p w14:paraId="01217E82" w14:textId="77777777" w:rsidR="00CB26B2" w:rsidRPr="00CB26B2" w:rsidRDefault="00CB26B2" w:rsidP="00CB26B2">
      <w:pPr>
        <w:spacing w:before="40" w:after="40"/>
        <w:ind w:firstLine="567"/>
        <w:rPr>
          <w:rFonts w:eastAsia="Calibri"/>
          <w:snapToGrid w:val="0"/>
          <w:spacing w:val="-4"/>
          <w:sz w:val="26"/>
          <w:szCs w:val="26"/>
          <w:lang w:val="pl-PL"/>
        </w:rPr>
      </w:pPr>
      <w:r w:rsidRPr="00CB26B2">
        <w:rPr>
          <w:rFonts w:eastAsia="Calibri"/>
          <w:snapToGrid w:val="0"/>
          <w:spacing w:val="-4"/>
          <w:sz w:val="26"/>
          <w:szCs w:val="26"/>
          <w:lang w:val="pl-PL"/>
        </w:rPr>
        <w:t>9. Chịu trách nhiệm giải trình về giá các mặt hàng tham dự thầu với cơ quan chức năng khi có yêu cầu.</w:t>
      </w:r>
      <w:r w:rsidRPr="00CB26B2">
        <w:rPr>
          <w:sz w:val="26"/>
          <w:szCs w:val="26"/>
          <w:lang w:val="es-ES"/>
        </w:rPr>
        <w:t xml:space="preserve"> </w:t>
      </w:r>
    </w:p>
    <w:p w14:paraId="7CFEF752" w14:textId="77777777" w:rsidR="00CB26B2" w:rsidRPr="00CB26B2" w:rsidRDefault="00CB26B2" w:rsidP="00CB26B2">
      <w:pPr>
        <w:spacing w:before="40" w:after="40"/>
        <w:ind w:firstLine="567"/>
        <w:rPr>
          <w:sz w:val="26"/>
          <w:szCs w:val="26"/>
        </w:rPr>
      </w:pPr>
      <w:r w:rsidRPr="00CB26B2">
        <w:rPr>
          <w:sz w:val="26"/>
          <w:szCs w:val="26"/>
          <w:lang w:val="es-ES"/>
        </w:rPr>
        <w:t xml:space="preserve"> </w:t>
      </w:r>
      <w:r w:rsidRPr="00CB26B2">
        <w:rPr>
          <w:sz w:val="26"/>
          <w:szCs w:val="26"/>
        </w:rPr>
        <w:t>Chúng tôi hoàn toàn chịu trách nhiệm về tính chính xác của thông tin nêu trên.</w:t>
      </w:r>
    </w:p>
    <w:p w14:paraId="5C630A89" w14:textId="77777777" w:rsidR="00CB26B2" w:rsidRPr="00CB26B2" w:rsidRDefault="00CB26B2" w:rsidP="00CB26B2">
      <w:pPr>
        <w:widowControl w:val="0"/>
        <w:spacing w:line="264" w:lineRule="auto"/>
        <w:ind w:left="4320"/>
        <w:jc w:val="left"/>
        <w:rPr>
          <w:b/>
          <w:sz w:val="26"/>
          <w:szCs w:val="26"/>
          <w:lang w:val="pl-PL"/>
        </w:rPr>
      </w:pPr>
      <w:r w:rsidRPr="00CB26B2">
        <w:rPr>
          <w:sz w:val="26"/>
          <w:szCs w:val="26"/>
          <w:lang w:val="pl-PL"/>
        </w:rPr>
        <w:t>ĐẠI DIỆN HỢP PHÁP CỦA NHÀ THẦU</w:t>
      </w:r>
    </w:p>
    <w:p w14:paraId="5E9817FD" w14:textId="77777777" w:rsidR="00CB26B2" w:rsidRPr="00CB26B2" w:rsidRDefault="00CB26B2" w:rsidP="00CB26B2">
      <w:pPr>
        <w:spacing w:after="200" w:line="276" w:lineRule="auto"/>
        <w:ind w:left="3544" w:firstLine="709"/>
        <w:jc w:val="left"/>
        <w:rPr>
          <w:sz w:val="26"/>
          <w:szCs w:val="26"/>
        </w:rPr>
      </w:pPr>
      <w:r w:rsidRPr="00CB26B2">
        <w:rPr>
          <w:b/>
          <w:sz w:val="26"/>
          <w:szCs w:val="26"/>
          <w:lang w:val="pl-PL"/>
        </w:rPr>
        <w:t>(ghi tên, chức danh, ký tên và đóng dấu)</w:t>
      </w:r>
    </w:p>
    <w:p w14:paraId="0BDD262C" w14:textId="77777777" w:rsidR="00CB26B2" w:rsidRPr="00CB26B2" w:rsidRDefault="00CB26B2" w:rsidP="00CB26B2">
      <w:pPr>
        <w:pStyle w:val="Subtitle"/>
        <w:widowControl w:val="0"/>
        <w:spacing w:before="120" w:after="120" w:line="264" w:lineRule="auto"/>
        <w:outlineLvl w:val="0"/>
        <w:rPr>
          <w:rFonts w:ascii="Times New Roman" w:hAnsi="Times New Roman" w:cs="Times New Roman"/>
          <w:sz w:val="26"/>
          <w:szCs w:val="26"/>
        </w:rPr>
      </w:pPr>
    </w:p>
    <w:bookmarkEnd w:id="0"/>
    <w:p w14:paraId="30E770DD" w14:textId="77777777" w:rsidR="007B6DAD" w:rsidRPr="00CB26B2" w:rsidRDefault="007B6DAD">
      <w:pPr>
        <w:rPr>
          <w:sz w:val="26"/>
          <w:szCs w:val="26"/>
        </w:rPr>
      </w:pPr>
    </w:p>
    <w:sectPr w:rsidR="007B6DAD" w:rsidRPr="00CB2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Malgun Gothic Semilight"/>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 w15:restartNumberingAfterBreak="0">
    <w:nsid w:val="759F3270"/>
    <w:multiLevelType w:val="hybridMultilevel"/>
    <w:tmpl w:val="5C1AE4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232219">
    <w:abstractNumId w:val="0"/>
  </w:num>
  <w:num w:numId="2" w16cid:durableId="839467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B2"/>
    <w:rsid w:val="00496D10"/>
    <w:rsid w:val="007B6DAD"/>
    <w:rsid w:val="00896D45"/>
    <w:rsid w:val="00BD2E0C"/>
    <w:rsid w:val="00C93640"/>
    <w:rsid w:val="00CB26B2"/>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6955"/>
  <w15:chartTrackingRefBased/>
  <w15:docId w15:val="{276A9769-791B-4B23-811A-BD85F5770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6B2"/>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Heading 1A,Document Title,titMH,Heading,Heading 1 Char2 Char,Heading 1 Char Char2 Char,Char2 Char Char2 Char,Heading 1 Char Char Char1 Char,Heading 1 Char1 Char1 Char,Char2 Char Char Char1 Char,Char2 Char"/>
    <w:basedOn w:val="Normal"/>
    <w:next w:val="Normal"/>
    <w:link w:val="Heading1Char"/>
    <w:qFormat/>
    <w:rsid w:val="00CB26B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26B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26B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26B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26B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B26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B26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B26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B26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eading 1A Char,Document Title Char,titMH Char,Heading Char,Heading 1 Char2 Char Char,Heading 1 Char Char2 Char Char,Char2 Char Char2 Char Char,Heading 1 Char Char Char1 Char Char"/>
    <w:basedOn w:val="DefaultParagraphFont"/>
    <w:link w:val="Heading1"/>
    <w:qFormat/>
    <w:rsid w:val="00CB26B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26B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26B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26B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B26B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B26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26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26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26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26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26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CB26B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B26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26B2"/>
    <w:pPr>
      <w:spacing w:before="160"/>
      <w:jc w:val="center"/>
    </w:pPr>
    <w:rPr>
      <w:i/>
      <w:iCs/>
      <w:color w:val="404040" w:themeColor="text1" w:themeTint="BF"/>
    </w:rPr>
  </w:style>
  <w:style w:type="character" w:customStyle="1" w:styleId="QuoteChar">
    <w:name w:val="Quote Char"/>
    <w:basedOn w:val="DefaultParagraphFont"/>
    <w:link w:val="Quote"/>
    <w:uiPriority w:val="29"/>
    <w:rsid w:val="00CB26B2"/>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CB26B2"/>
    <w:pPr>
      <w:ind w:left="720"/>
      <w:contextualSpacing/>
    </w:pPr>
  </w:style>
  <w:style w:type="character" w:styleId="IntenseEmphasis">
    <w:name w:val="Intense Emphasis"/>
    <w:basedOn w:val="DefaultParagraphFont"/>
    <w:uiPriority w:val="21"/>
    <w:qFormat/>
    <w:rsid w:val="00CB26B2"/>
    <w:rPr>
      <w:i/>
      <w:iCs/>
      <w:color w:val="2F5496" w:themeColor="accent1" w:themeShade="BF"/>
    </w:rPr>
  </w:style>
  <w:style w:type="paragraph" w:styleId="IntenseQuote">
    <w:name w:val="Intense Quote"/>
    <w:basedOn w:val="Normal"/>
    <w:next w:val="Normal"/>
    <w:link w:val="IntenseQuoteChar"/>
    <w:uiPriority w:val="30"/>
    <w:qFormat/>
    <w:rsid w:val="00CB26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26B2"/>
    <w:rPr>
      <w:i/>
      <w:iCs/>
      <w:color w:val="2F5496" w:themeColor="accent1" w:themeShade="BF"/>
    </w:rPr>
  </w:style>
  <w:style w:type="character" w:styleId="IntenseReference">
    <w:name w:val="Intense Reference"/>
    <w:basedOn w:val="DefaultParagraphFont"/>
    <w:uiPriority w:val="32"/>
    <w:qFormat/>
    <w:rsid w:val="00CB26B2"/>
    <w:rPr>
      <w:b/>
      <w:bCs/>
      <w:smallCaps/>
      <w:color w:val="2F5496" w:themeColor="accent1" w:themeShade="BF"/>
      <w:spacing w:val="5"/>
    </w:rPr>
  </w:style>
  <w:style w:type="paragraph" w:customStyle="1" w:styleId="SectionVIHeader">
    <w:name w:val="Section VI. Header"/>
    <w:basedOn w:val="Normal"/>
    <w:rsid w:val="00CB26B2"/>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uiPriority w:val="34"/>
    <w:qFormat/>
    <w:rsid w:val="00CB26B2"/>
  </w:style>
  <w:style w:type="character" w:customStyle="1" w:styleId="fontstyle01">
    <w:name w:val="fontstyle01"/>
    <w:basedOn w:val="DefaultParagraphFont"/>
    <w:rsid w:val="00CB26B2"/>
    <w:rPr>
      <w:rFonts w:ascii="TimesNewRomanPSMT" w:hAnsi="TimesNewRomanPSMT" w:hint="default"/>
      <w:color w:val="000000"/>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CB26B2"/>
    <w:pPr>
      <w:spacing w:after="0" w:line="240" w:lineRule="auto"/>
      <w:jc w:val="both"/>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3039</Words>
  <Characters>17324</Characters>
  <Application>Microsoft Office Word</Application>
  <DocSecurity>0</DocSecurity>
  <Lines>144</Lines>
  <Paragraphs>40</Paragraphs>
  <ScaleCrop>false</ScaleCrop>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2</cp:revision>
  <dcterms:created xsi:type="dcterms:W3CDTF">2026-05-15T10:06:00Z</dcterms:created>
  <dcterms:modified xsi:type="dcterms:W3CDTF">2026-05-15T10:07:00Z</dcterms:modified>
</cp:coreProperties>
</file>