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28DD" w14:textId="77777777" w:rsidR="00BC1F15" w:rsidRPr="00BC1F15" w:rsidRDefault="00BC1F15" w:rsidP="00BC1F15">
      <w:pPr>
        <w:spacing w:before="120" w:after="120" w:line="240" w:lineRule="auto"/>
        <w:jc w:val="center"/>
        <w:outlineLvl w:val="0"/>
        <w:rPr>
          <w:rFonts w:ascii="Times New Roman" w:eastAsia="Times New Roman" w:hAnsi="Times New Roman" w:cs="Times New Roman"/>
          <w:b/>
          <w:bCs/>
          <w:kern w:val="0"/>
          <w:sz w:val="26"/>
          <w:szCs w:val="26"/>
          <w:lang w:val="nl-NL"/>
          <w14:ligatures w14:val="none"/>
        </w:rPr>
      </w:pPr>
      <w:bookmarkStart w:id="0" w:name="_Toc104800535"/>
      <w:r w:rsidRPr="00BC1F15">
        <w:rPr>
          <w:rFonts w:ascii="Times New Roman" w:eastAsia="Times New Roman" w:hAnsi="Times New Roman" w:cs="Times New Roman"/>
          <w:b/>
          <w:bCs/>
          <w:kern w:val="0"/>
          <w:sz w:val="26"/>
          <w:szCs w:val="26"/>
          <w:lang w:val="nl-NL"/>
          <w14:ligatures w14:val="none"/>
        </w:rPr>
        <w:t>Chương V. YÊU CẦU VỀ KỸ THUẬT</w:t>
      </w:r>
      <w:bookmarkEnd w:id="0"/>
    </w:p>
    <w:p w14:paraId="53EE4BE6"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b/>
          <w:kern w:val="0"/>
          <w:sz w:val="26"/>
          <w:szCs w:val="26"/>
          <w:lang w:val="nl-NL"/>
          <w14:ligatures w14:val="none"/>
        </w:rPr>
      </w:pPr>
      <w:r w:rsidRPr="00BC1F15">
        <w:rPr>
          <w:rFonts w:ascii="Times New Roman" w:eastAsia="Times New Roman" w:hAnsi="Times New Roman" w:cs="Times New Roman"/>
          <w:b/>
          <w:kern w:val="0"/>
          <w:sz w:val="26"/>
          <w:szCs w:val="26"/>
          <w:lang w:val="nl-NL"/>
          <w14:ligatures w14:val="none"/>
        </w:rPr>
        <w:t>1. Giới thiệu chung về dự án/dự toán mua sắm, gói thầu:</w:t>
      </w:r>
    </w:p>
    <w:p w14:paraId="77E2976F"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Tên gói thầu:</w:t>
      </w:r>
      <w:r w:rsidRPr="00BC1F15">
        <w:rPr>
          <w:rFonts w:ascii="Times New Roman" w:eastAsia="Times New Roman" w:hAnsi="Times New Roman" w:cs="Times New Roman"/>
          <w:kern w:val="0"/>
          <w:sz w:val="26"/>
          <w:szCs w:val="26"/>
          <w14:ligatures w14:val="none"/>
        </w:rPr>
        <w:t xml:space="preserve"> </w:t>
      </w:r>
      <w:r w:rsidRPr="00BC1F15">
        <w:rPr>
          <w:rFonts w:ascii="Times New Roman" w:eastAsia="Times New Roman" w:hAnsi="Times New Roman" w:cs="Times New Roman"/>
          <w:color w:val="000000"/>
          <w:kern w:val="0"/>
          <w:sz w:val="26"/>
          <w:szCs w:val="26"/>
          <w14:ligatures w14:val="none"/>
        </w:rPr>
        <w:t>Cung cấp dịch vụ Hỗ trợ kỹ thuật bản quyền phần mềm Oracle</w:t>
      </w:r>
    </w:p>
    <w:p w14:paraId="4AD87835"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kern w:val="0"/>
          <w:sz w:val="26"/>
          <w:szCs w:val="26"/>
          <w14:ligatures w14:val="none"/>
        </w:rPr>
        <w:t xml:space="preserve">Tên dự toán mua sắm: Dịch vụ </w:t>
      </w:r>
      <w:r w:rsidRPr="00BC1F15">
        <w:rPr>
          <w:rFonts w:ascii="Times New Roman" w:eastAsia="Times New Roman" w:hAnsi="Times New Roman" w:cs="Times New Roman"/>
          <w:color w:val="000000"/>
          <w:kern w:val="0"/>
          <w:sz w:val="26"/>
          <w:szCs w:val="26"/>
          <w14:ligatures w14:val="none"/>
        </w:rPr>
        <w:t>Hỗ trợ kỹ thuật bản quyền phần mềm Oracle cho hệ thống Hóa đơn điện tử</w:t>
      </w:r>
    </w:p>
    <w:p w14:paraId="6D885EE5"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kern w:val="0"/>
          <w:sz w:val="26"/>
          <w:szCs w:val="26"/>
          <w14:ligatures w14:val="none"/>
        </w:rPr>
        <w:t>Nguồn vốn: chi phí kinh doanh.</w:t>
      </w:r>
    </w:p>
    <w:p w14:paraId="23AD68A3"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kern w:val="0"/>
          <w:sz w:val="26"/>
          <w:szCs w:val="26"/>
          <w14:ligatures w14:val="none"/>
        </w:rPr>
        <w:t>Thời gian cung cấp và sử dụng dịch vụ: 12 tháng.</w:t>
      </w:r>
    </w:p>
    <w:p w14:paraId="4E93E8FD"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kern w:val="0"/>
          <w:sz w:val="26"/>
          <w:szCs w:val="26"/>
          <w14:ligatures w14:val="none"/>
        </w:rPr>
        <w:t>Thời gian thực hiện hợp đồng: 12 tháng.</w:t>
      </w:r>
    </w:p>
    <w:p w14:paraId="1B5E1F75"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kern w:val="0"/>
          <w:sz w:val="26"/>
          <w:szCs w:val="26"/>
          <w14:ligatures w14:val="none"/>
        </w:rPr>
        <w:t>Địa điểm thực hiện gói thầu: Trung tâm dữ liệu Tập đoàn Xăng dầu Việt Nam</w:t>
      </w:r>
    </w:p>
    <w:p w14:paraId="04E9946A"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b/>
          <w:kern w:val="0"/>
          <w:sz w:val="26"/>
          <w:szCs w:val="26"/>
          <w:lang w:val="nl-NL"/>
          <w14:ligatures w14:val="none"/>
        </w:rPr>
      </w:pPr>
      <w:r w:rsidRPr="00BC1F15">
        <w:rPr>
          <w:rFonts w:ascii="Times New Roman" w:eastAsia="Times New Roman" w:hAnsi="Times New Roman" w:cs="Times New Roman"/>
          <w:b/>
          <w:kern w:val="0"/>
          <w:sz w:val="26"/>
          <w:szCs w:val="26"/>
          <w:lang w:val="nl-NL"/>
          <w14:ligatures w14:val="none"/>
        </w:rPr>
        <w:t>2. Mục tiêu công việc:</w:t>
      </w:r>
    </w:p>
    <w:p w14:paraId="0FEF4FDF"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bCs/>
          <w:kern w:val="0"/>
          <w:sz w:val="26"/>
          <w:szCs w:val="26"/>
          <w:lang w:val="fr-FR"/>
          <w14:ligatures w14:val="none"/>
        </w:rPr>
      </w:pPr>
      <w:r w:rsidRPr="00BC1F15">
        <w:rPr>
          <w:rFonts w:ascii="Times New Roman" w:eastAsia="Times New Roman" w:hAnsi="Times New Roman" w:cs="Times New Roman"/>
          <w:bCs/>
          <w:kern w:val="0"/>
          <w:sz w:val="26"/>
          <w:szCs w:val="26"/>
          <w:lang w:val="fr-FR"/>
          <w14:ligatures w14:val="none"/>
        </w:rPr>
        <w:t>Dịch vụ hỗ trợ kỹ thuật theo tiêu chuẩn của hãng Oracle, bao gồm :</w:t>
      </w:r>
    </w:p>
    <w:p w14:paraId="6AD7DBAD" w14:textId="77777777" w:rsidR="00BC1F15" w:rsidRPr="00BC1F15" w:rsidRDefault="00BC1F15" w:rsidP="00BC1F15">
      <w:pPr>
        <w:spacing w:before="120" w:after="120" w:line="240" w:lineRule="auto"/>
        <w:ind w:left="360" w:firstLine="207"/>
        <w:contextualSpacing/>
        <w:rPr>
          <w:rFonts w:ascii="Times New Roman" w:eastAsia="Times New Roman" w:hAnsi="Times New Roman" w:cs="Times New Roman"/>
          <w:bCs/>
          <w:color w:val="000000"/>
          <w:kern w:val="0"/>
          <w:sz w:val="26"/>
          <w:szCs w:val="26"/>
          <w14:ligatures w14:val="none"/>
        </w:rPr>
      </w:pPr>
      <w:r w:rsidRPr="00BC1F15">
        <w:rPr>
          <w:rFonts w:ascii="Times New Roman" w:eastAsia="Times New Roman" w:hAnsi="Times New Roman" w:cs="Times New Roman"/>
          <w:bCs/>
          <w:color w:val="000000"/>
          <w:kern w:val="0"/>
          <w:sz w:val="26"/>
          <w:szCs w:val="26"/>
          <w14:ligatures w14:val="none"/>
        </w:rPr>
        <w:t>+ Hỗ trợ kỹ thuật (Software update license &amp; support) phần mềm Oracle Database Enterprise Edition - Processor Perpetual; CSI: 24682379; Số lượng: 4 Processor;</w:t>
      </w:r>
    </w:p>
    <w:p w14:paraId="7613687E" w14:textId="77777777" w:rsidR="00BC1F15" w:rsidRPr="00BC1F15" w:rsidRDefault="00BC1F15" w:rsidP="00BC1F15">
      <w:pPr>
        <w:spacing w:before="120" w:after="120" w:line="240" w:lineRule="auto"/>
        <w:ind w:firstLine="567"/>
        <w:jc w:val="both"/>
        <w:rPr>
          <w:rFonts w:ascii="Times New Roman" w:eastAsia="Times New Roman" w:hAnsi="Times New Roman" w:cs="Times New Roman"/>
          <w:bCs/>
          <w:color w:val="000000"/>
          <w:kern w:val="0"/>
          <w:sz w:val="26"/>
          <w:szCs w:val="26"/>
          <w14:ligatures w14:val="none"/>
        </w:rPr>
      </w:pPr>
      <w:r w:rsidRPr="00BC1F15">
        <w:rPr>
          <w:rFonts w:ascii="Times New Roman" w:eastAsia="Times New Roman" w:hAnsi="Times New Roman" w:cs="Times New Roman"/>
          <w:bCs/>
          <w:color w:val="000000"/>
          <w:kern w:val="0"/>
          <w:sz w:val="26"/>
          <w:szCs w:val="26"/>
          <w14:ligatures w14:val="none"/>
        </w:rPr>
        <w:t>+ Hỗ trợ kỹ thuật (Software update license &amp; support) phần mềm Oracle Real Application Cluster - Processor License; CSI: 24682379; số lượng: 8 processor</w:t>
      </w:r>
    </w:p>
    <w:p w14:paraId="619C924C" w14:textId="77777777" w:rsidR="00BC1F15" w:rsidRPr="00BC1F15" w:rsidRDefault="00BC1F15" w:rsidP="00BC1F15">
      <w:pPr>
        <w:numPr>
          <w:ilvl w:val="0"/>
          <w:numId w:val="1"/>
        </w:numPr>
        <w:spacing w:before="60" w:after="60" w:line="288" w:lineRule="auto"/>
        <w:ind w:firstLine="567"/>
        <w:jc w:val="both"/>
        <w:rPr>
          <w:rFonts w:ascii="Times New Roman" w:eastAsia="Times New Roman" w:hAnsi="Times New Roman" w:cs="Times New Roman"/>
          <w:bCs/>
          <w:color w:val="000000"/>
          <w:kern w:val="0"/>
          <w:sz w:val="26"/>
          <w:szCs w:val="26"/>
          <w14:ligatures w14:val="none"/>
        </w:rPr>
      </w:pPr>
      <w:r w:rsidRPr="00BC1F15">
        <w:rPr>
          <w:rFonts w:ascii="Times New Roman" w:eastAsia="Times New Roman" w:hAnsi="Times New Roman" w:cs="Times New Roman"/>
          <w:bCs/>
          <w:color w:val="000000"/>
          <w:kern w:val="0"/>
          <w:sz w:val="26"/>
          <w:szCs w:val="26"/>
          <w14:ligatures w14:val="none"/>
        </w:rPr>
        <w:t>Dịch vụ bảo trì kỹ thuật tại chỗ do chuyên gia của nhà thầu cung cấp</w:t>
      </w:r>
    </w:p>
    <w:p w14:paraId="4EA5566F"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BC1F15">
        <w:rPr>
          <w:rFonts w:ascii="Times New Roman" w:eastAsia="Times New Roman" w:hAnsi="Times New Roman" w:cs="Times New Roman"/>
          <w:b/>
          <w:kern w:val="0"/>
          <w:sz w:val="28"/>
          <w:szCs w:val="28"/>
          <w:lang w:val="nl-NL"/>
          <w14:ligatures w14:val="none"/>
        </w:rPr>
        <w:t>3. Yêu cầu kỹ thuật của gói thầu:</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970"/>
        <w:gridCol w:w="6165"/>
      </w:tblGrid>
      <w:tr w:rsidR="00BC1F15" w:rsidRPr="00BC1F15" w14:paraId="728B2A62" w14:textId="77777777" w:rsidTr="00853803">
        <w:trPr>
          <w:trHeight w:val="674"/>
          <w:tblHeader/>
        </w:trPr>
        <w:tc>
          <w:tcPr>
            <w:tcW w:w="291" w:type="pct"/>
          </w:tcPr>
          <w:p w14:paraId="37F1BE96" w14:textId="77777777" w:rsidR="00BC1F15" w:rsidRPr="00BC1F15" w:rsidRDefault="00BC1F15" w:rsidP="00BC1F15">
            <w:pPr>
              <w:suppressAutoHyphens/>
              <w:spacing w:before="60" w:after="60" w:line="276" w:lineRule="auto"/>
              <w:jc w:val="center"/>
              <w:rPr>
                <w:rFonts w:ascii="Times New Roman" w:eastAsia="Times New Roman" w:hAnsi="Times New Roman" w:cs="Times New Roman"/>
                <w:b/>
                <w:spacing w:val="-6"/>
                <w:kern w:val="0"/>
                <w:sz w:val="26"/>
                <w:szCs w:val="26"/>
                <w14:ligatures w14:val="none"/>
              </w:rPr>
            </w:pPr>
            <w:r w:rsidRPr="00BC1F15">
              <w:rPr>
                <w:rFonts w:ascii="Times New Roman" w:eastAsia="Times New Roman" w:hAnsi="Times New Roman" w:cs="Times New Roman"/>
                <w:b/>
                <w:spacing w:val="-6"/>
                <w:kern w:val="0"/>
                <w:sz w:val="26"/>
                <w:szCs w:val="26"/>
                <w14:ligatures w14:val="none"/>
              </w:rPr>
              <w:t>TT</w:t>
            </w:r>
          </w:p>
        </w:tc>
        <w:tc>
          <w:tcPr>
            <w:tcW w:w="1531" w:type="pct"/>
          </w:tcPr>
          <w:p w14:paraId="5029474C" w14:textId="77777777" w:rsidR="00BC1F15" w:rsidRPr="00BC1F15" w:rsidRDefault="00BC1F15" w:rsidP="00BC1F15">
            <w:pPr>
              <w:suppressAutoHyphens/>
              <w:spacing w:before="60" w:after="60" w:line="276" w:lineRule="auto"/>
              <w:jc w:val="center"/>
              <w:rPr>
                <w:rFonts w:ascii="Times New Roman" w:eastAsia="Times New Roman" w:hAnsi="Times New Roman" w:cs="Times New Roman"/>
                <w:b/>
                <w:spacing w:val="-6"/>
                <w:kern w:val="0"/>
                <w:sz w:val="26"/>
                <w:szCs w:val="26"/>
                <w14:ligatures w14:val="none"/>
              </w:rPr>
            </w:pPr>
            <w:r w:rsidRPr="00BC1F15">
              <w:rPr>
                <w:rFonts w:ascii="Times New Roman" w:eastAsia="Times New Roman" w:hAnsi="Times New Roman" w:cs="Times New Roman"/>
                <w:b/>
                <w:spacing w:val="-6"/>
                <w:kern w:val="0"/>
                <w:sz w:val="26"/>
                <w:szCs w:val="26"/>
                <w14:ligatures w14:val="none"/>
              </w:rPr>
              <w:t>Danh mục hàng hóa, dịch vụ</w:t>
            </w:r>
          </w:p>
        </w:tc>
        <w:tc>
          <w:tcPr>
            <w:tcW w:w="3177" w:type="pct"/>
          </w:tcPr>
          <w:p w14:paraId="5AA12166" w14:textId="77777777" w:rsidR="00BC1F15" w:rsidRPr="00BC1F15" w:rsidRDefault="00BC1F15" w:rsidP="00BC1F15">
            <w:pPr>
              <w:suppressAutoHyphens/>
              <w:spacing w:before="60" w:after="60" w:line="276" w:lineRule="auto"/>
              <w:jc w:val="center"/>
              <w:rPr>
                <w:rFonts w:ascii="Times New Roman" w:eastAsia="Times New Roman" w:hAnsi="Times New Roman" w:cs="Times New Roman"/>
                <w:b/>
                <w:spacing w:val="-6"/>
                <w:kern w:val="0"/>
                <w:sz w:val="26"/>
                <w:szCs w:val="26"/>
                <w14:ligatures w14:val="none"/>
              </w:rPr>
            </w:pPr>
            <w:r w:rsidRPr="00BC1F15">
              <w:rPr>
                <w:rFonts w:ascii="Times New Roman" w:eastAsia="Times New Roman" w:hAnsi="Times New Roman" w:cs="Times New Roman"/>
                <w:b/>
                <w:spacing w:val="-6"/>
                <w:kern w:val="0"/>
                <w:sz w:val="26"/>
                <w:szCs w:val="26"/>
                <w14:ligatures w14:val="none"/>
              </w:rPr>
              <w:t>Mô tả công việc thực hiện</w:t>
            </w:r>
          </w:p>
        </w:tc>
      </w:tr>
      <w:tr w:rsidR="00BC1F15" w:rsidRPr="00BC1F15" w14:paraId="3718ADD6" w14:textId="77777777" w:rsidTr="00853803">
        <w:trPr>
          <w:trHeight w:val="629"/>
        </w:trPr>
        <w:tc>
          <w:tcPr>
            <w:tcW w:w="291" w:type="pct"/>
          </w:tcPr>
          <w:p w14:paraId="5FE5D3C2" w14:textId="77777777" w:rsidR="00BC1F15" w:rsidRPr="00BC1F15" w:rsidRDefault="00BC1F15" w:rsidP="00BC1F15">
            <w:pPr>
              <w:suppressAutoHyphens/>
              <w:spacing w:before="60" w:after="60" w:line="276" w:lineRule="auto"/>
              <w:jc w:val="center"/>
              <w:rPr>
                <w:rFonts w:ascii="Times New Roman" w:eastAsia="Times New Roman" w:hAnsi="Times New Roman" w:cs="Times New Roman"/>
                <w:spacing w:val="-6"/>
                <w:kern w:val="0"/>
                <w:sz w:val="26"/>
                <w:szCs w:val="26"/>
                <w14:ligatures w14:val="none"/>
              </w:rPr>
            </w:pPr>
            <w:r w:rsidRPr="00BC1F15">
              <w:rPr>
                <w:rFonts w:ascii="Times New Roman" w:eastAsia="Times New Roman" w:hAnsi="Times New Roman" w:cs="Times New Roman"/>
                <w:color w:val="000000"/>
                <w:kern w:val="0"/>
                <w:sz w:val="26"/>
                <w:szCs w:val="26"/>
                <w14:ligatures w14:val="none"/>
              </w:rPr>
              <w:t>1 </w:t>
            </w:r>
          </w:p>
        </w:tc>
        <w:tc>
          <w:tcPr>
            <w:tcW w:w="1531" w:type="pct"/>
          </w:tcPr>
          <w:p w14:paraId="0EF99185" w14:textId="77777777" w:rsidR="00BC1F15" w:rsidRPr="00BC1F15" w:rsidRDefault="00BC1F15" w:rsidP="00BC1F15">
            <w:pPr>
              <w:spacing w:before="60" w:after="60" w:line="276" w:lineRule="auto"/>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color w:val="000000"/>
                <w:kern w:val="0"/>
                <w:sz w:val="26"/>
                <w:szCs w:val="26"/>
                <w14:ligatures w14:val="none"/>
              </w:rPr>
              <w:t>Hỗ trợ kỹ thuật (Software update license &amp; support) 01 năm Phần mềm Oracle Database Enterprise Edition - Processor Perpetual</w:t>
            </w:r>
          </w:p>
        </w:tc>
        <w:tc>
          <w:tcPr>
            <w:tcW w:w="3177" w:type="pct"/>
            <w:vMerge w:val="restart"/>
          </w:tcPr>
          <w:p w14:paraId="17505F34" w14:textId="77777777" w:rsidR="00BC1F15" w:rsidRPr="00BC1F15" w:rsidRDefault="00BC1F15" w:rsidP="00BC1F15">
            <w:pPr>
              <w:spacing w:before="60" w:after="60" w:line="276" w:lineRule="auto"/>
              <w:jc w:val="both"/>
              <w:rPr>
                <w:rFonts w:ascii="Times New Roman" w:eastAsia="Times New Roman" w:hAnsi="Times New Roman" w:cs="Times New Roman"/>
                <w:b/>
                <w:bCs/>
                <w:color w:val="000000"/>
                <w:kern w:val="0"/>
                <w:sz w:val="26"/>
                <w:szCs w:val="26"/>
                <w14:ligatures w14:val="none"/>
              </w:rPr>
            </w:pPr>
            <w:r w:rsidRPr="00BC1F15">
              <w:rPr>
                <w:rFonts w:ascii="Times New Roman" w:eastAsia="Times New Roman" w:hAnsi="Times New Roman" w:cs="Times New Roman"/>
                <w:b/>
                <w:bCs/>
                <w:color w:val="000000"/>
                <w:kern w:val="0"/>
                <w:sz w:val="26"/>
                <w:szCs w:val="26"/>
                <w14:ligatures w14:val="none"/>
              </w:rPr>
              <w:t>* Các yêu cầu để đảm bảo duy trì hoạt động ổn định 24x7 của các hệ thống:</w:t>
            </w:r>
          </w:p>
          <w:p w14:paraId="0161171A" w14:textId="77777777" w:rsidR="00BC1F15" w:rsidRPr="00BC1F15" w:rsidRDefault="00BC1F15" w:rsidP="00BC1F15">
            <w:pPr>
              <w:spacing w:before="60" w:after="60" w:line="276" w:lineRule="auto"/>
              <w:ind w:left="166"/>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Cung cấp gói dịch vụ tương đương hoặc cao hơn gói Dịch vụ hỗ trợ kỹ thuật tiêu chuẩn (Premier support) cho phần mềm Oracle:</w:t>
            </w:r>
          </w:p>
          <w:p w14:paraId="04BFDF52" w14:textId="77777777" w:rsidR="00BC1F15" w:rsidRPr="00BC1F15" w:rsidRDefault="00BC1F15" w:rsidP="00BC1F15">
            <w:pPr>
              <w:spacing w:before="60" w:after="60" w:line="276" w:lineRule="auto"/>
              <w:ind w:left="166"/>
              <w:jc w:val="both"/>
              <w:rPr>
                <w:rFonts w:ascii="Times New Roman" w:eastAsia="Times New Roman" w:hAnsi="Times New Roman" w:cs="Times New Roman"/>
                <w:i/>
                <w:iCs/>
                <w:color w:val="000000"/>
                <w:kern w:val="0"/>
                <w:sz w:val="26"/>
                <w:szCs w:val="26"/>
                <w14:ligatures w14:val="none"/>
              </w:rPr>
            </w:pPr>
            <w:r w:rsidRPr="00BC1F15">
              <w:rPr>
                <w:rFonts w:ascii="Times New Roman" w:eastAsia="Times New Roman" w:hAnsi="Times New Roman" w:cs="Times New Roman"/>
                <w:i/>
                <w:iCs/>
                <w:color w:val="000000"/>
                <w:kern w:val="0"/>
                <w:sz w:val="26"/>
                <w:szCs w:val="26"/>
                <w14:ligatures w14:val="none"/>
              </w:rPr>
              <w:t>- Nâng cấp và cập nhật bản quyền phần mềm (Update and Upgrade Software):</w:t>
            </w:r>
          </w:p>
          <w:p w14:paraId="4FE6F9F9"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Cung cấp quyền truy cập vào hệ thống Oracle support để cập nhật tính năng phần mềm mới, các cảnh báo về an ninh hệ thống, cho phép tải về các bản vá lỗi nghiêm trọng do Oracle nghiên cứu và phát triển;</w:t>
            </w:r>
          </w:p>
          <w:p w14:paraId="6B1098BC"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lastRenderedPageBreak/>
              <w:t>Cung cấp các kịch bản để cập nhật phần mềm (Update scripts);</w:t>
            </w:r>
          </w:p>
          <w:p w14:paraId="76C045A0"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Quyền nâng cấp lên phiên bản mới, phiên bản chuyên dụng nhất từ phiên bản phần mềm khách hàng đang sử dụng và đã mua bản quyền;</w:t>
            </w:r>
          </w:p>
          <w:p w14:paraId="493C0987"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Cung cấp các phiên bản mới đối với một số sản phẩm, công nghệ chính bao gồm các phiên bản bảo trì chung, một số chức năng phần mềm có chọn lọc, các tài liệu mới;</w:t>
            </w:r>
          </w:p>
          <w:p w14:paraId="1F466A5E"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Cung cấp các bản vá (patches) thông qua cổng hỗ trợ My Oracle Support;</w:t>
            </w:r>
          </w:p>
          <w:p w14:paraId="6B6B6852"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Cung cấp các tài liệu hướng dẫn nâng cấp.</w:t>
            </w:r>
          </w:p>
          <w:p w14:paraId="128DF945" w14:textId="77777777" w:rsidR="00BC1F15" w:rsidRPr="00BC1F15" w:rsidRDefault="00BC1F15" w:rsidP="00BC1F15">
            <w:pPr>
              <w:spacing w:before="60" w:after="60" w:line="276" w:lineRule="auto"/>
              <w:ind w:left="166"/>
              <w:jc w:val="both"/>
              <w:rPr>
                <w:rFonts w:ascii="Times New Roman" w:eastAsia="Times New Roman" w:hAnsi="Times New Roman" w:cs="Times New Roman"/>
                <w:i/>
                <w:iCs/>
                <w:color w:val="000000"/>
                <w:kern w:val="0"/>
                <w:sz w:val="26"/>
                <w:szCs w:val="26"/>
                <w14:ligatures w14:val="none"/>
              </w:rPr>
            </w:pPr>
            <w:r w:rsidRPr="00BC1F15">
              <w:rPr>
                <w:rFonts w:ascii="Times New Roman" w:eastAsia="Times New Roman" w:hAnsi="Times New Roman" w:cs="Times New Roman"/>
                <w:i/>
                <w:iCs/>
                <w:color w:val="000000"/>
                <w:kern w:val="0"/>
                <w:sz w:val="26"/>
                <w:szCs w:val="26"/>
                <w14:ligatures w14:val="none"/>
              </w:rPr>
              <w:t>- Dịch vụ hỗ trợ sản phẩm (Product Support):</w:t>
            </w:r>
          </w:p>
          <w:p w14:paraId="6BA079B2"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Trợ giúp kỹ thuật hỗ trợ khắc phục lỗi và sự cố trong quá trình sử dụng phần mềm thông qua cổng dịch vụ hỗ trợ Oracle Support theo chế độ 24/7;</w:t>
            </w:r>
          </w:p>
          <w:p w14:paraId="06699342"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Giải quyết các yêu cầu hỗ trợ kỹ thuật qua Oracle Support và điện thoại hoặc web conferencing, hay kết nối VPN để truy nhập trực tiếp, hoặc thông qua màn hình phụ kiểm tra hệ thống phần mềm của Khách hàng.</w:t>
            </w:r>
          </w:p>
          <w:p w14:paraId="1B430C8B"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Hỗ trợ các dịch vụ không mang tính kỹ thuật trong giờ làm việc bình thường (ví dụ như trợ giúp về số CSI của khách hàng, trợ giúp khách hàng tạo lập các SR trên My Oracle Support);</w:t>
            </w:r>
          </w:p>
          <w:p w14:paraId="7644E17F"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Truy cập hệ thống hỗ trợ kỹ thuật qua Web của Oracle Support 24×7 với các khả năng tra cứu các lỗi kỹ thuật, tải xuống các bản vá (Patches), gửi trực tiếp các yêu cầu hỗ trợ kỹ thuật cho trung tâm hỗ trợ toàn cầu cảu Oracle. Gửi các yêu cầu hỗ trợ (SR) thông qua My Oracle Support;</w:t>
            </w:r>
          </w:p>
          <w:p w14:paraId="4B8BBD65"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Yêu cầu hỗ trợ kỹ thuật thông qua hệ thống Oracle Support với các mức độ ưu tiên khác nhau.</w:t>
            </w:r>
          </w:p>
          <w:p w14:paraId="4AEDBA0F" w14:textId="77777777" w:rsidR="00BC1F15" w:rsidRPr="00BC1F15" w:rsidRDefault="00BC1F15" w:rsidP="00BC1F15">
            <w:pPr>
              <w:numPr>
                <w:ilvl w:val="0"/>
                <w:numId w:val="2"/>
              </w:num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lastRenderedPageBreak/>
              <w:t>Hỗ trợ các dịch vụ không mang tính kỹ thuật trong giờ làm việc bình thường (ví dụ như trợ giúp về số CSI của khách hàng, trợ giúp khách hàng tạo lập các SR trên My Oracle Support, chuyển tới khách hàng các bản nâng cấp, bản vá).</w:t>
            </w:r>
          </w:p>
          <w:p w14:paraId="1D07C0A5" w14:textId="77777777" w:rsidR="00BC1F15" w:rsidRPr="00BC1F15" w:rsidRDefault="00BC1F15" w:rsidP="00BC1F15">
            <w:pPr>
              <w:spacing w:before="60" w:after="60" w:line="276" w:lineRule="auto"/>
              <w:jc w:val="both"/>
              <w:rPr>
                <w:rFonts w:ascii="Times New Roman" w:eastAsia="Times New Roman" w:hAnsi="Times New Roman" w:cs="Times New Roman"/>
                <w:b/>
                <w:bCs/>
                <w:color w:val="000000"/>
                <w:kern w:val="0"/>
                <w:sz w:val="26"/>
                <w:szCs w:val="26"/>
                <w14:ligatures w14:val="none"/>
              </w:rPr>
            </w:pPr>
            <w:r w:rsidRPr="00BC1F15">
              <w:rPr>
                <w:rFonts w:ascii="Times New Roman" w:eastAsia="Times New Roman" w:hAnsi="Times New Roman" w:cs="Times New Roman"/>
                <w:b/>
                <w:bCs/>
                <w:color w:val="000000"/>
                <w:kern w:val="0"/>
                <w:sz w:val="26"/>
                <w:szCs w:val="26"/>
                <w14:ligatures w14:val="none"/>
              </w:rPr>
              <w:t>* Phối hợp, mở case với hãng và các đối tác có liên quan để nâng cấp hệ thống, xử lý lỗi phát sinh (nếu có):</w:t>
            </w:r>
          </w:p>
          <w:p w14:paraId="4D7642B2" w14:textId="77777777" w:rsidR="00BC1F15" w:rsidRPr="00BC1F15" w:rsidRDefault="00BC1F15" w:rsidP="00BC1F15">
            <w:pPr>
              <w:spacing w:before="60" w:after="60" w:line="276" w:lineRule="auto"/>
              <w:ind w:left="166"/>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 Yêu cầu hỗ trợ (Technical Service Request - SR) được thực hiện thông qua Trung tâm hỗ trợ khách hàng của Nhà thầu bằng hình thức gọi điện thoại, thư điện tử, chat, teamviewer,...</w:t>
            </w:r>
          </w:p>
          <w:p w14:paraId="4CE98ED0" w14:textId="77777777" w:rsidR="00BC1F15" w:rsidRPr="00BC1F15" w:rsidRDefault="00BC1F15" w:rsidP="00BC1F15">
            <w:pPr>
              <w:spacing w:before="60" w:after="60" w:line="276" w:lineRule="auto"/>
              <w:ind w:left="166"/>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t>- Trong trường hợp cần thiết phải mở case, Nhà thầu phải phối hợp để mở case trên hệ thống hỗ trợ của Oracle để nâng cấp hệ thống, xử lý lỗi phát sinh (nếu có).</w:t>
            </w:r>
          </w:p>
        </w:tc>
      </w:tr>
      <w:tr w:rsidR="00BC1F15" w:rsidRPr="00BC1F15" w14:paraId="28E09390" w14:textId="77777777" w:rsidTr="00853803">
        <w:trPr>
          <w:trHeight w:val="701"/>
        </w:trPr>
        <w:tc>
          <w:tcPr>
            <w:tcW w:w="291" w:type="pct"/>
          </w:tcPr>
          <w:p w14:paraId="48D1B047" w14:textId="77777777" w:rsidR="00BC1F15" w:rsidRPr="00BC1F15" w:rsidRDefault="00BC1F15" w:rsidP="00BC1F15">
            <w:pPr>
              <w:suppressAutoHyphens/>
              <w:spacing w:before="60" w:after="60" w:line="276" w:lineRule="auto"/>
              <w:jc w:val="center"/>
              <w:rPr>
                <w:rFonts w:ascii="Times New Roman" w:eastAsia="Times New Roman" w:hAnsi="Times New Roman" w:cs="Times New Roman"/>
                <w:spacing w:val="-6"/>
                <w:kern w:val="0"/>
                <w:sz w:val="26"/>
                <w:szCs w:val="26"/>
                <w14:ligatures w14:val="none"/>
              </w:rPr>
            </w:pPr>
            <w:r w:rsidRPr="00BC1F15">
              <w:rPr>
                <w:rFonts w:ascii="Times New Roman" w:eastAsia="Times New Roman" w:hAnsi="Times New Roman" w:cs="Times New Roman"/>
                <w:color w:val="000000"/>
                <w:kern w:val="0"/>
                <w:sz w:val="26"/>
                <w:szCs w:val="26"/>
                <w14:ligatures w14:val="none"/>
              </w:rPr>
              <w:t> 2</w:t>
            </w:r>
          </w:p>
        </w:tc>
        <w:tc>
          <w:tcPr>
            <w:tcW w:w="1531" w:type="pct"/>
          </w:tcPr>
          <w:p w14:paraId="2F645CD9" w14:textId="77777777" w:rsidR="00BC1F15" w:rsidRPr="00BC1F15" w:rsidRDefault="00BC1F15" w:rsidP="00BC1F15">
            <w:pPr>
              <w:spacing w:before="60" w:after="60" w:line="276" w:lineRule="auto"/>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color w:val="000000"/>
                <w:kern w:val="0"/>
                <w:sz w:val="26"/>
                <w:szCs w:val="26"/>
                <w14:ligatures w14:val="none"/>
              </w:rPr>
              <w:t>Hỗ trợ kỹ thuật (Software update license &amp; support) 01 năm phần mềm Oracle Real Application Cluster - Processor License</w:t>
            </w:r>
          </w:p>
        </w:tc>
        <w:tc>
          <w:tcPr>
            <w:tcW w:w="3177" w:type="pct"/>
            <w:vMerge/>
          </w:tcPr>
          <w:p w14:paraId="384ACE7E" w14:textId="77777777" w:rsidR="00BC1F15" w:rsidRPr="00BC1F15" w:rsidRDefault="00BC1F15" w:rsidP="00BC1F15">
            <w:pPr>
              <w:spacing w:before="60" w:after="60" w:line="276" w:lineRule="auto"/>
              <w:jc w:val="both"/>
              <w:rPr>
                <w:rFonts w:ascii="Times New Roman" w:eastAsia="Times New Roman" w:hAnsi="Times New Roman" w:cs="Times New Roman"/>
                <w:kern w:val="0"/>
                <w:sz w:val="26"/>
                <w:szCs w:val="26"/>
                <w14:ligatures w14:val="none"/>
              </w:rPr>
            </w:pPr>
          </w:p>
        </w:tc>
      </w:tr>
      <w:tr w:rsidR="00BC1F15" w:rsidRPr="00BC1F15" w14:paraId="504ADAEB" w14:textId="77777777" w:rsidTr="00853803">
        <w:trPr>
          <w:trHeight w:val="701"/>
        </w:trPr>
        <w:tc>
          <w:tcPr>
            <w:tcW w:w="291" w:type="pct"/>
          </w:tcPr>
          <w:p w14:paraId="4A89C258" w14:textId="77777777" w:rsidR="00BC1F15" w:rsidRPr="00BC1F15" w:rsidRDefault="00BC1F15" w:rsidP="00BC1F15">
            <w:pPr>
              <w:suppressAutoHyphens/>
              <w:spacing w:before="60" w:after="60" w:line="276" w:lineRule="auto"/>
              <w:jc w:val="center"/>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color w:val="000000"/>
                <w:kern w:val="0"/>
                <w:sz w:val="26"/>
                <w:szCs w:val="26"/>
                <w14:ligatures w14:val="none"/>
              </w:rPr>
              <w:lastRenderedPageBreak/>
              <w:t>3</w:t>
            </w:r>
          </w:p>
        </w:tc>
        <w:tc>
          <w:tcPr>
            <w:tcW w:w="1531" w:type="pct"/>
          </w:tcPr>
          <w:p w14:paraId="21F18B4E" w14:textId="77777777" w:rsidR="00BC1F15" w:rsidRPr="00BC1F15" w:rsidRDefault="00BC1F15" w:rsidP="00BC1F15">
            <w:pPr>
              <w:spacing w:before="60" w:after="60" w:line="276" w:lineRule="auto"/>
              <w:jc w:val="both"/>
              <w:rPr>
                <w:rFonts w:ascii="Times New Roman" w:eastAsia="Times New Roman" w:hAnsi="Times New Roman" w:cs="Times New Roman"/>
                <w:color w:val="000000"/>
                <w:kern w:val="0"/>
                <w:sz w:val="26"/>
                <w:szCs w:val="26"/>
                <w14:ligatures w14:val="none"/>
              </w:rPr>
            </w:pPr>
            <w:r w:rsidRPr="00BC1F15">
              <w:rPr>
                <w:rFonts w:ascii="Times New Roman" w:eastAsia="Times New Roman" w:hAnsi="Times New Roman" w:cs="Times New Roman"/>
                <w:bCs/>
                <w:color w:val="000000"/>
                <w:kern w:val="0"/>
                <w:sz w:val="26"/>
                <w:szCs w:val="26"/>
                <w14:ligatures w14:val="none"/>
              </w:rPr>
              <w:t>Dịch vụ bảo trì kỹ thuật tại chỗ do chuyên gia của nhà thầu cung cấp trong 36 tháng</w:t>
            </w:r>
          </w:p>
        </w:tc>
        <w:tc>
          <w:tcPr>
            <w:tcW w:w="3177" w:type="pct"/>
          </w:tcPr>
          <w:p w14:paraId="4A79E0F0" w14:textId="77777777" w:rsidR="00BC1F15" w:rsidRPr="00BC1F15" w:rsidRDefault="00BC1F15" w:rsidP="00BC1F15">
            <w:pPr>
              <w:spacing w:before="120" w:after="120" w:line="240" w:lineRule="auto"/>
              <w:jc w:val="both"/>
              <w:rPr>
                <w:rFonts w:ascii="Times New Roman" w:eastAsia="Times New Roman" w:hAnsi="Times New Roman" w:cs="Times New Roman"/>
                <w:bCs/>
                <w:kern w:val="0"/>
                <w:sz w:val="26"/>
                <w:szCs w:val="26"/>
                <w:lang w:val="nl-NL"/>
                <w14:ligatures w14:val="none"/>
              </w:rPr>
            </w:pPr>
            <w:r w:rsidRPr="00BC1F15">
              <w:rPr>
                <w:rFonts w:ascii="Times New Roman" w:eastAsia="Times New Roman" w:hAnsi="Times New Roman" w:cs="Times New Roman"/>
                <w:bCs/>
                <w:kern w:val="0"/>
                <w:sz w:val="26"/>
                <w:szCs w:val="26"/>
                <w:lang w:val="nl-NL"/>
                <w14:ligatures w14:val="none"/>
              </w:rPr>
              <w:t>1.Định kỳ kiểm tra hoạt động của hệ thống, chủ động hỗ trợ xử lý các lỗi (nếu có) nhằm ngăn ngừa các sự cố có thể xảy ra. Có kỹ sư onsite tại địa điểm đặt hệ thống trong vòng 90 phút kể từ khi phát hiện sự cố.</w:t>
            </w:r>
          </w:p>
          <w:p w14:paraId="40B73A78" w14:textId="77777777" w:rsidR="00BC1F15" w:rsidRPr="00BC1F15" w:rsidRDefault="00BC1F15" w:rsidP="00BC1F15">
            <w:pPr>
              <w:spacing w:before="60" w:after="60" w:line="276" w:lineRule="auto"/>
              <w:jc w:val="both"/>
              <w:rPr>
                <w:rFonts w:ascii="Times New Roman" w:eastAsia="Times New Roman" w:hAnsi="Times New Roman" w:cs="Times New Roman"/>
                <w:kern w:val="0"/>
                <w:sz w:val="26"/>
                <w:szCs w:val="26"/>
                <w14:ligatures w14:val="none"/>
              </w:rPr>
            </w:pPr>
            <w:r w:rsidRPr="00BC1F15">
              <w:rPr>
                <w:rFonts w:ascii="Times New Roman" w:eastAsia="Times New Roman" w:hAnsi="Times New Roman" w:cs="Times New Roman"/>
                <w:bCs/>
                <w:kern w:val="0"/>
                <w:sz w:val="26"/>
                <w:szCs w:val="26"/>
                <w:lang w:val="nl-NL"/>
                <w14:ligatures w14:val="none"/>
              </w:rPr>
              <w:t>2.Trong trường hợp có sự cố phát sinh ngoài khả năng hỗ trợ của chuyên gia, phối hợp với chuyên gia chính hãng khắc phục sự cố</w:t>
            </w:r>
            <w:r w:rsidRPr="00BC1F15">
              <w:rPr>
                <w:rFonts w:ascii="Times New Roman" w:eastAsia="Times New Roman" w:hAnsi="Times New Roman" w:cs="Times New Roman"/>
                <w:kern w:val="0"/>
                <w:sz w:val="26"/>
                <w:szCs w:val="26"/>
                <w14:ligatures w14:val="none"/>
              </w:rPr>
              <w:t> </w:t>
            </w:r>
          </w:p>
        </w:tc>
      </w:tr>
    </w:tbl>
    <w:p w14:paraId="62BD5497"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BC1F15">
        <w:rPr>
          <w:rFonts w:ascii="Times New Roman" w:eastAsia="Times New Roman" w:hAnsi="Times New Roman" w:cs="Times New Roman"/>
          <w:b/>
          <w:kern w:val="0"/>
          <w:sz w:val="28"/>
          <w:szCs w:val="28"/>
          <w:lang w:val="nl-NL"/>
          <w14:ligatures w14:val="none"/>
        </w:rPr>
        <w:t>4. Giải pháp và phương pháp luận:</w:t>
      </w:r>
    </w:p>
    <w:p w14:paraId="1463224A"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i/>
          <w:spacing w:val="-2"/>
          <w:kern w:val="0"/>
          <w:sz w:val="28"/>
          <w:szCs w:val="28"/>
          <w:lang w:val="nl-NL"/>
          <w14:ligatures w14:val="none"/>
        </w:rPr>
      </w:pPr>
      <w:r w:rsidRPr="00BC1F15">
        <w:rPr>
          <w:rFonts w:ascii="Times New Roman" w:eastAsia="Times New Roman" w:hAnsi="Times New Roman" w:cs="Times New Roman"/>
          <w:i/>
          <w:spacing w:val="-2"/>
          <w:kern w:val="0"/>
          <w:sz w:val="28"/>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3A2726E8"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i/>
          <w:spacing w:val="-2"/>
          <w:kern w:val="0"/>
          <w:sz w:val="28"/>
          <w:szCs w:val="28"/>
          <w:lang w:val="nl-NL"/>
          <w14:ligatures w14:val="none"/>
        </w:rPr>
      </w:pPr>
      <w:r w:rsidRPr="00BC1F15">
        <w:rPr>
          <w:rFonts w:ascii="Times New Roman" w:eastAsia="Times New Roman" w:hAnsi="Times New Roman" w:cs="Times New Roman"/>
          <w:i/>
          <w:spacing w:val="-2"/>
          <w:kern w:val="0"/>
          <w:sz w:val="28"/>
          <w:szCs w:val="28"/>
          <w:lang w:val="nl-NL"/>
          <w14:ligatures w14:val="none"/>
        </w:rPr>
        <w:t>1. Giải pháp và phương pháp luận;</w:t>
      </w:r>
    </w:p>
    <w:p w14:paraId="0B0C6AB3"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i/>
          <w:spacing w:val="-2"/>
          <w:kern w:val="0"/>
          <w:sz w:val="28"/>
          <w:szCs w:val="28"/>
          <w:lang w:val="nl-NL"/>
          <w14:ligatures w14:val="none"/>
        </w:rPr>
      </w:pPr>
      <w:r w:rsidRPr="00BC1F15">
        <w:rPr>
          <w:rFonts w:ascii="Times New Roman" w:eastAsia="Times New Roman" w:hAnsi="Times New Roman" w:cs="Times New Roman"/>
          <w:i/>
          <w:spacing w:val="-2"/>
          <w:kern w:val="0"/>
          <w:sz w:val="28"/>
          <w:szCs w:val="28"/>
          <w:lang w:val="nl-NL"/>
          <w14:ligatures w14:val="none"/>
        </w:rPr>
        <w:t>2.  Kế hoạch công tác.</w:t>
      </w:r>
    </w:p>
    <w:p w14:paraId="76661563"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BC1F15">
        <w:rPr>
          <w:rFonts w:ascii="Times New Roman" w:eastAsia="Times New Roman" w:hAnsi="Times New Roman" w:cs="Times New Roman"/>
          <w:b/>
          <w:kern w:val="0"/>
          <w:sz w:val="28"/>
          <w:szCs w:val="28"/>
          <w:lang w:val="nl-NL"/>
          <w14:ligatures w14:val="none"/>
        </w:rPr>
        <w:t>5. Quy định về kiểm tra, nghiệm thu sản phẩm:</w:t>
      </w:r>
    </w:p>
    <w:p w14:paraId="454F784B"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iCs/>
          <w:spacing w:val="-2"/>
          <w:kern w:val="0"/>
          <w:sz w:val="28"/>
          <w:szCs w:val="28"/>
          <w:lang w:val="nl-NL"/>
          <w14:ligatures w14:val="none"/>
        </w:rPr>
      </w:pPr>
      <w:r w:rsidRPr="00BC1F15">
        <w:rPr>
          <w:rFonts w:ascii="Times New Roman" w:eastAsia="Times New Roman" w:hAnsi="Times New Roman" w:cs="Times New Roman"/>
          <w:iCs/>
          <w:spacing w:val="-2"/>
          <w:kern w:val="0"/>
          <w:sz w:val="28"/>
          <w:szCs w:val="28"/>
          <w:lang w:val="nl-NL"/>
          <w14:ligatures w14:val="none"/>
        </w:rPr>
        <w:t>- Báo cáo định kỳ kiểm tra hoạt động của hệ thống.</w:t>
      </w:r>
    </w:p>
    <w:p w14:paraId="14C69C82" w14:textId="77777777" w:rsidR="00BC1F15" w:rsidRPr="00BC1F15" w:rsidRDefault="00BC1F15" w:rsidP="00BC1F15">
      <w:pPr>
        <w:spacing w:before="120" w:after="120" w:line="240" w:lineRule="auto"/>
        <w:ind w:firstLine="709"/>
        <w:jc w:val="both"/>
        <w:rPr>
          <w:rFonts w:ascii="Times New Roman" w:eastAsia="Times New Roman" w:hAnsi="Times New Roman" w:cs="Times New Roman"/>
          <w:iCs/>
          <w:spacing w:val="-2"/>
          <w:kern w:val="0"/>
          <w:sz w:val="28"/>
          <w:szCs w:val="28"/>
          <w:lang w:val="nl-NL"/>
          <w14:ligatures w14:val="none"/>
        </w:rPr>
      </w:pPr>
      <w:r w:rsidRPr="00BC1F15">
        <w:rPr>
          <w:rFonts w:ascii="Times New Roman" w:eastAsia="Times New Roman" w:hAnsi="Times New Roman" w:cs="Times New Roman"/>
          <w:iCs/>
          <w:spacing w:val="-2"/>
          <w:kern w:val="0"/>
          <w:sz w:val="28"/>
          <w:szCs w:val="28"/>
          <w:lang w:val="nl-NL"/>
          <w14:ligatures w14:val="none"/>
        </w:rPr>
        <w:t>- Báo cáo trường hợp sự cố phát sinh.</w:t>
      </w:r>
    </w:p>
    <w:p w14:paraId="1DD24433" w14:textId="77777777" w:rsidR="00C5694A" w:rsidRDefault="00C5694A"/>
    <w:sectPr w:rsidR="00C5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4108"/>
    <w:multiLevelType w:val="hybridMultilevel"/>
    <w:tmpl w:val="9866197E"/>
    <w:lvl w:ilvl="0" w:tplc="9BC0825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5358F4"/>
    <w:multiLevelType w:val="hybridMultilevel"/>
    <w:tmpl w:val="9B104748"/>
    <w:lvl w:ilvl="0" w:tplc="D72EB36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7"/>
        <w:szCs w:val="27"/>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183300">
    <w:abstractNumId w:val="0"/>
  </w:num>
  <w:num w:numId="2" w16cid:durableId="166901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15"/>
    <w:rsid w:val="004941E8"/>
    <w:rsid w:val="005F0C12"/>
    <w:rsid w:val="0068502C"/>
    <w:rsid w:val="00A3514C"/>
    <w:rsid w:val="00A72607"/>
    <w:rsid w:val="00BC1F15"/>
    <w:rsid w:val="00C5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532A"/>
  <w15:chartTrackingRefBased/>
  <w15:docId w15:val="{9D7540DC-58A6-4DE9-847C-B97D8E5E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F15"/>
    <w:rPr>
      <w:rFonts w:eastAsiaTheme="majorEastAsia" w:cstheme="majorBidi"/>
      <w:color w:val="272727" w:themeColor="text1" w:themeTint="D8"/>
    </w:rPr>
  </w:style>
  <w:style w:type="paragraph" w:styleId="Title">
    <w:name w:val="Title"/>
    <w:basedOn w:val="Normal"/>
    <w:next w:val="Normal"/>
    <w:link w:val="TitleChar"/>
    <w:uiPriority w:val="10"/>
    <w:qFormat/>
    <w:rsid w:val="00BC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F15"/>
    <w:pPr>
      <w:spacing w:before="160"/>
      <w:jc w:val="center"/>
    </w:pPr>
    <w:rPr>
      <w:i/>
      <w:iCs/>
      <w:color w:val="404040" w:themeColor="text1" w:themeTint="BF"/>
    </w:rPr>
  </w:style>
  <w:style w:type="character" w:customStyle="1" w:styleId="QuoteChar">
    <w:name w:val="Quote Char"/>
    <w:basedOn w:val="DefaultParagraphFont"/>
    <w:link w:val="Quote"/>
    <w:uiPriority w:val="29"/>
    <w:rsid w:val="00BC1F15"/>
    <w:rPr>
      <w:i/>
      <w:iCs/>
      <w:color w:val="404040" w:themeColor="text1" w:themeTint="BF"/>
    </w:rPr>
  </w:style>
  <w:style w:type="paragraph" w:styleId="ListParagraph">
    <w:name w:val="List Paragraph"/>
    <w:basedOn w:val="Normal"/>
    <w:uiPriority w:val="34"/>
    <w:qFormat/>
    <w:rsid w:val="00BC1F15"/>
    <w:pPr>
      <w:ind w:left="720"/>
      <w:contextualSpacing/>
    </w:pPr>
  </w:style>
  <w:style w:type="character" w:styleId="IntenseEmphasis">
    <w:name w:val="Intense Emphasis"/>
    <w:basedOn w:val="DefaultParagraphFont"/>
    <w:uiPriority w:val="21"/>
    <w:qFormat/>
    <w:rsid w:val="00BC1F15"/>
    <w:rPr>
      <w:i/>
      <w:iCs/>
      <w:color w:val="0F4761" w:themeColor="accent1" w:themeShade="BF"/>
    </w:rPr>
  </w:style>
  <w:style w:type="paragraph" w:styleId="IntenseQuote">
    <w:name w:val="Intense Quote"/>
    <w:basedOn w:val="Normal"/>
    <w:next w:val="Normal"/>
    <w:link w:val="IntenseQuoteChar"/>
    <w:uiPriority w:val="30"/>
    <w:qFormat/>
    <w:rsid w:val="00BC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F15"/>
    <w:rPr>
      <w:i/>
      <w:iCs/>
      <w:color w:val="0F4761" w:themeColor="accent1" w:themeShade="BF"/>
    </w:rPr>
  </w:style>
  <w:style w:type="character" w:styleId="IntenseReference">
    <w:name w:val="Intense Reference"/>
    <w:basedOn w:val="DefaultParagraphFont"/>
    <w:uiPriority w:val="32"/>
    <w:qFormat/>
    <w:rsid w:val="00BC1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 Tuan  (PETROLIMEX)</dc:creator>
  <cp:keywords/>
  <dc:description/>
  <cp:lastModifiedBy>Linh, Nguyen Tuan  (PETROLIMEX)</cp:lastModifiedBy>
  <cp:revision>1</cp:revision>
  <dcterms:created xsi:type="dcterms:W3CDTF">2026-05-11T08:34:00Z</dcterms:created>
  <dcterms:modified xsi:type="dcterms:W3CDTF">2026-05-11T08:35:00Z</dcterms:modified>
</cp:coreProperties>
</file>