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004" w:rsidRPr="00075004" w:rsidRDefault="00075004" w:rsidP="00075004">
      <w:pPr>
        <w:widowControl w:val="0"/>
        <w:autoSpaceDE w:val="0"/>
        <w:autoSpaceDN w:val="0"/>
        <w:adjustRightInd w:val="0"/>
        <w:spacing w:before="120"/>
        <w:jc w:val="center"/>
        <w:rPr>
          <w:rFonts w:eastAsia="Times New Roman"/>
          <w:b/>
          <w:bCs/>
          <w:sz w:val="28"/>
          <w:szCs w:val="28"/>
        </w:rPr>
      </w:pPr>
      <w:bookmarkStart w:id="0" w:name="_GoBack"/>
      <w:r w:rsidRPr="00075004">
        <w:rPr>
          <w:rFonts w:eastAsia="Times New Roman"/>
          <w:b/>
          <w:bCs/>
          <w:sz w:val="28"/>
          <w:szCs w:val="28"/>
        </w:rPr>
        <w:t>Chương VII. ĐIỀU KIỆN CỤ THỂ CỦA HỢP ĐỒNG</w:t>
      </w:r>
    </w:p>
    <w:p w:rsidR="00075004" w:rsidRPr="00075004" w:rsidRDefault="00075004" w:rsidP="00075004">
      <w:pPr>
        <w:widowControl w:val="0"/>
        <w:autoSpaceDE w:val="0"/>
        <w:autoSpaceDN w:val="0"/>
        <w:adjustRightInd w:val="0"/>
        <w:spacing w:before="120"/>
        <w:rPr>
          <w:rFonts w:eastAsia="Times New Roman"/>
          <w:sz w:val="28"/>
          <w:szCs w:val="28"/>
        </w:rPr>
      </w:pPr>
      <w:r w:rsidRPr="00075004">
        <w:rPr>
          <w:rFonts w:eastAsia="Times New Roman"/>
          <w:sz w:val="28"/>
          <w:szCs w:val="28"/>
        </w:rPr>
        <w:t xml:space="preserve">Trừ khi có quy định khác, toàn bộ </w:t>
      </w:r>
      <w:r w:rsidRPr="00075004">
        <w:rPr>
          <w:rFonts w:eastAsia="Times New Roman"/>
          <w:b/>
          <w:bCs/>
          <w:sz w:val="28"/>
          <w:szCs w:val="28"/>
        </w:rPr>
        <w:t xml:space="preserve">ĐKCT </w:t>
      </w:r>
      <w:r w:rsidRPr="00075004">
        <w:rPr>
          <w:rFonts w:eastAsia="Times New Roman"/>
          <w:sz w:val="28"/>
          <w:szCs w:val="28"/>
        </w:rPr>
        <w:t>phải được Chủ đầu tư ghi đầy đủ trước khi phát hành E-HSMT.</w:t>
      </w:r>
    </w:p>
    <w:p w:rsidR="00075004" w:rsidRPr="00075004" w:rsidRDefault="00075004" w:rsidP="00075004">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t>ĐKC 1.1</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 xml:space="preserve">Chủ đầu tư là: Bệnh viện Đa khoa Bắc Ninh số 2 </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t>ĐKC 1.3</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Nhà thầu:_____</w:t>
            </w:r>
            <w:r w:rsidRPr="00075004">
              <w:rPr>
                <w:rFonts w:eastAsia="Times New Roman"/>
                <w:bCs/>
                <w:i/>
                <w:sz w:val="28"/>
                <w:szCs w:val="28"/>
              </w:rPr>
              <w:t>[ghi tên Nhà thầu trúng thầu].</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t>ĐKC 1.9</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Địa điểm Dự toán/ Điểm giao hàng cuối cùng là: kho Khoa Dược- Bệnh viện Đa khoa Bắc Ninh số 2.</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t>ĐKC 2.8</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Các tài liệu sau đây cũng là một phần của Hợp đồng: Các tài liệu khác có liên quan (nếu có)</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t>ĐKC 4</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Chủ đầu tư không thể ủy quyền các nghĩa vụ và trách nhiệm của mình cho người khác.</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t>ĐKC 5.1</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Các thông báo cần gửi về Chủ đầu tư theo địa chỉ dưới đây:</w:t>
            </w:r>
          </w:p>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Người nhận: Bệnh viện Đa khoa Bắc Ninh số 2.</w:t>
            </w:r>
          </w:p>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 xml:space="preserve">Địa chỉ: </w:t>
            </w:r>
            <w:r w:rsidRPr="00075004">
              <w:rPr>
                <w:rFonts w:ascii="Cambria" w:hAnsi="Cambria" w:cs="Cambria"/>
                <w:bCs/>
                <w:sz w:val="28"/>
                <w:szCs w:val="28"/>
              </w:rPr>
              <w:t>Đư</w:t>
            </w:r>
            <w:r w:rsidRPr="00075004">
              <w:rPr>
                <w:bCs/>
                <w:sz w:val="28"/>
                <w:szCs w:val="28"/>
              </w:rPr>
              <w:t>ờng Nguyễn Quyền- Ph</w:t>
            </w:r>
            <w:r w:rsidRPr="00075004">
              <w:rPr>
                <w:rFonts w:ascii="Cambria" w:hAnsi="Cambria" w:cs="Cambria"/>
                <w:bCs/>
                <w:sz w:val="28"/>
                <w:szCs w:val="28"/>
              </w:rPr>
              <w:t>ư</w:t>
            </w:r>
            <w:r w:rsidRPr="00075004">
              <w:rPr>
                <w:bCs/>
                <w:sz w:val="28"/>
                <w:szCs w:val="28"/>
              </w:rPr>
              <w:t>ờng Võ C</w:t>
            </w:r>
            <w:r w:rsidRPr="00075004">
              <w:rPr>
                <w:rFonts w:ascii="Cambria" w:hAnsi="Cambria" w:cs="Cambria"/>
                <w:bCs/>
                <w:sz w:val="28"/>
                <w:szCs w:val="28"/>
              </w:rPr>
              <w:t>ư</w:t>
            </w:r>
            <w:r w:rsidRPr="00075004">
              <w:rPr>
                <w:bCs/>
                <w:sz w:val="28"/>
                <w:szCs w:val="28"/>
              </w:rPr>
              <w:t>ờng- Tỉnh Bắc Ninh.</w:t>
            </w:r>
          </w:p>
          <w:p w:rsidR="00075004" w:rsidRPr="00075004" w:rsidRDefault="00075004" w:rsidP="001E20D3">
            <w:pPr>
              <w:widowControl w:val="0"/>
              <w:autoSpaceDE w:val="0"/>
              <w:autoSpaceDN w:val="0"/>
              <w:adjustRightInd w:val="0"/>
              <w:spacing w:before="120"/>
              <w:ind w:left="142" w:right="187"/>
              <w:jc w:val="both"/>
              <w:rPr>
                <w:bCs/>
                <w:sz w:val="28"/>
                <w:szCs w:val="28"/>
              </w:rPr>
            </w:pPr>
            <w:r w:rsidRPr="00075004">
              <w:rPr>
                <w:rFonts w:eastAsia="Times New Roman"/>
                <w:bCs/>
                <w:sz w:val="28"/>
                <w:szCs w:val="28"/>
              </w:rPr>
              <w:t xml:space="preserve">Điện thoại: </w:t>
            </w:r>
            <w:r w:rsidRPr="00075004">
              <w:rPr>
                <w:bCs/>
                <w:sz w:val="28"/>
                <w:szCs w:val="28"/>
              </w:rPr>
              <w:t>(+84)222.3821242.</w:t>
            </w:r>
          </w:p>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Fax: ____</w:t>
            </w:r>
            <w:r w:rsidRPr="00075004">
              <w:rPr>
                <w:rFonts w:eastAsia="Times New Roman"/>
                <w:bCs/>
                <w:i/>
                <w:sz w:val="28"/>
                <w:szCs w:val="28"/>
              </w:rPr>
              <w:t>[ghi số fax, bao gồm mã quốc gia và mã thành phố]</w:t>
            </w:r>
            <w:r w:rsidRPr="00075004">
              <w:rPr>
                <w:rFonts w:eastAsia="Times New Roman"/>
                <w:bCs/>
                <w:sz w:val="28"/>
                <w:szCs w:val="28"/>
              </w:rPr>
              <w:t>.</w:t>
            </w:r>
          </w:p>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Địa chỉ email: bvdkbacninh@gmail.com</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t>ĐKC 6.1</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 xml:space="preserve">- Hình thức bảo đảm thực hiện hợp đồng: </w:t>
            </w:r>
            <w:r w:rsidRPr="00075004">
              <w:rPr>
                <w:rFonts w:eastAsia="Times New Roman"/>
                <w:bCs/>
                <w:i/>
                <w:sz w:val="28"/>
                <w:szCs w:val="28"/>
              </w:rPr>
              <w:t>Theo quy định tại Khoản 1 Điều 68 Luật đấu thầu, Nhà thầu cung cấp một bảo đảm thực hiện hợp đồng theo Thư bảo lãnh của tổ chức tín dụng trong nước, chi nhánh ngân hàng nước ngoài được thành lập theo pháp luật Việt Nam hoặc Giấy chứng nhận bảo hiểm bảo lãnh của doanh nghiệp bảo hiểm phi nhân thọ trong nước, chi nhánh doanh nghiệp bảo hiểm phi nhân thọ nước ngoài được thành lập theo pháp luật Việt Nam hoặc đặt cọc. Trường hợp Nhà thầu nộp Thư bảo lãnh của Ngân hàng hoặc tổ chức tín dụng hoạt động hợp pháp tại Việt Nam phát hành thì phải là bảo đảm không có điều kiện (trả tiền khi có yêu cầu, theo Mẫu số 14a Chương VIII – Biểu mẫu hợp đồng)].</w:t>
            </w:r>
          </w:p>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 Giá trị bảo đảm thực hiện hợp đồng: 3% Giá hợp đồng</w:t>
            </w:r>
          </w:p>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 Hiệu lực của bảo đảm thực hiện hợp đồng: tối thiểu 12 tháng kể từ ngày hợp đồng có hiệu lực.</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t>ĐKC 6.2</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 xml:space="preserve">Thời hạn hoàn trả bảo đảm thực hiện hợp đồng: 20 ngày kể từ ngày </w:t>
            </w:r>
            <w:r w:rsidRPr="00075004">
              <w:rPr>
                <w:rFonts w:eastAsia="Times New Roman"/>
                <w:bCs/>
                <w:sz w:val="28"/>
                <w:szCs w:val="28"/>
              </w:rPr>
              <w:lastRenderedPageBreak/>
              <w:t>hai bên ký biên bản nghiệm thu, thanh lý hợp đồng.</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lastRenderedPageBreak/>
              <w:t>ĐKC 7.1</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Danh sách nhà thầu phụ: Không áp dụng</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b/>
                <w:bCs/>
                <w:sz w:val="28"/>
                <w:szCs w:val="28"/>
              </w:rPr>
            </w:pPr>
            <w:r w:rsidRPr="00075004">
              <w:rPr>
                <w:rFonts w:eastAsia="Times New Roman"/>
                <w:b/>
                <w:bCs/>
                <w:sz w:val="28"/>
                <w:szCs w:val="28"/>
              </w:rPr>
              <w:t>ĐKC 7.3</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bCs/>
                <w:sz w:val="28"/>
                <w:szCs w:val="28"/>
              </w:rPr>
            </w:pPr>
            <w:r w:rsidRPr="00075004">
              <w:rPr>
                <w:rFonts w:eastAsia="Times New Roman"/>
                <w:bCs/>
                <w:sz w:val="28"/>
                <w:szCs w:val="28"/>
              </w:rPr>
              <w:t>Nêu các yêu cầu cần thiết khác về nhà thầu phụ: Không áp dụng</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8.2</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 Thời gian để tiến hành hòa giải: 20 ngày</w:t>
            </w:r>
            <w:r w:rsidRPr="00075004">
              <w:rPr>
                <w:rFonts w:eastAsia="Times New Roman"/>
                <w:i/>
                <w:iCs/>
                <w:sz w:val="28"/>
                <w:szCs w:val="28"/>
              </w:rPr>
              <w:t>.</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 Giải quyết tranh chấp: Sau 20 ngày hòa giải không thành công, hai bên sẽ giải quyết tranh chấp tại Tòa Kinh tế - Tòa án Nhân dân Tỉnh Bắc Ninh. Phán quyết của Tòa này là có hiệu lực bắt buộc đối với cả hai bên. Chi phí cho phiên tòa sẽ do bên thua chịu toàn bộ.</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10</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Nhà thầu phải cung cấp các thông tin và chứng từ sau đây về việc vận chuyển thuốc: Hóa đơn thuốc, phiếu kiểm nghiệm, Phiếu báo lô, hạn dùng của thuốc cho từng lô hàng (Số lô, hạn dùng có thể in kèm trên hóa đơn). Các tài liệu được cung cấp theo từng đợt giao hàng.</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12</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Loại hợp đồng: Đơn giá cố định</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13.1</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Giá hợp đồng:</w:t>
            </w:r>
            <w:r w:rsidRPr="00075004">
              <w:t xml:space="preserve"> </w:t>
            </w:r>
            <w:r w:rsidRPr="00075004">
              <w:rPr>
                <w:sz w:val="28"/>
                <w:szCs w:val="28"/>
              </w:rPr>
              <w:t>G</w:t>
            </w:r>
            <w:r w:rsidRPr="00075004">
              <w:rPr>
                <w:rFonts w:eastAsia="Times New Roman"/>
                <w:sz w:val="28"/>
                <w:szCs w:val="28"/>
              </w:rPr>
              <w:t>hi giá hợp đồng theo giá trị nêu trong Thư chấp thuận E- HSDT và trao hợp đồng</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14</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Điều chỉnh thuế: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15.1</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Phương thức thanh toán:</w:t>
            </w:r>
            <w:r w:rsidRPr="00075004">
              <w:t xml:space="preserve"> </w:t>
            </w:r>
            <w:r w:rsidRPr="00075004">
              <w:rPr>
                <w:rFonts w:eastAsia="Times New Roman"/>
                <w:sz w:val="28"/>
                <w:szCs w:val="28"/>
              </w:rPr>
              <w:t>Việc thanh toán cho Nhà thầu bằng hình thức chuyển khoản hoặc hình thức phù hợp theo quy định hiện hành. Số lần thanh toán là một hoặc nhiều lần trong quá trình thực hiện hợp đồng.</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 xml:space="preserve">Thời hạn thanh toán trong vòng 90 ngày kể từ khi Nhà thầu xuất trình đầy đủ các chứng từ theo đúng qui định của pháp luật và thuộc trách nhiệm của Nhà thầu. </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lastRenderedPageBreak/>
              <w:t>Về chứng từ thanh toán phù hợp: do Bệnh viện thống nhất chi tiết với Nhà thầu phù hợp với quy định của pháp luật.</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Giá trị thanh toán bằng số lượng thực tế mà nhà thầu đã thực hiện nhân với đơn giá tương ứng của hàng hóa trong hợp đồng. Đồng tiền thanh toán theo hợp đồng: Việt Nam Đồng (VND)</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lastRenderedPageBreak/>
              <w:t>ĐKC 19</w:t>
            </w:r>
          </w:p>
        </w:tc>
        <w:tc>
          <w:tcPr>
            <w:tcW w:w="4095" w:type="pct"/>
          </w:tcPr>
          <w:p w:rsidR="00075004" w:rsidRPr="00075004" w:rsidRDefault="00075004" w:rsidP="00075004">
            <w:pPr>
              <w:widowControl w:val="0"/>
              <w:numPr>
                <w:ilvl w:val="0"/>
                <w:numId w:val="1"/>
              </w:numPr>
              <w:autoSpaceDE w:val="0"/>
              <w:autoSpaceDN w:val="0"/>
              <w:adjustRightInd w:val="0"/>
              <w:spacing w:before="120"/>
              <w:ind w:right="187"/>
              <w:jc w:val="both"/>
              <w:rPr>
                <w:rFonts w:eastAsia="Times New Roman"/>
                <w:sz w:val="28"/>
                <w:szCs w:val="28"/>
              </w:rPr>
            </w:pPr>
            <w:r w:rsidRPr="00075004">
              <w:rPr>
                <w:rFonts w:eastAsia="Times New Roman"/>
                <w:sz w:val="28"/>
                <w:szCs w:val="28"/>
              </w:rPr>
              <w:t>Đóng gói thuốc :</w:t>
            </w:r>
          </w:p>
          <w:p w:rsidR="00075004" w:rsidRPr="00075004" w:rsidRDefault="00075004" w:rsidP="00075004">
            <w:pPr>
              <w:widowControl w:val="0"/>
              <w:numPr>
                <w:ilvl w:val="0"/>
                <w:numId w:val="1"/>
              </w:numPr>
              <w:autoSpaceDE w:val="0"/>
              <w:autoSpaceDN w:val="0"/>
              <w:adjustRightInd w:val="0"/>
              <w:spacing w:before="120"/>
              <w:ind w:right="187"/>
              <w:jc w:val="both"/>
              <w:rPr>
                <w:rFonts w:eastAsia="Times New Roman"/>
                <w:sz w:val="28"/>
                <w:szCs w:val="28"/>
              </w:rPr>
            </w:pPr>
            <w:r w:rsidRPr="00075004">
              <w:rPr>
                <w:rFonts w:eastAsia="Times New Roman"/>
                <w:sz w:val="28"/>
                <w:szCs w:val="28"/>
              </w:rPr>
              <w:t>- Thuốc phải được đóng gói, bảo quản theo đúng quy cách và yêu cầu của nhà sản xuất theo đúng danh mục ghi trong hợp đồng;</w:t>
            </w:r>
          </w:p>
          <w:p w:rsidR="00075004" w:rsidRPr="00075004" w:rsidRDefault="00075004" w:rsidP="00075004">
            <w:pPr>
              <w:widowControl w:val="0"/>
              <w:numPr>
                <w:ilvl w:val="0"/>
                <w:numId w:val="1"/>
              </w:numPr>
              <w:autoSpaceDE w:val="0"/>
              <w:autoSpaceDN w:val="0"/>
              <w:adjustRightInd w:val="0"/>
              <w:spacing w:before="120"/>
              <w:ind w:right="187"/>
              <w:jc w:val="both"/>
              <w:rPr>
                <w:rFonts w:eastAsia="Times New Roman"/>
                <w:sz w:val="28"/>
                <w:szCs w:val="28"/>
              </w:rPr>
            </w:pPr>
            <w:r w:rsidRPr="00075004">
              <w:rPr>
                <w:rFonts w:eastAsia="Times New Roman"/>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075004" w:rsidRPr="00075004" w:rsidRDefault="00075004" w:rsidP="001E20D3">
            <w:pPr>
              <w:widowControl w:val="0"/>
              <w:autoSpaceDE w:val="0"/>
              <w:autoSpaceDN w:val="0"/>
              <w:adjustRightInd w:val="0"/>
              <w:spacing w:before="120"/>
              <w:ind w:right="187"/>
              <w:jc w:val="both"/>
              <w:rPr>
                <w:rFonts w:eastAsia="Times New Roman"/>
                <w:sz w:val="28"/>
                <w:szCs w:val="28"/>
                <w:u w:val="single"/>
              </w:rPr>
            </w:pPr>
            <w:r w:rsidRPr="00075004">
              <w:rPr>
                <w:rFonts w:eastAsia="Times New Roman"/>
                <w:sz w:val="28"/>
                <w:szCs w:val="28"/>
              </w:rPr>
              <w:t>- Với các thuốc lẻ (không đủ điều kiện đóng thùng) nhà thầu cần đóng gói theo đúng các nguyên tắc GDP khi giao nhận, vận chuyển.</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20</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Nội dung bảo hiểm: phù hợp với quy định của pháp luật cũng như phù hợp với các điều kiện thương mại được áp dụng</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21</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b/>
                <w:bCs/>
                <w:sz w:val="28"/>
                <w:szCs w:val="28"/>
              </w:rPr>
              <w:t xml:space="preserve">- </w:t>
            </w:r>
            <w:r w:rsidRPr="00075004">
              <w:rPr>
                <w:rFonts w:eastAsia="Times New Roman"/>
                <w:sz w:val="28"/>
                <w:szCs w:val="28"/>
              </w:rPr>
              <w:t>Yêu cầu về vận chuyển thuốc: Nhà thầu phải vận chuyển thuốc đến kho khoa Dược - Bệnh viện Đa khoa Bắc Ninh số 2.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b/>
                <w:bCs/>
                <w:sz w:val="28"/>
                <w:szCs w:val="28"/>
              </w:rPr>
              <w:t xml:space="preserve">- </w:t>
            </w:r>
            <w:r w:rsidRPr="00075004">
              <w:rPr>
                <w:rFonts w:eastAsia="Times New Roman"/>
                <w:sz w:val="28"/>
                <w:szCs w:val="28"/>
              </w:rPr>
              <w:t>Các yêu cầu khác: Không có</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22.1</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Kiểm tra, thử nghiệm thuốc</w:t>
            </w:r>
            <w:r w:rsidRPr="00075004">
              <w:rPr>
                <w:rFonts w:eastAsia="Times New Roman"/>
                <w:i/>
                <w:iCs/>
                <w:sz w:val="28"/>
                <w:szCs w:val="28"/>
              </w:rPr>
              <w:t xml:space="preserve"> </w:t>
            </w:r>
            <w:r w:rsidRPr="00075004">
              <w:rPr>
                <w:rFonts w:eastAsia="Times New Roman"/>
                <w:sz w:val="28"/>
                <w:szCs w:val="28"/>
              </w:rPr>
              <w:t xml:space="preserve">: </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 Khi giao hàng hai bên cùng kiểm tra chất lượng thuốc và chứng từ, tài liệu kèm theo.</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 Trong trường hợp Chủ đầu tư nghi ngờ thuốc không đạt tiêu chuẩn chất lượng đã đăng ký với với cơ quan quản lý nhà nước trong quá trình giao nhận và sử dụng mà không do lỗi của chủ đầu tư thì tiến hành kiểm tra thử nghiệm:</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 Nội dung: tiến hành kiểm tra, thử nghiệm các tiêu chí của thuốc đã đăng ký với cơ quan quản lý nhà nước.</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 xml:space="preserve">+ Địa điểm: Được tiến hành tại cơ sở kiểm nghiệm hợp pháp theo </w:t>
            </w:r>
            <w:r w:rsidRPr="00075004">
              <w:rPr>
                <w:rFonts w:eastAsia="Times New Roman"/>
                <w:sz w:val="28"/>
                <w:szCs w:val="28"/>
              </w:rPr>
              <w:lastRenderedPageBreak/>
              <w:t>quy định hiện hành.</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 Chi phí kiểm nghiệm: Bên yêu cầu trả nếu kết quả kiểm nghiệm đạt yêu cầu theo quy định; Nhà thầu trả nếu kết quả kiểm nghiệm không đạt yêu cầu theo quy định.</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 Thuốc qua kiểm tra, thử nghiệm mà không phù hợp với đặc tính kỹ thuật theo quy định. Nhà thầu có trách nhiệm thu hồi và cung ứng loại thuốc thay thế đảm bảo chất lượng.</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lastRenderedPageBreak/>
              <w:t>ĐKC 23</w:t>
            </w:r>
          </w:p>
        </w:tc>
        <w:tc>
          <w:tcPr>
            <w:tcW w:w="4095" w:type="pct"/>
          </w:tcPr>
          <w:p w:rsidR="00075004" w:rsidRPr="00075004" w:rsidRDefault="00075004" w:rsidP="001E20D3">
            <w:pPr>
              <w:widowControl w:val="0"/>
              <w:autoSpaceDE w:val="0"/>
              <w:autoSpaceDN w:val="0"/>
              <w:adjustRightInd w:val="0"/>
              <w:spacing w:before="120"/>
              <w:ind w:left="142" w:right="187"/>
              <w:jc w:val="both"/>
              <w:rPr>
                <w:sz w:val="28"/>
                <w:szCs w:val="28"/>
              </w:rPr>
            </w:pPr>
            <w:r w:rsidRPr="00075004">
              <w:rPr>
                <w:sz w:val="28"/>
                <w:szCs w:val="28"/>
              </w:rPr>
              <w:t>Tổng giá trị phạt vi phạm hợp đồng tối đa là: 8% giá trị hàng hóa giao chậm.</w:t>
            </w:r>
          </w:p>
          <w:p w:rsidR="00075004" w:rsidRPr="00075004" w:rsidRDefault="00075004" w:rsidP="001E20D3">
            <w:pPr>
              <w:widowControl w:val="0"/>
              <w:autoSpaceDE w:val="0"/>
              <w:autoSpaceDN w:val="0"/>
              <w:adjustRightInd w:val="0"/>
              <w:spacing w:before="120"/>
              <w:ind w:left="142" w:right="187"/>
              <w:jc w:val="both"/>
              <w:rPr>
                <w:i/>
                <w:iCs/>
                <w:sz w:val="28"/>
                <w:szCs w:val="28"/>
              </w:rPr>
            </w:pPr>
            <w:r w:rsidRPr="00075004">
              <w:rPr>
                <w:sz w:val="28"/>
                <w:szCs w:val="28"/>
              </w:rPr>
              <w:t xml:space="preserve">Mức khấu trừ: 1%/tuần cho đến khi nội dung công việc đó được thực hiện. Chủ </w:t>
            </w:r>
            <w:r w:rsidRPr="00075004">
              <w:rPr>
                <w:rFonts w:ascii="Cambria" w:hAnsi="Cambria" w:cs="Cambria"/>
                <w:sz w:val="28"/>
                <w:szCs w:val="28"/>
              </w:rPr>
              <w:t>đ</w:t>
            </w:r>
            <w:r w:rsidRPr="00075004">
              <w:rPr>
                <w:sz w:val="28"/>
                <w:szCs w:val="28"/>
              </w:rPr>
              <w:t>ầu t</w:t>
            </w:r>
            <w:r w:rsidRPr="00075004">
              <w:rPr>
                <w:rFonts w:ascii="Cambria" w:hAnsi="Cambria" w:cs="Cambria"/>
                <w:sz w:val="28"/>
                <w:szCs w:val="28"/>
              </w:rPr>
              <w:t>ư</w:t>
            </w:r>
            <w:r w:rsidRPr="00075004">
              <w:rPr>
                <w:sz w:val="28"/>
                <w:szCs w:val="28"/>
              </w:rPr>
              <w:t xml:space="preserve"> sẽ khấu trừ tối </w:t>
            </w:r>
            <w:r w:rsidRPr="00075004">
              <w:rPr>
                <w:rFonts w:ascii="Cambria" w:hAnsi="Cambria" w:cs="Cambria"/>
                <w:sz w:val="28"/>
                <w:szCs w:val="28"/>
              </w:rPr>
              <w:t>đ</w:t>
            </w:r>
            <w:r w:rsidRPr="00075004">
              <w:rPr>
                <w:sz w:val="28"/>
                <w:szCs w:val="28"/>
              </w:rPr>
              <w:t xml:space="preserve">a </w:t>
            </w:r>
            <w:r w:rsidRPr="00075004">
              <w:rPr>
                <w:rFonts w:ascii="Cambria" w:hAnsi="Cambria" w:cs="Cambria"/>
                <w:sz w:val="28"/>
                <w:szCs w:val="28"/>
              </w:rPr>
              <w:t>đ</w:t>
            </w:r>
            <w:r w:rsidRPr="00075004">
              <w:rPr>
                <w:sz w:val="28"/>
                <w:szCs w:val="28"/>
              </w:rPr>
              <w:t>ến 8% giá trị hàng hóa giao chậm.</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sz w:val="28"/>
                <w:szCs w:val="28"/>
              </w:rPr>
              <w:t xml:space="preserve">Khi </w:t>
            </w:r>
            <w:r w:rsidRPr="00075004">
              <w:rPr>
                <w:rFonts w:ascii="Cambria" w:hAnsi="Cambria" w:cs="Cambria"/>
                <w:sz w:val="28"/>
                <w:szCs w:val="28"/>
              </w:rPr>
              <w:t>đ</w:t>
            </w:r>
            <w:r w:rsidRPr="00075004">
              <w:rPr>
                <w:sz w:val="28"/>
                <w:szCs w:val="28"/>
              </w:rPr>
              <w:t xml:space="preserve">ạt </w:t>
            </w:r>
            <w:r w:rsidRPr="00075004">
              <w:rPr>
                <w:rFonts w:ascii="Cambria" w:hAnsi="Cambria" w:cs="Cambria"/>
                <w:sz w:val="28"/>
                <w:szCs w:val="28"/>
              </w:rPr>
              <w:t>đ</w:t>
            </w:r>
            <w:r w:rsidRPr="00075004">
              <w:rPr>
                <w:sz w:val="28"/>
                <w:szCs w:val="28"/>
              </w:rPr>
              <w:t xml:space="preserve">ến mức phạt tối </w:t>
            </w:r>
            <w:r w:rsidRPr="00075004">
              <w:rPr>
                <w:rFonts w:ascii="Cambria" w:hAnsi="Cambria" w:cs="Cambria"/>
                <w:sz w:val="28"/>
                <w:szCs w:val="28"/>
              </w:rPr>
              <w:t>đ</w:t>
            </w:r>
            <w:r w:rsidRPr="00075004">
              <w:rPr>
                <w:sz w:val="28"/>
                <w:szCs w:val="28"/>
              </w:rPr>
              <w:t xml:space="preserve">a, Chủ </w:t>
            </w:r>
            <w:r w:rsidRPr="00075004">
              <w:rPr>
                <w:rFonts w:ascii="Cambria" w:hAnsi="Cambria" w:cs="Cambria"/>
                <w:sz w:val="28"/>
                <w:szCs w:val="28"/>
              </w:rPr>
              <w:t>đ</w:t>
            </w:r>
            <w:r w:rsidRPr="00075004">
              <w:rPr>
                <w:sz w:val="28"/>
                <w:szCs w:val="28"/>
              </w:rPr>
              <w:t>ầu t</w:t>
            </w:r>
            <w:r w:rsidRPr="00075004">
              <w:rPr>
                <w:rFonts w:ascii="Cambria" w:hAnsi="Cambria" w:cs="Cambria"/>
                <w:sz w:val="28"/>
                <w:szCs w:val="28"/>
              </w:rPr>
              <w:t>ư</w:t>
            </w:r>
            <w:r w:rsidRPr="00075004">
              <w:rPr>
                <w:sz w:val="28"/>
                <w:szCs w:val="28"/>
              </w:rPr>
              <w:t xml:space="preserve"> có thể xem xét chấm dứt hợp </w:t>
            </w:r>
            <w:r w:rsidRPr="00075004">
              <w:rPr>
                <w:rFonts w:ascii="Cambria" w:hAnsi="Cambria" w:cs="Cambria"/>
                <w:sz w:val="28"/>
                <w:szCs w:val="28"/>
              </w:rPr>
              <w:t>đ</w:t>
            </w:r>
            <w:r w:rsidRPr="00075004">
              <w:rPr>
                <w:sz w:val="28"/>
                <w:szCs w:val="28"/>
              </w:rPr>
              <w:t xml:space="preserve">ồng theo quy </w:t>
            </w:r>
            <w:r w:rsidRPr="00075004">
              <w:rPr>
                <w:rFonts w:ascii="Cambria" w:hAnsi="Cambria" w:cs="Cambria"/>
                <w:sz w:val="28"/>
                <w:szCs w:val="28"/>
              </w:rPr>
              <w:t>đ</w:t>
            </w:r>
            <w:r w:rsidRPr="00075004">
              <w:rPr>
                <w:sz w:val="28"/>
                <w:szCs w:val="28"/>
              </w:rPr>
              <w:t xml:space="preserve">ịnh tại Mục 28 </w:t>
            </w:r>
            <w:r w:rsidRPr="00075004">
              <w:rPr>
                <w:rFonts w:ascii="Cambria" w:hAnsi="Cambria" w:cs="Cambria"/>
                <w:sz w:val="28"/>
                <w:szCs w:val="28"/>
              </w:rPr>
              <w:t>Đ</w:t>
            </w:r>
            <w:r w:rsidRPr="00075004">
              <w:rPr>
                <w:sz w:val="28"/>
                <w:szCs w:val="28"/>
              </w:rPr>
              <w:t>KC.</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24.1</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Nội dung yêu cầu bảo đảm khác đối với thuốc: Không có</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24.2</w:t>
            </w:r>
          </w:p>
        </w:tc>
        <w:tc>
          <w:tcPr>
            <w:tcW w:w="4095" w:type="pct"/>
          </w:tcPr>
          <w:p w:rsidR="00075004" w:rsidRPr="00075004" w:rsidRDefault="00075004" w:rsidP="001E20D3">
            <w:pPr>
              <w:widowControl w:val="0"/>
              <w:autoSpaceDE w:val="0"/>
              <w:autoSpaceDN w:val="0"/>
              <w:adjustRightInd w:val="0"/>
              <w:spacing w:before="120" w:after="120"/>
              <w:ind w:left="142" w:right="187"/>
              <w:jc w:val="both"/>
              <w:rPr>
                <w:rFonts w:eastAsia="Times New Roman"/>
                <w:sz w:val="28"/>
                <w:szCs w:val="28"/>
              </w:rPr>
            </w:pPr>
            <w:r w:rsidRPr="00075004">
              <w:rPr>
                <w:rFonts w:eastAsia="Times New Roman"/>
                <w:sz w:val="28"/>
                <w:szCs w:val="28"/>
              </w:rPr>
              <w:t>Yêu cầu về chất lượng và hạn sử dụng:</w:t>
            </w:r>
          </w:p>
          <w:p w:rsidR="00075004" w:rsidRPr="00075004" w:rsidRDefault="00075004" w:rsidP="001E20D3">
            <w:pPr>
              <w:shd w:val="clear" w:color="auto" w:fill="FFFFFF"/>
              <w:spacing w:before="120" w:after="120"/>
              <w:ind w:left="142" w:right="187"/>
              <w:jc w:val="both"/>
              <w:rPr>
                <w:rFonts w:eastAsia="Times New Roman"/>
                <w:bCs/>
                <w:sz w:val="28"/>
                <w:szCs w:val="28"/>
              </w:rPr>
            </w:pPr>
            <w:r w:rsidRPr="00075004">
              <w:rPr>
                <w:rFonts w:eastAsia="Times New Roman"/>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075004">
              <w:rPr>
                <w:rFonts w:eastAsia="Times New Roman"/>
                <w:bCs/>
                <w:sz w:val="28"/>
                <w:szCs w:val="28"/>
              </w:rPr>
              <w:t xml:space="preserve"> Trong trường hợp hạn sử dụng của thuốc không đáp ứng yêu cầu nêu trên, để bảo đảm có thuốc phục vụ nhu cầu </w:t>
            </w:r>
            <w:r w:rsidRPr="00075004">
              <w:rPr>
                <w:rFonts w:eastAsia="Times New Roman"/>
                <w:bCs/>
                <w:sz w:val="28"/>
                <w:szCs w:val="28"/>
                <w:lang w:val="es-ES_tradnl"/>
              </w:rPr>
              <w:t>khám bệnh, chữa bệnh</w:t>
            </w:r>
            <w:r w:rsidRPr="00075004">
              <w:rPr>
                <w:rFonts w:eastAsia="Times New Roman"/>
                <w:bCs/>
                <w:sz w:val="28"/>
                <w:szCs w:val="28"/>
              </w:rPr>
              <w:t xml:space="preserve">, căn cứ tình hình thực tế, Chủ đầu tư quyết định hạn sử dụng còn lại của thuốc trúng thầu tính </w:t>
            </w:r>
            <w:r w:rsidRPr="00075004">
              <w:rPr>
                <w:rFonts w:eastAsia="Times New Roman"/>
                <w:sz w:val="28"/>
                <w:szCs w:val="28"/>
              </w:rPr>
              <w:t>đến</w:t>
            </w:r>
            <w:r w:rsidRPr="00075004">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rsidR="00075004" w:rsidRPr="00075004" w:rsidRDefault="00075004" w:rsidP="001E20D3">
            <w:pPr>
              <w:widowControl w:val="0"/>
              <w:autoSpaceDE w:val="0"/>
              <w:autoSpaceDN w:val="0"/>
              <w:adjustRightInd w:val="0"/>
              <w:spacing w:before="120" w:after="120"/>
              <w:ind w:left="142" w:right="187"/>
              <w:jc w:val="both"/>
              <w:rPr>
                <w:rFonts w:eastAsia="Times New Roman"/>
                <w:sz w:val="28"/>
                <w:szCs w:val="28"/>
              </w:rPr>
            </w:pPr>
            <w:r w:rsidRPr="00075004">
              <w:rPr>
                <w:rFonts w:eastAsia="Times New Roman"/>
                <w:sz w:val="28"/>
                <w:szCs w:val="28"/>
              </w:rPr>
              <w:t xml:space="preserve">- Cơ chế giải quyết các hư hỏng, khuyết tật, thuốc kém chất lượng, phản ứng có hại của thuốc phát sinh trong quá trình sử dụng thuốc: </w:t>
            </w:r>
          </w:p>
          <w:p w:rsidR="00075004" w:rsidRPr="00075004" w:rsidRDefault="00075004" w:rsidP="001E20D3">
            <w:pPr>
              <w:spacing w:before="120" w:after="120"/>
              <w:ind w:left="157"/>
              <w:jc w:val="both"/>
              <w:rPr>
                <w:sz w:val="28"/>
                <w:szCs w:val="28"/>
              </w:rPr>
            </w:pPr>
            <w:r w:rsidRPr="00075004">
              <w:rPr>
                <w:sz w:val="28"/>
                <w:szCs w:val="28"/>
              </w:rPr>
              <w:t xml:space="preserve"> + Trong vòng 05 ngày làm việc kể từ ngày phát hiện, Bên mua thông báo cho Nhà thầu về các hư hỏng, khuyết tật, thuốc kém chất lượng, phản ứng có hại của thuốc phát sinh trong quá trình sử dụng thuốc; </w:t>
            </w:r>
          </w:p>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sz w:val="28"/>
                <w:szCs w:val="28"/>
              </w:rPr>
              <w:t xml:space="preserve">+ </w:t>
            </w:r>
            <w:r w:rsidRPr="00075004">
              <w:rPr>
                <w:bCs/>
                <w:sz w:val="28"/>
                <w:szCs w:val="28"/>
              </w:rPr>
              <w:t>Trong vòng 05 ngày làm việc kể từ ngày nhận được thông báo của Bên mua,</w:t>
            </w:r>
            <w:r w:rsidRPr="00075004">
              <w:rPr>
                <w:sz w:val="28"/>
                <w:szCs w:val="28"/>
              </w:rPr>
              <w:t xml:space="preserve">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w:t>
            </w:r>
            <w:r w:rsidRPr="00075004">
              <w:rPr>
                <w:sz w:val="28"/>
                <w:szCs w:val="28"/>
              </w:rPr>
              <w:lastRenderedPageBreak/>
              <w:t>liên quan đến trách nhiệm của nhà thầu.</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lastRenderedPageBreak/>
              <w:t>ĐKC 26.1(d)</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Các nội dung khác về hiệu chỉnh, bổ sung hợp đồng: Trường hợp thuốc dự thầu có thay đổi trong quá trình lựa chọn nhà thầu hoặc cung ứng thuốc trúng thầu nhưng thuốc thay thế chưa được chào trong E-HSDT, chủ đầu tư được xem xét để nhà thầu thay thế thuốc nhằm bảo đảm cung ứng đủ thuốc phục vụ kịp thời công tác khám bệnh, chữa bệnh của đơn vị theo quy định tại khoản 5, 6 Điều 15 Thông tư số 40/2025/TT-BYT.</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27.4</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Các trường hợp khác: Không yêu cầu</w:t>
            </w:r>
          </w:p>
        </w:tc>
      </w:tr>
      <w:tr w:rsidR="00075004" w:rsidRPr="00075004" w:rsidTr="001E20D3">
        <w:tblPrEx>
          <w:tblCellMar>
            <w:top w:w="0" w:type="dxa"/>
            <w:left w:w="0" w:type="dxa"/>
            <w:bottom w:w="0" w:type="dxa"/>
            <w:right w:w="0" w:type="dxa"/>
          </w:tblCellMar>
        </w:tblPrEx>
        <w:tc>
          <w:tcPr>
            <w:tcW w:w="905" w:type="pct"/>
          </w:tcPr>
          <w:p w:rsidR="00075004" w:rsidRPr="00075004" w:rsidRDefault="00075004" w:rsidP="001E20D3">
            <w:pPr>
              <w:widowControl w:val="0"/>
              <w:autoSpaceDE w:val="0"/>
              <w:autoSpaceDN w:val="0"/>
              <w:adjustRightInd w:val="0"/>
              <w:spacing w:before="120"/>
              <w:jc w:val="center"/>
              <w:rPr>
                <w:rFonts w:eastAsia="Times New Roman"/>
                <w:sz w:val="28"/>
                <w:szCs w:val="28"/>
              </w:rPr>
            </w:pPr>
            <w:r w:rsidRPr="00075004">
              <w:rPr>
                <w:rFonts w:eastAsia="Times New Roman"/>
                <w:b/>
                <w:bCs/>
                <w:sz w:val="28"/>
                <w:szCs w:val="28"/>
              </w:rPr>
              <w:t>ĐKC 28.1(d)</w:t>
            </w:r>
          </w:p>
        </w:tc>
        <w:tc>
          <w:tcPr>
            <w:tcW w:w="4095" w:type="pct"/>
          </w:tcPr>
          <w:p w:rsidR="00075004" w:rsidRPr="00075004" w:rsidRDefault="00075004" w:rsidP="001E20D3">
            <w:pPr>
              <w:widowControl w:val="0"/>
              <w:autoSpaceDE w:val="0"/>
              <w:autoSpaceDN w:val="0"/>
              <w:adjustRightInd w:val="0"/>
              <w:spacing w:before="120"/>
              <w:ind w:left="142" w:right="187"/>
              <w:jc w:val="both"/>
              <w:rPr>
                <w:rFonts w:eastAsia="Times New Roman"/>
                <w:sz w:val="28"/>
                <w:szCs w:val="28"/>
              </w:rPr>
            </w:pPr>
            <w:r w:rsidRPr="00075004">
              <w:rPr>
                <w:rFonts w:eastAsia="Times New Roman"/>
                <w:sz w:val="28"/>
                <w:szCs w:val="28"/>
              </w:rPr>
              <w:t>Các hành vi khác: Không yêu cầu</w:t>
            </w:r>
          </w:p>
        </w:tc>
      </w:tr>
    </w:tbl>
    <w:p w:rsidR="00075004" w:rsidRPr="00075004" w:rsidRDefault="00075004" w:rsidP="00EE685A">
      <w:pPr>
        <w:widowControl w:val="0"/>
        <w:autoSpaceDE w:val="0"/>
        <w:autoSpaceDN w:val="0"/>
        <w:adjustRightInd w:val="0"/>
        <w:spacing w:before="120"/>
        <w:jc w:val="center"/>
        <w:rPr>
          <w:rFonts w:eastAsia="Times New Roman"/>
          <w:b/>
          <w:bCs/>
          <w:sz w:val="28"/>
          <w:szCs w:val="28"/>
        </w:rPr>
      </w:pPr>
    </w:p>
    <w:bookmarkEnd w:id="0"/>
    <w:p w:rsidR="0099173D" w:rsidRPr="00075004" w:rsidRDefault="0099173D"/>
    <w:sectPr w:rsidR="0099173D" w:rsidRPr="00075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5A"/>
    <w:rsid w:val="00075004"/>
    <w:rsid w:val="0099173D"/>
    <w:rsid w:val="00EE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183A"/>
  <w15:chartTrackingRefBased/>
  <w15:docId w15:val="{C1E1722B-1ED2-4459-A2F3-91D159F7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85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1244</Words>
  <Characters>7093</Characters>
  <Application>Microsoft Office Word</Application>
  <DocSecurity>0</DocSecurity>
  <Lines>59</Lines>
  <Paragraphs>16</Paragraphs>
  <ScaleCrop>false</ScaleCrop>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2026-05-04T15:52:00Z</dcterms:created>
  <dcterms:modified xsi:type="dcterms:W3CDTF">2026-05-04T16:32:00Z</dcterms:modified>
</cp:coreProperties>
</file>