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D25A" w14:textId="77777777" w:rsidR="00113786" w:rsidRPr="00113786" w:rsidRDefault="00113786" w:rsidP="00113786">
      <w:pPr>
        <w:spacing w:line="276" w:lineRule="auto"/>
        <w:ind w:firstLine="540"/>
        <w:jc w:val="center"/>
        <w:rPr>
          <w:b/>
          <w:bCs/>
          <w:szCs w:val="24"/>
          <w:lang w:val="nl-NL"/>
        </w:rPr>
      </w:pPr>
      <w:r w:rsidRPr="00113786">
        <w:rPr>
          <w:b/>
          <w:bCs/>
          <w:szCs w:val="24"/>
          <w:lang w:val="nl-NL"/>
        </w:rPr>
        <w:t>Phần 2. YÊU CẦU VỀ KỸ THUẬT</w:t>
      </w:r>
    </w:p>
    <w:p w14:paraId="0FF4B9B7" w14:textId="77777777" w:rsidR="00113786" w:rsidRPr="00113786" w:rsidRDefault="00113786" w:rsidP="00113786">
      <w:pPr>
        <w:spacing w:line="276" w:lineRule="auto"/>
        <w:ind w:firstLine="540"/>
        <w:jc w:val="center"/>
        <w:rPr>
          <w:b/>
          <w:bCs/>
          <w:szCs w:val="24"/>
          <w:lang w:val="nl-NL"/>
        </w:rPr>
      </w:pPr>
      <w:r w:rsidRPr="00113786">
        <w:rPr>
          <w:b/>
          <w:bCs/>
          <w:szCs w:val="24"/>
          <w:lang w:val="nl-NL"/>
        </w:rPr>
        <w:t>Chương V. YÊU CẦU VỀ KỸ THUẬT</w:t>
      </w:r>
    </w:p>
    <w:p w14:paraId="3A854DFD" w14:textId="77777777" w:rsidR="00113786" w:rsidRPr="00113786" w:rsidRDefault="00113786" w:rsidP="00113786">
      <w:pPr>
        <w:spacing w:line="276" w:lineRule="auto"/>
        <w:ind w:firstLine="540"/>
        <w:jc w:val="center"/>
        <w:rPr>
          <w:i/>
          <w:iCs/>
          <w:szCs w:val="24"/>
          <w:lang w:val="nl-NL"/>
        </w:rPr>
      </w:pPr>
      <w:r w:rsidRPr="00113786">
        <w:rPr>
          <w:i/>
          <w:iCs/>
          <w:szCs w:val="24"/>
          <w:lang w:val="nl-NL"/>
        </w:rPr>
        <w:t>Yêu cầu về kỹ thuật bao gồm các nội dung cơ bản như sau:</w:t>
      </w:r>
    </w:p>
    <w:p w14:paraId="270DB8B4" w14:textId="77777777" w:rsidR="00113786" w:rsidRPr="00113786" w:rsidRDefault="00113786" w:rsidP="00113786">
      <w:pPr>
        <w:spacing w:line="276" w:lineRule="auto"/>
        <w:rPr>
          <w:b/>
          <w:bCs/>
          <w:szCs w:val="24"/>
          <w:lang w:val="nl-NL"/>
        </w:rPr>
      </w:pPr>
      <w:r w:rsidRPr="00113786">
        <w:rPr>
          <w:b/>
          <w:bCs/>
          <w:szCs w:val="24"/>
          <w:lang w:val="nl-NL"/>
        </w:rPr>
        <w:t>A. Giới thiệu chung về dự toán, gói thầu:</w:t>
      </w:r>
    </w:p>
    <w:p w14:paraId="5473AA68" w14:textId="77777777" w:rsidR="00113786" w:rsidRPr="00113786" w:rsidRDefault="00113786" w:rsidP="00113786">
      <w:pPr>
        <w:spacing w:line="276" w:lineRule="auto"/>
        <w:ind w:firstLine="540"/>
        <w:rPr>
          <w:bCs/>
          <w:szCs w:val="24"/>
          <w:lang w:val="nl-NL"/>
        </w:rPr>
      </w:pPr>
      <w:r w:rsidRPr="00113786">
        <w:rPr>
          <w:b/>
          <w:bCs/>
          <w:szCs w:val="24"/>
          <w:lang w:val="nl-NL"/>
        </w:rPr>
        <w:t>1. Tên gói thầu:</w:t>
      </w:r>
      <w:r w:rsidRPr="00113786">
        <w:rPr>
          <w:szCs w:val="24"/>
          <w:lang w:val="nl-NL"/>
        </w:rPr>
        <w:t xml:space="preserve"> Gói thầu số 04: Thuê xe ô tô phục vụ các nhiệm vụ tuyên truyền, truyền thông, tập huấn năm 2026; Công tác Theo dõi - đánh giá về nước sạch nông thôn.</w:t>
      </w:r>
    </w:p>
    <w:p w14:paraId="745D2986" w14:textId="77777777" w:rsidR="00113786" w:rsidRPr="00113786" w:rsidRDefault="00113786" w:rsidP="00113786">
      <w:pPr>
        <w:spacing w:before="60" w:after="80" w:line="276" w:lineRule="auto"/>
        <w:ind w:firstLine="540"/>
        <w:rPr>
          <w:szCs w:val="24"/>
          <w:lang w:val="nl-NL"/>
        </w:rPr>
      </w:pPr>
      <w:r w:rsidRPr="00113786">
        <w:rPr>
          <w:b/>
          <w:szCs w:val="24"/>
          <w:lang w:val="pt-BR"/>
        </w:rPr>
        <w:t xml:space="preserve">2. Tên Dự toán: </w:t>
      </w:r>
      <w:r w:rsidRPr="00113786">
        <w:rPr>
          <w:szCs w:val="24"/>
          <w:lang w:val="nl-NL"/>
        </w:rPr>
        <w:t>Các gói thầu thực hiện các nhiệm vụ: Tập huấn về bảo vệ môi trường trong sản xuất nông nghiệp; xử lý chất thải trong sản xuất nông nghiệp theo hướng tuần hoàn phục vụ hoạt động sản xuất nông nghiệp; tái sử dụng chất thải trong sản xuất nông nghiệp; Công tác Theo dõi - đánh giá về nước sạch nông thôn; Tập huấn hướng dẫn người dân kỹ thuật trám lấp công trình giếng khoan tại các hộ gia đình khu vực các xã ngoại thành Hà Nội đã có nước sạch tập trung thực hiện chủ trương đóng dần các giếng khoan của UBND Thành phố; Tổ chức tập huấn hướng dẫn người dân về kỹ thuật xử lý và dự trữ nước an toàn tại hộ gia đình năm 2026; Truyền thông về nước sạch và Bảo vệ môi trường trong sản xuất nông nghiệp; Tuyên truyền nâng cao nhận thức của người dân về phân loại chất thải rắn sinh hoạt tại nguồn trên địa bàn các xã thành phố Hà Nội năm 2026</w:t>
      </w:r>
    </w:p>
    <w:p w14:paraId="350F0067" w14:textId="77777777" w:rsidR="00113786" w:rsidRPr="00113786" w:rsidRDefault="00113786" w:rsidP="00113786">
      <w:pPr>
        <w:spacing w:before="60" w:after="80" w:line="276" w:lineRule="auto"/>
        <w:ind w:firstLine="540"/>
        <w:rPr>
          <w:spacing w:val="-10"/>
          <w:szCs w:val="24"/>
          <w:lang w:val="pt-BR"/>
        </w:rPr>
      </w:pPr>
      <w:r w:rsidRPr="00113786">
        <w:rPr>
          <w:b/>
          <w:bCs/>
          <w:spacing w:val="-6"/>
          <w:szCs w:val="24"/>
          <w:lang w:val="pt-BR"/>
        </w:rPr>
        <w:t xml:space="preserve">5. </w:t>
      </w:r>
      <w:r w:rsidRPr="00113786">
        <w:rPr>
          <w:b/>
          <w:spacing w:val="-6"/>
          <w:szCs w:val="24"/>
          <w:lang w:val="pt-BR"/>
        </w:rPr>
        <w:t>Chủ đầu tư:</w:t>
      </w:r>
      <w:r w:rsidRPr="00113786">
        <w:rPr>
          <w:spacing w:val="-6"/>
          <w:szCs w:val="24"/>
          <w:lang w:val="pt-BR"/>
        </w:rPr>
        <w:t xml:space="preserve"> </w:t>
      </w:r>
      <w:r w:rsidRPr="00113786">
        <w:rPr>
          <w:spacing w:val="-10"/>
          <w:szCs w:val="24"/>
          <w:lang w:val="pt-BR"/>
        </w:rPr>
        <w:t xml:space="preserve">Trung tâm kỹ thuật Nông nghiệp và Môi trường Hà Nội. </w:t>
      </w:r>
    </w:p>
    <w:p w14:paraId="1B8F39AD" w14:textId="77777777" w:rsidR="00113786" w:rsidRPr="00113786" w:rsidRDefault="00113786" w:rsidP="00113786">
      <w:pPr>
        <w:spacing w:before="60" w:after="80" w:line="276" w:lineRule="auto"/>
        <w:ind w:firstLine="540"/>
        <w:rPr>
          <w:spacing w:val="-6"/>
          <w:szCs w:val="24"/>
          <w:lang w:val="pt-BR"/>
        </w:rPr>
      </w:pPr>
      <w:r w:rsidRPr="00113786">
        <w:rPr>
          <w:b/>
          <w:bCs/>
          <w:spacing w:val="-6"/>
          <w:szCs w:val="24"/>
          <w:lang w:val="pt-BR"/>
        </w:rPr>
        <w:t>6. Địa điểm thực hiện:</w:t>
      </w:r>
      <w:r w:rsidRPr="00113786">
        <w:rPr>
          <w:spacing w:val="-6"/>
          <w:szCs w:val="24"/>
          <w:lang w:val="pt-BR"/>
        </w:rPr>
        <w:t xml:space="preserve"> </w:t>
      </w:r>
      <w:r w:rsidRPr="00113786">
        <w:rPr>
          <w:szCs w:val="24"/>
          <w:lang w:val="pt-BR"/>
        </w:rPr>
        <w:t>Thành phố Hà Nội</w:t>
      </w:r>
      <w:r w:rsidRPr="00113786">
        <w:rPr>
          <w:spacing w:val="-6"/>
          <w:szCs w:val="24"/>
          <w:lang w:val="pt-BR"/>
        </w:rPr>
        <w:t xml:space="preserve"> </w:t>
      </w:r>
    </w:p>
    <w:p w14:paraId="60A4558C" w14:textId="77777777" w:rsidR="00113786" w:rsidRPr="00113786" w:rsidRDefault="00113786" w:rsidP="00113786">
      <w:pPr>
        <w:spacing w:before="60" w:after="80" w:line="276" w:lineRule="auto"/>
        <w:ind w:firstLine="540"/>
        <w:rPr>
          <w:spacing w:val="-4"/>
          <w:szCs w:val="24"/>
          <w:lang w:val="pt-BR"/>
        </w:rPr>
      </w:pPr>
      <w:r w:rsidRPr="00113786">
        <w:rPr>
          <w:b/>
          <w:spacing w:val="-4"/>
          <w:szCs w:val="24"/>
          <w:lang w:val="pt-BR"/>
        </w:rPr>
        <w:t xml:space="preserve">7. Nguồn vốn: </w:t>
      </w:r>
      <w:r w:rsidRPr="00113786">
        <w:rPr>
          <w:spacing w:val="-4"/>
          <w:szCs w:val="24"/>
          <w:lang w:val="pt-BR"/>
        </w:rPr>
        <w:t>Ngân sách thành phố Hà Nội</w:t>
      </w:r>
    </w:p>
    <w:p w14:paraId="1B72C270" w14:textId="77777777" w:rsidR="00113786" w:rsidRPr="00113786" w:rsidRDefault="00113786" w:rsidP="00113786">
      <w:pPr>
        <w:spacing w:before="60" w:after="80" w:line="276" w:lineRule="auto"/>
        <w:ind w:firstLine="540"/>
        <w:rPr>
          <w:spacing w:val="-4"/>
          <w:szCs w:val="24"/>
          <w:lang w:val="pt-BR"/>
        </w:rPr>
      </w:pPr>
      <w:r w:rsidRPr="00113786">
        <w:rPr>
          <w:b/>
          <w:bCs/>
          <w:spacing w:val="-4"/>
          <w:szCs w:val="24"/>
          <w:lang w:val="pt-BR"/>
        </w:rPr>
        <w:t>8. Hình thức và phương thức LCNT:</w:t>
      </w:r>
      <w:r w:rsidRPr="00113786">
        <w:rPr>
          <w:spacing w:val="-4"/>
          <w:szCs w:val="24"/>
          <w:lang w:val="pt-BR"/>
        </w:rPr>
        <w:t xml:space="preserve"> Đấu thầu rộng rãi, 01 giai đoạn 01 túi hồ sơ</w:t>
      </w:r>
    </w:p>
    <w:p w14:paraId="1C9A0FB7" w14:textId="77777777" w:rsidR="00113786" w:rsidRPr="00113786" w:rsidRDefault="00113786" w:rsidP="00113786">
      <w:pPr>
        <w:spacing w:before="60" w:after="80" w:line="276" w:lineRule="auto"/>
        <w:ind w:firstLine="540"/>
        <w:rPr>
          <w:spacing w:val="-4"/>
          <w:szCs w:val="24"/>
          <w:lang w:val="pt-BR"/>
        </w:rPr>
      </w:pPr>
      <w:r w:rsidRPr="00113786">
        <w:rPr>
          <w:b/>
          <w:bCs/>
          <w:spacing w:val="-4"/>
          <w:szCs w:val="24"/>
          <w:lang w:val="pt-BR"/>
        </w:rPr>
        <w:t>9. Loại hợp đồng:</w:t>
      </w:r>
      <w:r w:rsidRPr="00113786">
        <w:rPr>
          <w:spacing w:val="-4"/>
          <w:szCs w:val="24"/>
          <w:lang w:val="pt-BR"/>
        </w:rPr>
        <w:t xml:space="preserve"> Trọn gói</w:t>
      </w:r>
    </w:p>
    <w:p w14:paraId="5D59AED4" w14:textId="77777777" w:rsidR="00113786" w:rsidRPr="00113786" w:rsidRDefault="00113786" w:rsidP="00113786">
      <w:pPr>
        <w:spacing w:before="60" w:after="80" w:line="276" w:lineRule="auto"/>
        <w:ind w:firstLine="540"/>
        <w:rPr>
          <w:bCs/>
          <w:szCs w:val="24"/>
          <w:lang w:val="pt-BR"/>
        </w:rPr>
      </w:pPr>
      <w:r w:rsidRPr="00113786">
        <w:rPr>
          <w:b/>
          <w:szCs w:val="24"/>
          <w:lang w:val="pt-BR"/>
        </w:rPr>
        <w:t xml:space="preserve">10. Thời gian bắt đầu tổ chức LCNT: </w:t>
      </w:r>
      <w:r w:rsidRPr="00113786">
        <w:rPr>
          <w:bCs/>
          <w:szCs w:val="24"/>
          <w:lang w:val="pt-BR"/>
        </w:rPr>
        <w:t>Quý II/2026</w:t>
      </w:r>
    </w:p>
    <w:p w14:paraId="5494E291" w14:textId="77777777" w:rsidR="00113786" w:rsidRPr="00113786" w:rsidRDefault="00113786" w:rsidP="00113786">
      <w:pPr>
        <w:spacing w:before="60" w:after="80" w:line="276" w:lineRule="auto"/>
        <w:ind w:firstLine="540"/>
        <w:jc w:val="left"/>
        <w:rPr>
          <w:szCs w:val="24"/>
          <w:lang w:val="pt-BR"/>
        </w:rPr>
      </w:pPr>
      <w:r w:rsidRPr="00113786">
        <w:rPr>
          <w:b/>
          <w:szCs w:val="24"/>
          <w:lang w:val="pt-BR"/>
        </w:rPr>
        <w:t>11. Thời gian thực hiện gói thầu:</w:t>
      </w:r>
      <w:r w:rsidRPr="00113786">
        <w:rPr>
          <w:bCs/>
          <w:szCs w:val="24"/>
          <w:lang w:val="pt-BR"/>
        </w:rPr>
        <w:t xml:space="preserve"> 8 tháng</w:t>
      </w:r>
    </w:p>
    <w:p w14:paraId="6EC4AF90" w14:textId="77777777" w:rsidR="00113786" w:rsidRPr="00113786" w:rsidRDefault="00113786" w:rsidP="00113786">
      <w:pPr>
        <w:spacing w:before="60" w:after="80" w:line="276" w:lineRule="auto"/>
        <w:rPr>
          <w:b/>
          <w:bCs/>
          <w:szCs w:val="24"/>
          <w:lang w:val="pt-BR"/>
        </w:rPr>
      </w:pPr>
      <w:r w:rsidRPr="00113786">
        <w:rPr>
          <w:b/>
          <w:bCs/>
          <w:szCs w:val="24"/>
          <w:lang w:val="pt-BR"/>
        </w:rPr>
        <w:t xml:space="preserve">B. Mục tiêu công việc: </w:t>
      </w:r>
    </w:p>
    <w:p w14:paraId="0A900DD1" w14:textId="77777777" w:rsidR="00113786" w:rsidRPr="00113786" w:rsidRDefault="00113786" w:rsidP="00113786">
      <w:pPr>
        <w:spacing w:before="60" w:after="80" w:line="276" w:lineRule="auto"/>
        <w:ind w:firstLine="720"/>
        <w:rPr>
          <w:szCs w:val="24"/>
          <w:lang w:val="pt-BR"/>
        </w:rPr>
      </w:pPr>
      <w:r w:rsidRPr="00113786">
        <w:rPr>
          <w:szCs w:val="24"/>
          <w:lang w:val="pt-BR"/>
        </w:rPr>
        <w:t xml:space="preserve">Cung cấp dịch vụ thuê xe phục vụ công tác thực hiện nhiệm vụ chuyên môn năm 2026 của </w:t>
      </w:r>
      <w:r w:rsidRPr="00113786">
        <w:rPr>
          <w:spacing w:val="-10"/>
          <w:szCs w:val="24"/>
          <w:lang w:val="pt-BR"/>
        </w:rPr>
        <w:t>Trung tâm kỹ thuật Nông nghiệp và Môi trường Hà Nội</w:t>
      </w:r>
      <w:r w:rsidRPr="00113786">
        <w:rPr>
          <w:szCs w:val="24"/>
          <w:lang w:val="pt-BR"/>
        </w:rPr>
        <w:t xml:space="preserve">. </w:t>
      </w:r>
    </w:p>
    <w:p w14:paraId="536ED0FC" w14:textId="77777777" w:rsidR="00113786" w:rsidRPr="00113786" w:rsidRDefault="00113786" w:rsidP="00113786">
      <w:pPr>
        <w:spacing w:before="60" w:after="80" w:line="276" w:lineRule="auto"/>
        <w:rPr>
          <w:b/>
          <w:bCs/>
          <w:szCs w:val="24"/>
          <w:lang w:val="vi-VN"/>
        </w:rPr>
      </w:pPr>
      <w:r w:rsidRPr="00113786">
        <w:rPr>
          <w:b/>
          <w:bCs/>
          <w:szCs w:val="24"/>
          <w:lang w:val="vi-VN"/>
        </w:rPr>
        <w:t>C. Yêu cầu kỹ thuật của gói thầu:</w:t>
      </w:r>
    </w:p>
    <w:p w14:paraId="5D542704" w14:textId="77777777" w:rsidR="00113786" w:rsidRPr="00113786" w:rsidRDefault="00113786" w:rsidP="00113786">
      <w:pPr>
        <w:spacing w:before="60" w:after="80" w:line="276" w:lineRule="auto"/>
        <w:ind w:firstLine="540"/>
        <w:rPr>
          <w:szCs w:val="24"/>
          <w:lang w:val="vi-VN"/>
        </w:rPr>
      </w:pPr>
      <w:r w:rsidRPr="00113786">
        <w:rPr>
          <w:iCs/>
          <w:szCs w:val="24"/>
          <w:lang w:val="vi-VN"/>
        </w:rPr>
        <w:t>Tóm tắt thông số kỹ thuật của thiết bị và các dịch vụ liên quan phải tuân thủ các thông số kỹ thuật và các tiêu chuẩn sau đây:</w:t>
      </w:r>
    </w:p>
    <w:tbl>
      <w:tblPr>
        <w:tblStyle w:val="TableGrid"/>
        <w:tblW w:w="9351" w:type="dxa"/>
        <w:tblLook w:val="04A0" w:firstRow="1" w:lastRow="0" w:firstColumn="1" w:lastColumn="0" w:noHBand="0" w:noVBand="1"/>
      </w:tblPr>
      <w:tblGrid>
        <w:gridCol w:w="747"/>
        <w:gridCol w:w="3926"/>
        <w:gridCol w:w="4678"/>
      </w:tblGrid>
      <w:tr w:rsidR="00113786" w:rsidRPr="00113786" w14:paraId="22C8BD9F" w14:textId="77777777" w:rsidTr="00432E0C">
        <w:tc>
          <w:tcPr>
            <w:tcW w:w="747" w:type="dxa"/>
            <w:vAlign w:val="center"/>
          </w:tcPr>
          <w:p w14:paraId="0069ABA2" w14:textId="77777777" w:rsidR="00113786" w:rsidRPr="00113786" w:rsidRDefault="00113786" w:rsidP="00432E0C">
            <w:pPr>
              <w:spacing w:line="360" w:lineRule="exact"/>
              <w:jc w:val="center"/>
              <w:rPr>
                <w:b/>
                <w:bCs/>
                <w:color w:val="000000" w:themeColor="text1"/>
                <w:sz w:val="24"/>
                <w:szCs w:val="24"/>
                <w:highlight w:val="yellow"/>
                <w:lang w:val="pt-BR"/>
              </w:rPr>
            </w:pPr>
            <w:r w:rsidRPr="00113786">
              <w:rPr>
                <w:b/>
                <w:bCs/>
                <w:color w:val="000000"/>
                <w:sz w:val="24"/>
                <w:szCs w:val="24"/>
              </w:rPr>
              <w:t>STT</w:t>
            </w:r>
          </w:p>
        </w:tc>
        <w:tc>
          <w:tcPr>
            <w:tcW w:w="3926" w:type="dxa"/>
            <w:vAlign w:val="center"/>
          </w:tcPr>
          <w:p w14:paraId="70EA1DE5" w14:textId="77777777" w:rsidR="00113786" w:rsidRPr="00113786" w:rsidRDefault="00113786" w:rsidP="00432E0C">
            <w:pPr>
              <w:spacing w:line="360" w:lineRule="exact"/>
              <w:jc w:val="center"/>
              <w:rPr>
                <w:b/>
                <w:bCs/>
                <w:color w:val="000000" w:themeColor="text1"/>
                <w:sz w:val="24"/>
                <w:szCs w:val="24"/>
                <w:highlight w:val="yellow"/>
                <w:lang w:val="pt-BR"/>
              </w:rPr>
            </w:pPr>
            <w:r w:rsidRPr="00113786">
              <w:rPr>
                <w:b/>
                <w:bCs/>
                <w:color w:val="000000"/>
                <w:sz w:val="24"/>
                <w:szCs w:val="24"/>
              </w:rPr>
              <w:t>Nội dung</w:t>
            </w:r>
          </w:p>
        </w:tc>
        <w:tc>
          <w:tcPr>
            <w:tcW w:w="4678" w:type="dxa"/>
            <w:vAlign w:val="bottom"/>
          </w:tcPr>
          <w:p w14:paraId="6089D54C" w14:textId="77777777" w:rsidR="00113786" w:rsidRPr="00113786" w:rsidRDefault="00113786" w:rsidP="00432E0C">
            <w:pPr>
              <w:spacing w:line="360" w:lineRule="exact"/>
              <w:jc w:val="center"/>
              <w:rPr>
                <w:b/>
                <w:bCs/>
                <w:color w:val="000000" w:themeColor="text1"/>
                <w:sz w:val="24"/>
                <w:szCs w:val="24"/>
                <w:highlight w:val="yellow"/>
                <w:lang w:val="pt-BR"/>
              </w:rPr>
            </w:pPr>
            <w:r w:rsidRPr="00113786">
              <w:rPr>
                <w:b/>
                <w:bCs/>
                <w:color w:val="000000"/>
                <w:sz w:val="24"/>
                <w:szCs w:val="24"/>
                <w:lang w:val="pt-BR"/>
              </w:rPr>
              <w:t>Thông số kỹ thuật và các tiêu chuẩn</w:t>
            </w:r>
          </w:p>
        </w:tc>
      </w:tr>
      <w:tr w:rsidR="00113786" w:rsidRPr="00113786" w14:paraId="099F31BC" w14:textId="77777777" w:rsidTr="00432E0C">
        <w:tc>
          <w:tcPr>
            <w:tcW w:w="747" w:type="dxa"/>
            <w:vAlign w:val="center"/>
          </w:tcPr>
          <w:p w14:paraId="0A1F3DA7" w14:textId="77777777" w:rsidR="00113786" w:rsidRPr="00113786" w:rsidRDefault="00113786" w:rsidP="00432E0C">
            <w:pPr>
              <w:spacing w:line="360" w:lineRule="exact"/>
              <w:jc w:val="center"/>
              <w:rPr>
                <w:b/>
                <w:bCs/>
                <w:color w:val="000000" w:themeColor="text1"/>
                <w:sz w:val="24"/>
                <w:szCs w:val="24"/>
                <w:highlight w:val="yellow"/>
                <w:lang w:val="pt-BR"/>
              </w:rPr>
            </w:pPr>
          </w:p>
        </w:tc>
        <w:tc>
          <w:tcPr>
            <w:tcW w:w="3926" w:type="dxa"/>
            <w:vAlign w:val="center"/>
          </w:tcPr>
          <w:p w14:paraId="6B8CEEAE" w14:textId="77777777" w:rsidR="00113786" w:rsidRPr="00113786" w:rsidRDefault="00113786" w:rsidP="00432E0C">
            <w:pPr>
              <w:spacing w:line="360" w:lineRule="exact"/>
              <w:rPr>
                <w:b/>
                <w:bCs/>
                <w:color w:val="000000" w:themeColor="text1"/>
                <w:sz w:val="24"/>
                <w:szCs w:val="24"/>
                <w:highlight w:val="yellow"/>
                <w:lang w:val="pt-BR"/>
              </w:rPr>
            </w:pPr>
            <w:r w:rsidRPr="00113786">
              <w:rPr>
                <w:iCs/>
                <w:sz w:val="24"/>
                <w:szCs w:val="24"/>
              </w:rPr>
              <w:t>Xe ô tô phục vụ cán bộ của Trung tâm kỹ thuật Nông nghiệp và Môi trường Hà Nội thực hiện nhiệm vụ chuyên môn.</w:t>
            </w:r>
          </w:p>
        </w:tc>
        <w:tc>
          <w:tcPr>
            <w:tcW w:w="4678" w:type="dxa"/>
            <w:vAlign w:val="center"/>
          </w:tcPr>
          <w:p w14:paraId="18AD8033" w14:textId="77777777" w:rsidR="00113786" w:rsidRPr="00113786" w:rsidRDefault="00113786" w:rsidP="00432E0C">
            <w:pPr>
              <w:spacing w:line="360" w:lineRule="exact"/>
              <w:rPr>
                <w:color w:val="000000" w:themeColor="text1"/>
                <w:sz w:val="24"/>
                <w:szCs w:val="24"/>
                <w:lang w:val="pt-BR"/>
              </w:rPr>
            </w:pPr>
            <w:r w:rsidRPr="00113786">
              <w:rPr>
                <w:color w:val="000000" w:themeColor="text1"/>
                <w:sz w:val="24"/>
                <w:szCs w:val="24"/>
                <w:lang w:val="pt-BR"/>
              </w:rPr>
              <w:t>- Xe ô tô 07 chỗ ngồi.</w:t>
            </w:r>
          </w:p>
          <w:p w14:paraId="531BE916" w14:textId="77777777" w:rsidR="00113786" w:rsidRPr="00113786" w:rsidRDefault="00113786" w:rsidP="00432E0C">
            <w:pPr>
              <w:spacing w:line="360" w:lineRule="exact"/>
              <w:rPr>
                <w:color w:val="000000" w:themeColor="text1"/>
                <w:sz w:val="24"/>
                <w:szCs w:val="24"/>
                <w:lang w:val="pt-BR"/>
              </w:rPr>
            </w:pPr>
            <w:r w:rsidRPr="00113786">
              <w:rPr>
                <w:color w:val="000000" w:themeColor="text1"/>
                <w:sz w:val="24"/>
                <w:szCs w:val="24"/>
                <w:lang w:val="pt-BR"/>
              </w:rPr>
              <w:t>- Phạm vi phục vụ: các phường, xã trong phạm vi thành phố Hà Nội.</w:t>
            </w:r>
          </w:p>
          <w:p w14:paraId="70C9D28C" w14:textId="77777777" w:rsidR="00113786" w:rsidRPr="00113786" w:rsidRDefault="00113786" w:rsidP="00432E0C">
            <w:pPr>
              <w:spacing w:line="360" w:lineRule="exact"/>
              <w:rPr>
                <w:b/>
                <w:bCs/>
                <w:color w:val="000000" w:themeColor="text1"/>
                <w:sz w:val="24"/>
                <w:szCs w:val="24"/>
                <w:highlight w:val="yellow"/>
                <w:lang w:val="pt-BR"/>
              </w:rPr>
            </w:pPr>
            <w:r w:rsidRPr="00113786">
              <w:rPr>
                <w:color w:val="000000" w:themeColor="text1"/>
                <w:sz w:val="24"/>
                <w:szCs w:val="24"/>
                <w:lang w:val="pt-BR"/>
              </w:rPr>
              <w:t>- Thời gian phục vụ: Theo yêu cầu của Chủ đầu tư</w:t>
            </w:r>
          </w:p>
        </w:tc>
      </w:tr>
    </w:tbl>
    <w:p w14:paraId="3B43A9ED" w14:textId="77777777" w:rsidR="00113786" w:rsidRPr="00113786" w:rsidRDefault="00113786" w:rsidP="00113786">
      <w:pPr>
        <w:spacing w:line="360" w:lineRule="exact"/>
        <w:ind w:firstLine="540"/>
        <w:rPr>
          <w:b/>
          <w:bCs/>
          <w:color w:val="000000" w:themeColor="text1"/>
          <w:szCs w:val="24"/>
          <w:highlight w:val="yellow"/>
          <w:lang w:val="pt-BR"/>
        </w:rPr>
      </w:pPr>
    </w:p>
    <w:p w14:paraId="2DDABE84" w14:textId="77777777" w:rsidR="00113786" w:rsidRPr="00113786" w:rsidRDefault="00113786" w:rsidP="00113786">
      <w:pPr>
        <w:spacing w:line="360" w:lineRule="exact"/>
        <w:ind w:firstLine="540"/>
        <w:rPr>
          <w:b/>
          <w:bCs/>
          <w:color w:val="000000" w:themeColor="text1"/>
          <w:szCs w:val="24"/>
          <w:lang w:val="pt-BR"/>
        </w:rPr>
      </w:pPr>
      <w:r w:rsidRPr="00113786">
        <w:rPr>
          <w:b/>
          <w:bCs/>
          <w:color w:val="000000" w:themeColor="text1"/>
          <w:szCs w:val="24"/>
          <w:lang w:val="pt-BR"/>
        </w:rPr>
        <w:lastRenderedPageBreak/>
        <w:t>D. Giải pháp và phương pháp luận:</w:t>
      </w:r>
    </w:p>
    <w:p w14:paraId="3BCBAA7D" w14:textId="77777777" w:rsidR="00113786" w:rsidRPr="00113786" w:rsidRDefault="00113786" w:rsidP="00113786">
      <w:pPr>
        <w:spacing w:line="360" w:lineRule="exact"/>
        <w:ind w:firstLine="540"/>
        <w:rPr>
          <w:i/>
          <w:iCs/>
          <w:color w:val="000000" w:themeColor="text1"/>
          <w:szCs w:val="24"/>
          <w:lang w:val="pt-BR"/>
        </w:rPr>
      </w:pPr>
      <w:r w:rsidRPr="00113786">
        <w:rPr>
          <w:i/>
          <w:iCs/>
          <w:color w:val="000000" w:themeColor="text1"/>
          <w:szCs w:val="24"/>
          <w:lang w:val="pt-BR"/>
        </w:rPr>
        <w:t>Nhà thầu chuẩn bị đề xuất giải pháp, phương pháp luận tổng quát thực hiện dịch vụ theo các nội dung quy định tại Chương V, gồm các phần như sau:</w:t>
      </w:r>
    </w:p>
    <w:p w14:paraId="0F5863C4" w14:textId="77777777" w:rsidR="00113786" w:rsidRPr="00113786" w:rsidRDefault="00113786" w:rsidP="00113786">
      <w:pPr>
        <w:spacing w:line="360" w:lineRule="exact"/>
        <w:ind w:firstLine="540"/>
        <w:rPr>
          <w:i/>
          <w:iCs/>
          <w:color w:val="000000" w:themeColor="text1"/>
          <w:szCs w:val="24"/>
          <w:lang w:val="pt-BR"/>
        </w:rPr>
      </w:pPr>
      <w:r w:rsidRPr="00113786">
        <w:rPr>
          <w:i/>
          <w:iCs/>
          <w:color w:val="000000" w:themeColor="text1"/>
          <w:szCs w:val="24"/>
          <w:lang w:val="pt-BR"/>
        </w:rPr>
        <w:t>1. Giải pháp và phương pháp luận;</w:t>
      </w:r>
    </w:p>
    <w:p w14:paraId="4CF80E53" w14:textId="77777777" w:rsidR="00113786" w:rsidRPr="00113786" w:rsidRDefault="00113786" w:rsidP="00113786">
      <w:pPr>
        <w:spacing w:line="360" w:lineRule="exact"/>
        <w:ind w:firstLine="540"/>
        <w:rPr>
          <w:i/>
          <w:iCs/>
          <w:color w:val="000000" w:themeColor="text1"/>
          <w:szCs w:val="24"/>
          <w:lang w:val="pt-BR"/>
        </w:rPr>
      </w:pPr>
      <w:r w:rsidRPr="00113786">
        <w:rPr>
          <w:i/>
          <w:iCs/>
          <w:color w:val="000000" w:themeColor="text1"/>
          <w:szCs w:val="24"/>
          <w:lang w:val="pt-BR"/>
        </w:rPr>
        <w:t>2. Kế hoạch công tác.</w:t>
      </w:r>
    </w:p>
    <w:p w14:paraId="564A2763" w14:textId="77777777" w:rsidR="00BE601C" w:rsidRPr="00113786" w:rsidRDefault="00BE601C">
      <w:pPr>
        <w:rPr>
          <w:szCs w:val="24"/>
        </w:rPr>
      </w:pPr>
    </w:p>
    <w:sectPr w:rsidR="00BE601C" w:rsidRPr="0011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EA"/>
    <w:rsid w:val="00065D0D"/>
    <w:rsid w:val="00113786"/>
    <w:rsid w:val="005B54EA"/>
    <w:rsid w:val="00684D86"/>
    <w:rsid w:val="006A1B5B"/>
    <w:rsid w:val="00BE601C"/>
    <w:rsid w:val="00C30E99"/>
    <w:rsid w:val="00D4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4A6FF-7A39-45D4-B74D-9F298F68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78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426E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26E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26E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26E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426E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426E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426EA"/>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426EA"/>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426EA"/>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6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6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6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6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6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6EA"/>
    <w:rPr>
      <w:rFonts w:eastAsiaTheme="majorEastAsia" w:cstheme="majorBidi"/>
      <w:color w:val="272727" w:themeColor="text1" w:themeTint="D8"/>
    </w:rPr>
  </w:style>
  <w:style w:type="paragraph" w:styleId="Title">
    <w:name w:val="Title"/>
    <w:basedOn w:val="Normal"/>
    <w:next w:val="Normal"/>
    <w:link w:val="TitleChar"/>
    <w:uiPriority w:val="10"/>
    <w:qFormat/>
    <w:rsid w:val="00D426E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2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6E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2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6E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426EA"/>
    <w:rPr>
      <w:i/>
      <w:iCs/>
      <w:color w:val="404040" w:themeColor="text1" w:themeTint="BF"/>
    </w:rPr>
  </w:style>
  <w:style w:type="paragraph" w:styleId="ListParagraph">
    <w:name w:val="List Paragraph"/>
    <w:basedOn w:val="Normal"/>
    <w:uiPriority w:val="34"/>
    <w:qFormat/>
    <w:rsid w:val="00D426EA"/>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426EA"/>
    <w:rPr>
      <w:i/>
      <w:iCs/>
      <w:color w:val="2F5496" w:themeColor="accent1" w:themeShade="BF"/>
    </w:rPr>
  </w:style>
  <w:style w:type="paragraph" w:styleId="IntenseQuote">
    <w:name w:val="Intense Quote"/>
    <w:basedOn w:val="Normal"/>
    <w:next w:val="Normal"/>
    <w:link w:val="IntenseQuoteChar"/>
    <w:uiPriority w:val="30"/>
    <w:qFormat/>
    <w:rsid w:val="00D426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426EA"/>
    <w:rPr>
      <w:i/>
      <w:iCs/>
      <w:color w:val="2F5496" w:themeColor="accent1" w:themeShade="BF"/>
    </w:rPr>
  </w:style>
  <w:style w:type="character" w:styleId="IntenseReference">
    <w:name w:val="Intense Reference"/>
    <w:basedOn w:val="DefaultParagraphFont"/>
    <w:uiPriority w:val="32"/>
    <w:qFormat/>
    <w:rsid w:val="00D426EA"/>
    <w:rPr>
      <w:b/>
      <w:bCs/>
      <w:smallCaps/>
      <w:color w:val="2F5496"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113786"/>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trieu viet</dc:creator>
  <cp:keywords/>
  <dc:description/>
  <cp:lastModifiedBy>hung trieu viet</cp:lastModifiedBy>
  <cp:revision>2</cp:revision>
  <dcterms:created xsi:type="dcterms:W3CDTF">2026-04-23T06:13:00Z</dcterms:created>
  <dcterms:modified xsi:type="dcterms:W3CDTF">2026-04-23T06:14:00Z</dcterms:modified>
</cp:coreProperties>
</file>