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1148"/>
        <w:gridCol w:w="2080"/>
        <w:gridCol w:w="3029"/>
        <w:gridCol w:w="3138"/>
      </w:tblGrid>
      <w:tr w:rsidR="00B80D81" w:rsidRPr="00B80D81" w:rsidTr="00752C27">
        <w:trPr>
          <w:trHeight w:val="330"/>
          <w:tblHeader/>
        </w:trPr>
        <w:tc>
          <w:tcPr>
            <w:tcW w:w="611" w:type="pct"/>
            <w:vMerge w:val="restart"/>
            <w:tcBorders>
              <w:top w:val="single" w:sz="4" w:space="0" w:color="auto"/>
              <w:left w:val="single" w:sz="4" w:space="0" w:color="auto"/>
              <w:bottom w:val="single" w:sz="4" w:space="0" w:color="auto"/>
              <w:right w:val="single" w:sz="4" w:space="0" w:color="auto"/>
            </w:tcBorders>
            <w:vAlign w:val="center"/>
            <w:hideMark/>
          </w:tcPr>
          <w:p w:rsidR="00B80D81" w:rsidRPr="00B80D81" w:rsidRDefault="00B80D81" w:rsidP="00752C27">
            <w:pPr>
              <w:spacing w:before="60" w:after="60"/>
              <w:ind w:right="-109" w:hanging="142"/>
              <w:jc w:val="center"/>
              <w:rPr>
                <w:rFonts w:asciiTheme="majorHAnsi" w:hAnsiTheme="majorHAnsi" w:cstheme="majorHAnsi"/>
                <w:b/>
                <w:bCs/>
                <w:sz w:val="28"/>
                <w:szCs w:val="28"/>
              </w:rPr>
            </w:pPr>
            <w:r w:rsidRPr="00B80D81">
              <w:rPr>
                <w:rFonts w:asciiTheme="majorHAnsi" w:hAnsiTheme="majorHAnsi" w:cstheme="majorHAnsi"/>
                <w:sz w:val="28"/>
                <w:szCs w:val="28"/>
                <w:lang w:val="es-ES"/>
              </w:rPr>
              <w:tab/>
            </w:r>
            <w:r w:rsidRPr="00B80D81">
              <w:rPr>
                <w:rFonts w:asciiTheme="majorHAnsi" w:hAnsiTheme="majorHAnsi" w:cstheme="majorHAnsi"/>
                <w:b/>
                <w:bCs/>
                <w:sz w:val="28"/>
                <w:szCs w:val="28"/>
              </w:rPr>
              <w:t>STT</w:t>
            </w:r>
          </w:p>
        </w:tc>
        <w:tc>
          <w:tcPr>
            <w:tcW w:w="1107" w:type="pct"/>
            <w:vMerge w:val="restart"/>
            <w:tcBorders>
              <w:top w:val="single" w:sz="4" w:space="0" w:color="auto"/>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r w:rsidRPr="00B80D81">
              <w:rPr>
                <w:rFonts w:asciiTheme="majorHAnsi" w:hAnsiTheme="majorHAnsi" w:cstheme="majorHAnsi"/>
                <w:b/>
                <w:bCs/>
                <w:sz w:val="28"/>
                <w:szCs w:val="28"/>
              </w:rPr>
              <w:t>Nội dung yêu cầu</w:t>
            </w:r>
          </w:p>
        </w:tc>
        <w:tc>
          <w:tcPr>
            <w:tcW w:w="3282" w:type="pct"/>
            <w:gridSpan w:val="2"/>
            <w:tcBorders>
              <w:top w:val="single" w:sz="4" w:space="0" w:color="auto"/>
              <w:left w:val="nil"/>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r w:rsidRPr="00B80D81">
              <w:rPr>
                <w:rFonts w:asciiTheme="majorHAnsi" w:hAnsiTheme="majorHAnsi" w:cstheme="majorHAnsi"/>
                <w:b/>
                <w:bCs/>
                <w:sz w:val="28"/>
                <w:szCs w:val="28"/>
              </w:rPr>
              <w:t>Mức độ đáp ứng</w:t>
            </w:r>
          </w:p>
        </w:tc>
      </w:tr>
      <w:tr w:rsidR="00B80D81" w:rsidRPr="00B80D81" w:rsidTr="00752C27">
        <w:trPr>
          <w:trHeight w:val="330"/>
          <w:tblHeader/>
        </w:trPr>
        <w:tc>
          <w:tcPr>
            <w:tcW w:w="611" w:type="pct"/>
            <w:vMerge/>
            <w:tcBorders>
              <w:top w:val="single" w:sz="4" w:space="0" w:color="auto"/>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p>
        </w:tc>
        <w:tc>
          <w:tcPr>
            <w:tcW w:w="1107" w:type="pct"/>
            <w:vMerge/>
            <w:tcBorders>
              <w:top w:val="single" w:sz="4" w:space="0" w:color="auto"/>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p>
        </w:tc>
        <w:tc>
          <w:tcPr>
            <w:tcW w:w="1612"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r w:rsidRPr="00B80D81">
              <w:rPr>
                <w:rFonts w:asciiTheme="majorHAnsi" w:hAnsiTheme="majorHAnsi" w:cstheme="majorHAnsi"/>
                <w:b/>
                <w:bCs/>
                <w:sz w:val="28"/>
                <w:szCs w:val="28"/>
              </w:rPr>
              <w:t>Đạt</w:t>
            </w:r>
          </w:p>
        </w:tc>
        <w:tc>
          <w:tcPr>
            <w:tcW w:w="1670"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r w:rsidRPr="00B80D81">
              <w:rPr>
                <w:rFonts w:asciiTheme="majorHAnsi" w:hAnsiTheme="majorHAnsi" w:cstheme="majorHAnsi"/>
                <w:b/>
                <w:bCs/>
                <w:sz w:val="28"/>
                <w:szCs w:val="28"/>
              </w:rPr>
              <w:t>Không đạt</w:t>
            </w:r>
          </w:p>
        </w:tc>
      </w:tr>
      <w:tr w:rsidR="00B80D81" w:rsidRPr="00B80D81" w:rsidTr="00752C27">
        <w:trPr>
          <w:trHeight w:val="345"/>
        </w:trPr>
        <w:tc>
          <w:tcPr>
            <w:tcW w:w="611" w:type="pct"/>
            <w:tcBorders>
              <w:top w:val="nil"/>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iCs/>
                <w:sz w:val="28"/>
                <w:szCs w:val="28"/>
              </w:rPr>
            </w:pPr>
            <w:r w:rsidRPr="00B80D81">
              <w:rPr>
                <w:rFonts w:asciiTheme="majorHAnsi" w:hAnsiTheme="majorHAnsi" w:cstheme="majorHAnsi"/>
                <w:b/>
                <w:bCs/>
                <w:iCs/>
                <w:sz w:val="28"/>
                <w:szCs w:val="28"/>
              </w:rPr>
              <w:t>I</w:t>
            </w:r>
          </w:p>
        </w:tc>
        <w:tc>
          <w:tcPr>
            <w:tcW w:w="4389" w:type="pct"/>
            <w:gridSpan w:val="3"/>
            <w:tcBorders>
              <w:top w:val="single" w:sz="4" w:space="0" w:color="auto"/>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b/>
                <w:bCs/>
                <w:iCs/>
                <w:sz w:val="28"/>
                <w:szCs w:val="28"/>
              </w:rPr>
            </w:pPr>
            <w:r w:rsidRPr="00B80D81">
              <w:rPr>
                <w:rFonts w:asciiTheme="majorHAnsi" w:hAnsiTheme="majorHAnsi" w:cstheme="majorHAnsi"/>
                <w:b/>
                <w:bCs/>
                <w:iCs/>
                <w:sz w:val="28"/>
                <w:szCs w:val="28"/>
              </w:rPr>
              <w:t>Tính hiệu quả của việc cung cấp dịch vụ</w:t>
            </w:r>
          </w:p>
        </w:tc>
      </w:tr>
      <w:tr w:rsidR="00B80D81" w:rsidRPr="00B80D81" w:rsidTr="00752C27">
        <w:trPr>
          <w:trHeight w:val="345"/>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bCs/>
                <w:iCs/>
                <w:sz w:val="28"/>
                <w:szCs w:val="28"/>
              </w:rPr>
            </w:pPr>
            <w:r w:rsidRPr="00B80D81">
              <w:rPr>
                <w:rFonts w:asciiTheme="majorHAnsi" w:hAnsiTheme="majorHAnsi" w:cstheme="majorHAnsi"/>
                <w:bCs/>
                <w:iCs/>
                <w:sz w:val="28"/>
                <w:szCs w:val="28"/>
              </w:rPr>
              <w:t>1</w:t>
            </w:r>
          </w:p>
        </w:tc>
        <w:tc>
          <w:tcPr>
            <w:tcW w:w="1107"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Cs/>
                <w:i/>
                <w:iCs/>
                <w:sz w:val="28"/>
                <w:szCs w:val="28"/>
              </w:rPr>
            </w:pPr>
            <w:r w:rsidRPr="00B80D81">
              <w:rPr>
                <w:rFonts w:asciiTheme="majorHAnsi" w:hAnsiTheme="majorHAnsi" w:cstheme="majorHAnsi"/>
                <w:sz w:val="28"/>
                <w:szCs w:val="28"/>
              </w:rPr>
              <w:t>Hiệu quả của việc sử dụng dịch vụ quản lý vận hành tòa nhà</w:t>
            </w:r>
            <w:r w:rsidRPr="00B80D81">
              <w:rPr>
                <w:rFonts w:asciiTheme="majorHAnsi" w:hAnsiTheme="majorHAnsi" w:cstheme="majorHAnsi"/>
                <w:bCs/>
                <w:i/>
                <w:iCs/>
                <w:sz w:val="28"/>
                <w:szCs w:val="28"/>
              </w:rPr>
              <w:t xml:space="preserve"> </w:t>
            </w:r>
          </w:p>
        </w:tc>
        <w:tc>
          <w:tcPr>
            <w:tcW w:w="1612"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
                <w:bCs/>
                <w:i/>
                <w:iCs/>
                <w:sz w:val="28"/>
                <w:szCs w:val="28"/>
              </w:rPr>
            </w:pPr>
            <w:r w:rsidRPr="00B80D81">
              <w:rPr>
                <w:rFonts w:asciiTheme="majorHAnsi" w:hAnsiTheme="majorHAnsi" w:cstheme="majorHAnsi"/>
                <w:sz w:val="28"/>
                <w:szCs w:val="28"/>
                <w:lang w:val="nl-NL"/>
              </w:rPr>
              <w:t xml:space="preserve">Nhà thầu trình bày </w:t>
            </w:r>
            <w:r w:rsidRPr="00B80D81">
              <w:rPr>
                <w:rFonts w:asciiTheme="majorHAnsi" w:hAnsiTheme="majorHAnsi" w:cstheme="majorHAnsi"/>
                <w:sz w:val="28"/>
                <w:szCs w:val="28"/>
              </w:rPr>
              <w:t>Hiệu quả của việc sử dụng dịch vụ quản lý vận hành tòa nhà phù hợp với hiện trạng của tòa nhà</w:t>
            </w:r>
          </w:p>
        </w:tc>
        <w:tc>
          <w:tcPr>
            <w:tcW w:w="1670"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
                <w:bCs/>
                <w:i/>
                <w:iCs/>
                <w:sz w:val="28"/>
                <w:szCs w:val="28"/>
              </w:rPr>
            </w:pPr>
            <w:r w:rsidRPr="00B80D81">
              <w:rPr>
                <w:rFonts w:asciiTheme="majorHAnsi" w:hAnsiTheme="majorHAnsi" w:cstheme="majorHAnsi"/>
                <w:sz w:val="28"/>
                <w:szCs w:val="28"/>
              </w:rPr>
              <w:t xml:space="preserve">Nhà thầu không trình bày hoặc có trình bày nhưng không đưa ra được hiểu quả của việc sử dụng </w:t>
            </w:r>
          </w:p>
        </w:tc>
      </w:tr>
      <w:tr w:rsidR="00B80D81" w:rsidRPr="00B80D81" w:rsidTr="00752C27">
        <w:trPr>
          <w:trHeight w:val="345"/>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bCs/>
                <w:iCs/>
                <w:sz w:val="28"/>
                <w:szCs w:val="28"/>
              </w:rPr>
            </w:pPr>
            <w:r w:rsidRPr="00B80D81">
              <w:rPr>
                <w:rFonts w:asciiTheme="majorHAnsi" w:hAnsiTheme="majorHAnsi" w:cstheme="majorHAnsi"/>
                <w:bCs/>
                <w:iCs/>
                <w:sz w:val="28"/>
                <w:szCs w:val="28"/>
              </w:rPr>
              <w:t>2</w:t>
            </w:r>
          </w:p>
        </w:tc>
        <w:tc>
          <w:tcPr>
            <w:tcW w:w="1107"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Hiệu quả của việc sử dụng dịch vụ bảo vệ</w:t>
            </w:r>
          </w:p>
        </w:tc>
        <w:tc>
          <w:tcPr>
            <w:tcW w:w="1612"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lang w:val="nl-NL"/>
              </w:rPr>
            </w:pPr>
            <w:r w:rsidRPr="00B80D81">
              <w:rPr>
                <w:rFonts w:asciiTheme="majorHAnsi" w:hAnsiTheme="majorHAnsi" w:cstheme="majorHAnsi"/>
                <w:sz w:val="28"/>
                <w:szCs w:val="28"/>
                <w:lang w:val="nl-NL"/>
              </w:rPr>
              <w:t xml:space="preserve">Nhà thầu trình bày </w:t>
            </w:r>
            <w:r w:rsidRPr="00B80D81">
              <w:rPr>
                <w:rFonts w:asciiTheme="majorHAnsi" w:hAnsiTheme="majorHAnsi" w:cstheme="majorHAnsi"/>
                <w:sz w:val="28"/>
                <w:szCs w:val="28"/>
              </w:rPr>
              <w:t>Hiệu quả của việc sử dụng dịch vụ bảo vệ phù hợp với hiện trạng của tòa nhà</w:t>
            </w:r>
          </w:p>
        </w:tc>
        <w:tc>
          <w:tcPr>
            <w:tcW w:w="1670"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không trình bày hoặc có trình bày nhưng không đưa ra được hiểu quả của việc sử dụng</w:t>
            </w:r>
          </w:p>
        </w:tc>
      </w:tr>
      <w:tr w:rsidR="00B80D81" w:rsidRPr="00B80D81" w:rsidTr="00752C27">
        <w:trPr>
          <w:trHeight w:val="345"/>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bCs/>
                <w:iCs/>
                <w:sz w:val="28"/>
                <w:szCs w:val="28"/>
              </w:rPr>
            </w:pPr>
            <w:r w:rsidRPr="00B80D81">
              <w:rPr>
                <w:rFonts w:asciiTheme="majorHAnsi" w:hAnsiTheme="majorHAnsi" w:cstheme="majorHAnsi"/>
                <w:bCs/>
                <w:iCs/>
                <w:sz w:val="28"/>
                <w:szCs w:val="28"/>
              </w:rPr>
              <w:t>3</w:t>
            </w:r>
          </w:p>
        </w:tc>
        <w:tc>
          <w:tcPr>
            <w:tcW w:w="1107"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Hiệu quả của việc sử dụng dịch vụ vệ sinh</w:t>
            </w:r>
          </w:p>
        </w:tc>
        <w:tc>
          <w:tcPr>
            <w:tcW w:w="1612"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lang w:val="nl-NL"/>
              </w:rPr>
            </w:pPr>
            <w:r w:rsidRPr="00B80D81">
              <w:rPr>
                <w:rFonts w:asciiTheme="majorHAnsi" w:hAnsiTheme="majorHAnsi" w:cstheme="majorHAnsi"/>
                <w:sz w:val="28"/>
                <w:szCs w:val="28"/>
                <w:lang w:val="nl-NL"/>
              </w:rPr>
              <w:t xml:space="preserve">Nhà thầu trình bày </w:t>
            </w:r>
            <w:r w:rsidRPr="00B80D81">
              <w:rPr>
                <w:rFonts w:asciiTheme="majorHAnsi" w:hAnsiTheme="majorHAnsi" w:cstheme="majorHAnsi"/>
                <w:sz w:val="28"/>
                <w:szCs w:val="28"/>
              </w:rPr>
              <w:t>Hiệu quả của việc sử dụng dịch vụ vệ sinh phù hợp với hiện trạng của tòa nhà</w:t>
            </w:r>
          </w:p>
        </w:tc>
        <w:tc>
          <w:tcPr>
            <w:tcW w:w="1670"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không trình bày hoặc có trình bày nhưng không đưa ra được hiểu quả của việc sử dụng</w:t>
            </w:r>
          </w:p>
        </w:tc>
      </w:tr>
      <w:tr w:rsidR="00B80D81" w:rsidRPr="00B80D81" w:rsidTr="00752C27">
        <w:trPr>
          <w:trHeight w:val="345"/>
        </w:trPr>
        <w:tc>
          <w:tcPr>
            <w:tcW w:w="611" w:type="pct"/>
            <w:tcBorders>
              <w:top w:val="nil"/>
              <w:left w:val="single" w:sz="4" w:space="0" w:color="auto"/>
              <w:bottom w:val="single" w:sz="4" w:space="0" w:color="auto"/>
              <w:right w:val="single" w:sz="4" w:space="0" w:color="auto"/>
            </w:tcBorders>
            <w:vAlign w:val="center"/>
          </w:tcPr>
          <w:p w:rsidR="00B80D81" w:rsidRPr="00AC0461" w:rsidRDefault="00B80D81" w:rsidP="00752C27">
            <w:pPr>
              <w:spacing w:before="60" w:after="60"/>
              <w:jc w:val="center"/>
              <w:rPr>
                <w:rFonts w:asciiTheme="majorHAnsi" w:hAnsiTheme="majorHAnsi" w:cstheme="majorHAnsi"/>
                <w:b/>
                <w:bCs/>
                <w:iCs/>
                <w:sz w:val="28"/>
                <w:szCs w:val="28"/>
              </w:rPr>
            </w:pPr>
            <w:bookmarkStart w:id="0" w:name="_GoBack" w:colFirst="0" w:colLast="1"/>
            <w:r w:rsidRPr="00AC0461">
              <w:rPr>
                <w:rFonts w:asciiTheme="majorHAnsi" w:hAnsiTheme="majorHAnsi" w:cstheme="majorHAnsi"/>
                <w:b/>
                <w:bCs/>
                <w:iCs/>
                <w:sz w:val="28"/>
                <w:szCs w:val="28"/>
              </w:rPr>
              <w:t>II</w:t>
            </w:r>
          </w:p>
        </w:tc>
        <w:tc>
          <w:tcPr>
            <w:tcW w:w="4389" w:type="pct"/>
            <w:gridSpan w:val="3"/>
            <w:tcBorders>
              <w:top w:val="single" w:sz="4" w:space="0" w:color="auto"/>
              <w:left w:val="nil"/>
              <w:bottom w:val="single" w:sz="4" w:space="0" w:color="auto"/>
              <w:right w:val="single" w:sz="4" w:space="0" w:color="auto"/>
            </w:tcBorders>
            <w:vAlign w:val="center"/>
          </w:tcPr>
          <w:p w:rsidR="00B80D81" w:rsidRPr="00AC0461" w:rsidRDefault="00B80D81" w:rsidP="00752C27">
            <w:pPr>
              <w:spacing w:before="60" w:after="60"/>
              <w:rPr>
                <w:rFonts w:asciiTheme="majorHAnsi" w:hAnsiTheme="majorHAnsi" w:cstheme="majorHAnsi"/>
                <w:b/>
                <w:sz w:val="28"/>
                <w:szCs w:val="28"/>
              </w:rPr>
            </w:pPr>
            <w:r w:rsidRPr="00AC0461">
              <w:rPr>
                <w:rFonts w:asciiTheme="majorHAnsi" w:hAnsiTheme="majorHAnsi" w:cstheme="majorHAnsi"/>
                <w:b/>
                <w:sz w:val="28"/>
                <w:szCs w:val="28"/>
              </w:rPr>
              <w:t>Mức độ hiểu biết về tính chất và mục đích công việc</w:t>
            </w:r>
          </w:p>
        </w:tc>
      </w:tr>
      <w:bookmarkEnd w:id="0"/>
      <w:tr w:rsidR="00B80D81" w:rsidRPr="00B80D81" w:rsidTr="00752C27">
        <w:trPr>
          <w:trHeight w:val="660"/>
        </w:trPr>
        <w:tc>
          <w:tcPr>
            <w:tcW w:w="611" w:type="pct"/>
            <w:tcBorders>
              <w:top w:val="single" w:sz="4" w:space="0" w:color="auto"/>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1</w:t>
            </w:r>
          </w:p>
        </w:tc>
        <w:tc>
          <w:tcPr>
            <w:tcW w:w="1107" w:type="pct"/>
            <w:tcBorders>
              <w:top w:val="single" w:sz="4" w:space="0" w:color="auto"/>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Hiểu biết về tính chất và mục đích dịch vụ quản lý vận hành tòa nhà</w:t>
            </w:r>
          </w:p>
        </w:tc>
        <w:tc>
          <w:tcPr>
            <w:tcW w:w="1612"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lang w:val="nl-NL"/>
              </w:rPr>
              <w:t xml:space="preserve">Nhà thầu trình bày </w:t>
            </w:r>
            <w:r w:rsidRPr="00B80D81">
              <w:rPr>
                <w:rFonts w:asciiTheme="majorHAnsi" w:hAnsiTheme="majorHAnsi" w:cstheme="majorHAnsi"/>
                <w:sz w:val="28"/>
                <w:szCs w:val="28"/>
              </w:rPr>
              <w:t>Mức độ hiểu biết về tính chất và mục đích công việc của dịch vụ quản lý vận hành tòa nhà phù hợp với hiện trạng của tòa nhà</w:t>
            </w:r>
          </w:p>
        </w:tc>
        <w:tc>
          <w:tcPr>
            <w:tcW w:w="1670"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 xml:space="preserve">Nhà thầu không trình bày Mức độ hiểu biết về tính chất và mục đích công việc của dịch vụ quản lý vận hành tòa nhà hoặc có trình bày nhưng không phù hợp với hiện trạng tòa nhà </w:t>
            </w:r>
          </w:p>
        </w:tc>
      </w:tr>
      <w:tr w:rsidR="00B80D81" w:rsidRPr="00B80D81" w:rsidTr="00752C27">
        <w:trPr>
          <w:trHeight w:val="660"/>
        </w:trPr>
        <w:tc>
          <w:tcPr>
            <w:tcW w:w="611" w:type="pct"/>
            <w:tcBorders>
              <w:top w:val="single" w:sz="4" w:space="0" w:color="auto"/>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2</w:t>
            </w:r>
          </w:p>
        </w:tc>
        <w:tc>
          <w:tcPr>
            <w:tcW w:w="1107"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Hiểu biết về tính chất và mục đích dịch vụ bảo vệ</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lang w:val="nl-NL"/>
              </w:rPr>
              <w:t xml:space="preserve">Nhà thầu trình bày </w:t>
            </w:r>
            <w:r w:rsidRPr="00B80D81">
              <w:rPr>
                <w:rFonts w:asciiTheme="majorHAnsi" w:hAnsiTheme="majorHAnsi" w:cstheme="majorHAnsi"/>
                <w:sz w:val="28"/>
                <w:szCs w:val="28"/>
              </w:rPr>
              <w:t>Mức độ hiểu biết về tính chất và mục đích công việc của dịch vụ bảo vệ phù hợp với hiện trạng của tòa nhà</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không trình bày Mức độ hiểu biết về tính chất và mục đích công việc của dịch vụ bảo vệ hoặc có trình bày nhưng không phù hợp với hiện trạng tòa nhà</w:t>
            </w:r>
          </w:p>
        </w:tc>
      </w:tr>
      <w:tr w:rsidR="00B80D81" w:rsidRPr="00B80D81" w:rsidTr="00752C27">
        <w:trPr>
          <w:trHeight w:val="660"/>
        </w:trPr>
        <w:tc>
          <w:tcPr>
            <w:tcW w:w="611" w:type="pct"/>
            <w:tcBorders>
              <w:top w:val="single" w:sz="4" w:space="0" w:color="auto"/>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lastRenderedPageBreak/>
              <w:t>3</w:t>
            </w:r>
          </w:p>
        </w:tc>
        <w:tc>
          <w:tcPr>
            <w:tcW w:w="1107" w:type="pct"/>
            <w:tcBorders>
              <w:top w:val="single" w:sz="4" w:space="0" w:color="auto"/>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Hiểu biết về tính chất và mục đích dịch vụ vệ sinh</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lang w:val="nl-NL"/>
              </w:rPr>
              <w:t xml:space="preserve">Nhà thầu trình bày </w:t>
            </w:r>
            <w:r w:rsidRPr="00B80D81">
              <w:rPr>
                <w:rFonts w:asciiTheme="majorHAnsi" w:hAnsiTheme="majorHAnsi" w:cstheme="majorHAnsi"/>
                <w:sz w:val="28"/>
                <w:szCs w:val="28"/>
              </w:rPr>
              <w:t>Mức độ hiểu biết về tính chất và mục đích công việc của dịch vụ vệ sinh phù hợp với hiện trạng của tòa nhà</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không trình bày Mức độ hiểu biết về tính chất và mục đích công việc của dịch vụ vệ sinh hoặc có trình bày nhưng không phù hợp với hiện trạng tòa nhà</w:t>
            </w:r>
          </w:p>
        </w:tc>
      </w:tr>
      <w:tr w:rsidR="00B80D81" w:rsidRPr="00B80D81" w:rsidTr="00752C27">
        <w:trPr>
          <w:trHeight w:val="660"/>
        </w:trPr>
        <w:tc>
          <w:tcPr>
            <w:tcW w:w="611" w:type="pct"/>
            <w:tcBorders>
              <w:top w:val="single" w:sz="4" w:space="0" w:color="auto"/>
              <w:left w:val="single" w:sz="4" w:space="0" w:color="auto"/>
              <w:bottom w:val="single" w:sz="4" w:space="0" w:color="auto"/>
              <w:right w:val="single" w:sz="4" w:space="0" w:color="auto"/>
            </w:tcBorders>
            <w:vAlign w:val="center"/>
          </w:tcPr>
          <w:p w:rsidR="00B80D81" w:rsidRPr="00AC0461" w:rsidRDefault="00B80D81" w:rsidP="00752C27">
            <w:pPr>
              <w:spacing w:before="60" w:after="60"/>
              <w:jc w:val="center"/>
              <w:rPr>
                <w:rFonts w:asciiTheme="majorHAnsi" w:hAnsiTheme="majorHAnsi" w:cstheme="majorHAnsi"/>
                <w:b/>
                <w:sz w:val="28"/>
                <w:szCs w:val="28"/>
              </w:rPr>
            </w:pPr>
            <w:r w:rsidRPr="00AC0461">
              <w:rPr>
                <w:rFonts w:asciiTheme="majorHAnsi" w:hAnsiTheme="majorHAnsi" w:cstheme="majorHAnsi"/>
                <w:b/>
                <w:sz w:val="28"/>
                <w:szCs w:val="28"/>
              </w:rPr>
              <w:t>III</w:t>
            </w:r>
          </w:p>
        </w:tc>
        <w:tc>
          <w:tcPr>
            <w:tcW w:w="4389" w:type="pct"/>
            <w:gridSpan w:val="3"/>
            <w:tcBorders>
              <w:top w:val="single" w:sz="4" w:space="0" w:color="auto"/>
              <w:left w:val="nil"/>
              <w:bottom w:val="single" w:sz="4" w:space="0" w:color="auto"/>
              <w:right w:val="single" w:sz="4" w:space="0" w:color="auto"/>
            </w:tcBorders>
            <w:vAlign w:val="center"/>
          </w:tcPr>
          <w:p w:rsidR="00B80D81" w:rsidRPr="00AC0461" w:rsidRDefault="00B80D81" w:rsidP="00752C27">
            <w:pPr>
              <w:spacing w:before="60" w:after="60"/>
              <w:rPr>
                <w:rFonts w:asciiTheme="majorHAnsi" w:hAnsiTheme="majorHAnsi" w:cstheme="majorHAnsi"/>
                <w:b/>
                <w:spacing w:val="-4"/>
                <w:sz w:val="28"/>
                <w:szCs w:val="28"/>
                <w:lang w:eastAsia="x-none"/>
              </w:rPr>
            </w:pPr>
            <w:r w:rsidRPr="00AC0461">
              <w:rPr>
                <w:rFonts w:asciiTheme="majorHAnsi" w:hAnsiTheme="majorHAnsi" w:cstheme="majorHAnsi"/>
                <w:b/>
                <w:spacing w:val="2"/>
                <w:sz w:val="28"/>
                <w:szCs w:val="28"/>
              </w:rPr>
              <w:t>Tính hợp lý và khả thi của kế hoạch, các giải pháp kỹ thuật, biện pháp tổ chức cung cấp dịch vụ</w:t>
            </w:r>
          </w:p>
        </w:tc>
      </w:tr>
      <w:tr w:rsidR="00B80D81" w:rsidRPr="00B80D81" w:rsidTr="00752C27">
        <w:trPr>
          <w:trHeight w:val="660"/>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1</w:t>
            </w:r>
          </w:p>
        </w:tc>
        <w:tc>
          <w:tcPr>
            <w:tcW w:w="1107"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Kế hoạch thực hiện</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có kế hoạch thực hiện chi tiết các công việc của gói thầu theo đúng yêu cầu của E-HSMT</w:t>
            </w:r>
          </w:p>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(Kế hoạch bao gồm các bước thực hiện và các biểu chỉ tiết công việc)</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pacing w:val="-4"/>
                <w:sz w:val="28"/>
                <w:szCs w:val="28"/>
                <w:lang w:eastAsia="x-none"/>
              </w:rPr>
            </w:pPr>
            <w:r w:rsidRPr="00B80D81">
              <w:rPr>
                <w:rFonts w:asciiTheme="majorHAnsi" w:hAnsiTheme="majorHAnsi" w:cstheme="majorHAnsi"/>
                <w:spacing w:val="-4"/>
                <w:sz w:val="28"/>
                <w:szCs w:val="28"/>
                <w:lang w:eastAsia="x-none"/>
              </w:rPr>
              <w:t>Nhà thầu không có kế hoạch chi tiết hoặc có kế hoạch nhưng không đây đủ không có các bước thực hiện không có biểu chỉ tiết</w:t>
            </w:r>
          </w:p>
        </w:tc>
      </w:tr>
      <w:tr w:rsidR="00B80D81" w:rsidRPr="00B80D81" w:rsidTr="00752C27">
        <w:trPr>
          <w:trHeight w:val="660"/>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2</w:t>
            </w:r>
          </w:p>
        </w:tc>
        <w:tc>
          <w:tcPr>
            <w:tcW w:w="1107"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Kế hoạch bố trí nhân sự</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 xml:space="preserve">Có phương án, danh sách bố trí nhân sự hợp lý thực hiện gói thầu </w:t>
            </w:r>
          </w:p>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Có cam kết toàn bộ nhân sự thực hiện đúng theo kê khai của E-HSMT(Trừ trường hợp bất khả kháng)</w:t>
            </w:r>
          </w:p>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Có cam kết toàn bộ nhân sự sẽ được kiểm tra về năng lực đáp ứng yêu cầu của E-HSMT trước khi ký kết hợp đồng</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Không có phương án, danh sách bố trí nhân sự hợp lý thực hiện yêu cầu gói thầu</w:t>
            </w:r>
          </w:p>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Không Có cam kết toàn bộ nhân sự thực hiện đúng theo kê khai của E-HSMT</w:t>
            </w:r>
          </w:p>
          <w:p w:rsidR="00B80D81" w:rsidRPr="00B80D81" w:rsidRDefault="00B80D81" w:rsidP="00752C27">
            <w:pPr>
              <w:spacing w:before="60" w:after="60"/>
              <w:rPr>
                <w:rFonts w:asciiTheme="majorHAnsi" w:hAnsiTheme="majorHAnsi" w:cstheme="majorHAnsi"/>
                <w:spacing w:val="-4"/>
                <w:sz w:val="28"/>
                <w:szCs w:val="28"/>
                <w:lang w:eastAsia="x-none"/>
              </w:rPr>
            </w:pPr>
            <w:r w:rsidRPr="00B80D81">
              <w:rPr>
                <w:rFonts w:asciiTheme="majorHAnsi" w:hAnsiTheme="majorHAnsi" w:cstheme="majorHAnsi"/>
                <w:sz w:val="28"/>
                <w:szCs w:val="28"/>
              </w:rPr>
              <w:t>Không có cam kết toàn bộ nhân sự sẽ được kiểm tra về năng lực đáp ứng yêu cầu của E-HSMT trước khi ký kết hợp đồng</w:t>
            </w:r>
          </w:p>
        </w:tc>
      </w:tr>
      <w:tr w:rsidR="00B80D81" w:rsidRPr="00B80D81" w:rsidTr="00752C27">
        <w:trPr>
          <w:trHeight w:val="660"/>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3</w:t>
            </w:r>
          </w:p>
        </w:tc>
        <w:tc>
          <w:tcPr>
            <w:tcW w:w="1107"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Giải pháp kỹ thuật</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 xml:space="preserve">Nhà thầu trình bày giải pháp kỹ thuật và tuyên bố đáp ứng phù hợp với </w:t>
            </w:r>
            <w:r w:rsidRPr="00B80D81">
              <w:rPr>
                <w:rFonts w:asciiTheme="majorHAnsi" w:hAnsiTheme="majorHAnsi" w:cstheme="majorHAnsi"/>
                <w:sz w:val="28"/>
                <w:szCs w:val="28"/>
              </w:rPr>
              <w:lastRenderedPageBreak/>
              <w:t>các yêu cầu tại mục 3 Chương V- E-HSMT</w:t>
            </w:r>
          </w:p>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(Khuyến nghị nhà thầu đến khảo sát để có phương án kỹ thuật đáp ứng yêu cầu)</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lastRenderedPageBreak/>
              <w:t xml:space="preserve">Nhà thầu không trình bày giải pháp hoặc không có tuyên bố đáp ứng hoặc có </w:t>
            </w:r>
            <w:r w:rsidRPr="00B80D81">
              <w:rPr>
                <w:rFonts w:asciiTheme="majorHAnsi" w:hAnsiTheme="majorHAnsi" w:cstheme="majorHAnsi"/>
                <w:sz w:val="28"/>
                <w:szCs w:val="28"/>
              </w:rPr>
              <w:lastRenderedPageBreak/>
              <w:t>nhưng không đáp ứng yêu cầu của E-HSMT.</w:t>
            </w:r>
          </w:p>
        </w:tc>
      </w:tr>
      <w:tr w:rsidR="00B80D81" w:rsidRPr="00B80D81" w:rsidTr="00752C27">
        <w:trPr>
          <w:trHeight w:val="660"/>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lastRenderedPageBreak/>
              <w:t>4</w:t>
            </w:r>
          </w:p>
        </w:tc>
        <w:tc>
          <w:tcPr>
            <w:tcW w:w="1107"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Biện pháp tổ chức cung cấp dịch vụ</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trình bày Biện pháp tổ chức cung cấp dịch vụ phù hợp với giải pháp kỹ thuật nhà thầu đưa ra</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không trình bày hoặc có trình bày nhưng Biện pháp tổ chức cung cấp dịch vụ không phù hợp với giải pháp kỹ thuật nhà thầu đưa ra</w:t>
            </w:r>
          </w:p>
        </w:tc>
      </w:tr>
      <w:tr w:rsidR="00B80D81" w:rsidRPr="00B80D81" w:rsidTr="00752C27">
        <w:trPr>
          <w:trHeight w:val="660"/>
        </w:trPr>
        <w:tc>
          <w:tcPr>
            <w:tcW w:w="611"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5</w:t>
            </w:r>
          </w:p>
        </w:tc>
        <w:tc>
          <w:tcPr>
            <w:tcW w:w="1107"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Khả năng huy động máy móc, thiết bị</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đáp ứng yêu cầu về thiết bị máy móc theo yêu cầu tại mục 4 V – E-HSMT (Có bảng danh sách thiết bị nhà thầu sử dụng bao gồm hãng sản xuất, năm sản xuất, nước sản xuất, tên thiết bị, mã thiết bị(nếu có))</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 xml:space="preserve">Nhà thầu không đáp ứng yêu cầu về thiết bị máy móc theo yêu cầu tại mục 4 V – E-HSMT </w:t>
            </w:r>
          </w:p>
        </w:tc>
      </w:tr>
      <w:tr w:rsidR="00B80D81" w:rsidRPr="00B80D81" w:rsidTr="00752C27">
        <w:trPr>
          <w:trHeight w:val="607"/>
        </w:trPr>
        <w:tc>
          <w:tcPr>
            <w:tcW w:w="611" w:type="pct"/>
            <w:tcBorders>
              <w:top w:val="nil"/>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iCs/>
                <w:sz w:val="28"/>
                <w:szCs w:val="28"/>
              </w:rPr>
            </w:pPr>
            <w:r w:rsidRPr="00B80D81">
              <w:rPr>
                <w:rFonts w:asciiTheme="majorHAnsi" w:hAnsiTheme="majorHAnsi" w:cstheme="majorHAnsi"/>
                <w:b/>
                <w:bCs/>
                <w:iCs/>
                <w:sz w:val="28"/>
                <w:szCs w:val="28"/>
              </w:rPr>
              <w:t>IV</w:t>
            </w:r>
          </w:p>
        </w:tc>
        <w:tc>
          <w:tcPr>
            <w:tcW w:w="4389" w:type="pct"/>
            <w:gridSpan w:val="3"/>
            <w:tcBorders>
              <w:top w:val="single" w:sz="4" w:space="0" w:color="auto"/>
              <w:left w:val="nil"/>
              <w:bottom w:val="single" w:sz="4" w:space="0" w:color="000000"/>
              <w:right w:val="single" w:sz="4" w:space="0" w:color="auto"/>
            </w:tcBorders>
            <w:vAlign w:val="center"/>
            <w:hideMark/>
          </w:tcPr>
          <w:p w:rsidR="00B80D81" w:rsidRPr="00B80D81" w:rsidRDefault="00B80D81" w:rsidP="00752C27">
            <w:pPr>
              <w:spacing w:before="60" w:after="60"/>
              <w:rPr>
                <w:rFonts w:asciiTheme="majorHAnsi" w:hAnsiTheme="majorHAnsi" w:cstheme="majorHAnsi"/>
                <w:b/>
                <w:bCs/>
                <w:iCs/>
                <w:sz w:val="28"/>
                <w:szCs w:val="28"/>
              </w:rPr>
            </w:pPr>
            <w:r w:rsidRPr="00B80D81">
              <w:rPr>
                <w:rFonts w:asciiTheme="majorHAnsi" w:hAnsiTheme="majorHAnsi" w:cstheme="majorHAnsi"/>
                <w:b/>
                <w:sz w:val="28"/>
                <w:szCs w:val="28"/>
                <w:lang w:val="pl-PL"/>
              </w:rPr>
              <w:t xml:space="preserve">Mức độ đáp ứng </w:t>
            </w:r>
            <w:r w:rsidRPr="00B80D81">
              <w:rPr>
                <w:rFonts w:asciiTheme="majorHAnsi" w:hAnsiTheme="majorHAnsi" w:cstheme="majorHAnsi"/>
                <w:b/>
                <w:sz w:val="28"/>
                <w:szCs w:val="28"/>
              </w:rPr>
              <w:t xml:space="preserve">hệ thống </w:t>
            </w:r>
            <w:r w:rsidRPr="00B80D81">
              <w:rPr>
                <w:rFonts w:asciiTheme="majorHAnsi" w:hAnsiTheme="majorHAnsi" w:cstheme="majorHAnsi"/>
                <w:b/>
                <w:sz w:val="28"/>
                <w:szCs w:val="28"/>
                <w:lang w:val="pl-PL"/>
              </w:rPr>
              <w:t>đảm bảo</w:t>
            </w:r>
            <w:r w:rsidRPr="00B80D81">
              <w:rPr>
                <w:rFonts w:asciiTheme="majorHAnsi" w:hAnsiTheme="majorHAnsi" w:cstheme="majorHAnsi"/>
                <w:b/>
                <w:sz w:val="28"/>
                <w:szCs w:val="28"/>
              </w:rPr>
              <w:t xml:space="preserve"> chất lượng và phương pháp </w:t>
            </w:r>
            <w:r w:rsidRPr="00B80D81">
              <w:rPr>
                <w:rFonts w:asciiTheme="majorHAnsi" w:hAnsiTheme="majorHAnsi" w:cstheme="majorHAnsi"/>
                <w:b/>
                <w:sz w:val="28"/>
                <w:szCs w:val="28"/>
                <w:lang w:val="pl-PL"/>
              </w:rPr>
              <w:t>thực hiện</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1</w:t>
            </w:r>
          </w:p>
        </w:tc>
        <w:tc>
          <w:tcPr>
            <w:tcW w:w="1107"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Hệ thống đảm bảo chất lượng</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có cung cấp các tài liệu chứng minh nhà thầu đáp ứng yêu cầu tại mục 5 Chương V E-HSMT</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không cung cấp với các tài liệu chứng minh nhà thầu đáp ứng yêu cầu tại mục 5 Chương V E-HSMT  hoặc có cung cấp nhưng không hợp lệ</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b/>
                <w:sz w:val="28"/>
                <w:szCs w:val="28"/>
              </w:rPr>
            </w:pPr>
            <w:r w:rsidRPr="00B80D81">
              <w:rPr>
                <w:rFonts w:asciiTheme="majorHAnsi" w:hAnsiTheme="majorHAnsi" w:cstheme="majorHAnsi"/>
                <w:b/>
                <w:sz w:val="28"/>
                <w:szCs w:val="28"/>
              </w:rPr>
              <w:t>V</w:t>
            </w:r>
          </w:p>
        </w:tc>
        <w:tc>
          <w:tcPr>
            <w:tcW w:w="4389" w:type="pct"/>
            <w:gridSpan w:val="3"/>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
                <w:sz w:val="28"/>
                <w:szCs w:val="28"/>
              </w:rPr>
            </w:pPr>
            <w:r w:rsidRPr="00B80D81">
              <w:rPr>
                <w:rFonts w:asciiTheme="majorHAnsi" w:hAnsiTheme="majorHAnsi" w:cstheme="majorHAnsi"/>
                <w:b/>
                <w:sz w:val="28"/>
                <w:szCs w:val="28"/>
                <w:lang w:val="pl-PL"/>
              </w:rPr>
              <w:t>Mức độ đáp ứng các yêu cầu về tiêu chuẩn thực hiện dịch vụ</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lastRenderedPageBreak/>
              <w:t>1</w:t>
            </w:r>
          </w:p>
        </w:tc>
        <w:tc>
          <w:tcPr>
            <w:tcW w:w="1107"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lang w:val="pl-PL"/>
              </w:rPr>
              <w:t>Tiêu chuẩn thực hiện dịch vụ</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cam kết toàn bộ quá trình thực hiện dịch vụ vận hành, bảo vệ, vệ sinh tòa nhà phải đảm bảo tuân thủ các tiêu chuẩn của gói thầu</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rPr>
              <w:t>Nhà thầu không có cam kết toàn bộ quá trình thực hiện dịch vụ vận hành, bảo vệ, vệ sinh tòa nhà phải đảm bảo tuân thủ các tiêu chuẩn của gói thầu</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b/>
                <w:sz w:val="28"/>
                <w:szCs w:val="28"/>
              </w:rPr>
            </w:pPr>
            <w:r w:rsidRPr="00B80D81">
              <w:rPr>
                <w:rFonts w:asciiTheme="majorHAnsi" w:hAnsiTheme="majorHAnsi" w:cstheme="majorHAnsi"/>
                <w:b/>
                <w:sz w:val="28"/>
                <w:szCs w:val="28"/>
              </w:rPr>
              <w:t>VI</w:t>
            </w:r>
          </w:p>
        </w:tc>
        <w:tc>
          <w:tcPr>
            <w:tcW w:w="4389" w:type="pct"/>
            <w:gridSpan w:val="3"/>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
                <w:sz w:val="28"/>
                <w:szCs w:val="28"/>
              </w:rPr>
            </w:pPr>
            <w:r w:rsidRPr="00B80D81">
              <w:rPr>
                <w:rFonts w:asciiTheme="majorHAnsi" w:hAnsiTheme="majorHAnsi" w:cstheme="majorHAnsi"/>
                <w:b/>
                <w:sz w:val="28"/>
                <w:szCs w:val="28"/>
                <w:lang w:val="pl-PL"/>
              </w:rPr>
              <w:t>Tiến độ thực hiện</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1</w:t>
            </w:r>
          </w:p>
        </w:tc>
        <w:tc>
          <w:tcPr>
            <w:tcW w:w="1107"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z w:val="28"/>
                <w:szCs w:val="28"/>
                <w:lang w:val="pl-PL"/>
              </w:rPr>
              <w:t>Tiến độ thực hiện</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pacing w:val="2"/>
                <w:sz w:val="28"/>
                <w:szCs w:val="28"/>
                <w:lang w:val="pl-PL"/>
              </w:rPr>
              <w:t>Tiến độ thực hiện gói thầu đáp ứng yêu cầu của E-HSMT</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spacing w:val="2"/>
                <w:sz w:val="28"/>
                <w:szCs w:val="28"/>
                <w:lang w:val="pl-PL"/>
              </w:rPr>
              <w:t>Tiến độ thực hiện gói thầu không đáp ứng yêu cầu của E-HSMT</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b/>
                <w:sz w:val="28"/>
                <w:szCs w:val="28"/>
              </w:rPr>
            </w:pPr>
            <w:r w:rsidRPr="00B80D81">
              <w:rPr>
                <w:rFonts w:asciiTheme="majorHAnsi" w:hAnsiTheme="majorHAnsi" w:cstheme="majorHAnsi"/>
                <w:b/>
                <w:sz w:val="28"/>
                <w:szCs w:val="28"/>
              </w:rPr>
              <w:t>VII</w:t>
            </w:r>
          </w:p>
        </w:tc>
        <w:tc>
          <w:tcPr>
            <w:tcW w:w="4389" w:type="pct"/>
            <w:gridSpan w:val="3"/>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
                <w:sz w:val="28"/>
                <w:szCs w:val="28"/>
              </w:rPr>
            </w:pPr>
            <w:r w:rsidRPr="00B80D81">
              <w:rPr>
                <w:rFonts w:asciiTheme="majorHAnsi" w:hAnsiTheme="majorHAnsi" w:cstheme="majorHAnsi"/>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1</w:t>
            </w:r>
          </w:p>
        </w:tc>
        <w:tc>
          <w:tcPr>
            <w:tcW w:w="1107"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bCs/>
                <w:sz w:val="28"/>
                <w:szCs w:val="28"/>
              </w:rPr>
              <w:t>Thông tin về kết quả thực hiện hợp đồng của nhà thầu theo quy định tại Điều 19 và Điều 20 của Nghị định số 214/2025/NĐ-CP</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rPr>
                <w:rFonts w:asciiTheme="majorHAnsi" w:hAnsiTheme="majorHAnsi" w:cstheme="majorHAnsi"/>
                <w:bCs/>
                <w:sz w:val="28"/>
                <w:szCs w:val="28"/>
              </w:rPr>
            </w:pPr>
            <w:r w:rsidRPr="00B80D81">
              <w:rPr>
                <w:rFonts w:asciiTheme="majorHAnsi" w:hAnsiTheme="majorHAnsi" w:cstheme="majorHAnsi"/>
                <w:bCs/>
                <w:sz w:val="28"/>
                <w:szCs w:val="28"/>
              </w:rPr>
              <w:t>Nhà thầu cam kết không có vi phạm, không bị nêu tên trên hệ thống theo quy định tại Điều 19 và Điều 20 của Nghị định số 214/2025/NĐ-CP;</w:t>
            </w:r>
          </w:p>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sz w:val="28"/>
                <w:szCs w:val="28"/>
              </w:rPr>
            </w:pPr>
            <w:r w:rsidRPr="00B80D81">
              <w:rPr>
                <w:rFonts w:asciiTheme="majorHAnsi" w:hAnsiTheme="majorHAnsi" w:cstheme="majorHAnsi"/>
                <w:bCs/>
                <w:sz w:val="28"/>
                <w:szCs w:val="28"/>
              </w:rPr>
              <w:t>Không có cam kết theo yêu cầu, hoặc Nhà thầu bị đánh giá về kết quả thực hiện hợp đồng theo quy định tại Điều 19 và Điều 20 của Nghị định số 214/2025/NĐ-CP</w:t>
            </w: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b/>
                <w:sz w:val="28"/>
                <w:szCs w:val="28"/>
              </w:rPr>
            </w:pPr>
            <w:r w:rsidRPr="00B80D81">
              <w:rPr>
                <w:rFonts w:asciiTheme="majorHAnsi" w:hAnsiTheme="majorHAnsi" w:cstheme="majorHAnsi"/>
                <w:b/>
                <w:sz w:val="28"/>
                <w:szCs w:val="28"/>
              </w:rPr>
              <w:lastRenderedPageBreak/>
              <w:t>VIII</w:t>
            </w:r>
          </w:p>
        </w:tc>
        <w:tc>
          <w:tcPr>
            <w:tcW w:w="1107"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
                <w:bCs/>
                <w:sz w:val="28"/>
                <w:szCs w:val="28"/>
              </w:rPr>
            </w:pPr>
            <w:r w:rsidRPr="00B80D81">
              <w:rPr>
                <w:rFonts w:asciiTheme="majorHAnsi" w:hAnsiTheme="majorHAnsi" w:cstheme="majorHAnsi"/>
                <w:b/>
                <w:bCs/>
                <w:sz w:val="28"/>
                <w:szCs w:val="28"/>
              </w:rPr>
              <w:t>Yêu cầu khác</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rPr>
                <w:rFonts w:asciiTheme="majorHAnsi" w:hAnsiTheme="majorHAnsi" w:cstheme="majorHAnsi"/>
                <w:bCs/>
                <w:sz w:val="28"/>
                <w:szCs w:val="28"/>
              </w:rPr>
            </w:pP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Cs/>
                <w:sz w:val="28"/>
                <w:szCs w:val="28"/>
              </w:rPr>
            </w:pPr>
          </w:p>
          <w:p w:rsidR="00B80D81" w:rsidRPr="00B80D81" w:rsidRDefault="00B80D81" w:rsidP="00752C27">
            <w:pPr>
              <w:spacing w:before="60" w:after="60"/>
              <w:rPr>
                <w:rFonts w:asciiTheme="majorHAnsi" w:hAnsiTheme="majorHAnsi" w:cstheme="majorHAnsi"/>
                <w:bCs/>
                <w:sz w:val="28"/>
                <w:szCs w:val="28"/>
              </w:rPr>
            </w:pPr>
          </w:p>
        </w:tc>
      </w:tr>
      <w:tr w:rsidR="00B80D81" w:rsidRPr="00B80D81" w:rsidTr="00752C27">
        <w:trPr>
          <w:trHeight w:val="690"/>
        </w:trPr>
        <w:tc>
          <w:tcPr>
            <w:tcW w:w="611" w:type="pct"/>
            <w:tcBorders>
              <w:top w:val="nil"/>
              <w:left w:val="single" w:sz="4" w:space="0" w:color="auto"/>
              <w:bottom w:val="single" w:sz="4" w:space="0" w:color="auto"/>
              <w:right w:val="nil"/>
            </w:tcBorders>
            <w:vAlign w:val="center"/>
          </w:tcPr>
          <w:p w:rsidR="00B80D81" w:rsidRPr="00B80D81" w:rsidRDefault="00B80D81" w:rsidP="00752C27">
            <w:pPr>
              <w:spacing w:before="60" w:after="60"/>
              <w:jc w:val="center"/>
              <w:rPr>
                <w:rFonts w:asciiTheme="majorHAnsi" w:hAnsiTheme="majorHAnsi" w:cstheme="majorHAnsi"/>
                <w:sz w:val="28"/>
                <w:szCs w:val="28"/>
              </w:rPr>
            </w:pPr>
            <w:r w:rsidRPr="00B80D81">
              <w:rPr>
                <w:rFonts w:asciiTheme="majorHAnsi" w:hAnsiTheme="majorHAnsi" w:cstheme="majorHAnsi"/>
                <w:sz w:val="28"/>
                <w:szCs w:val="28"/>
              </w:rPr>
              <w:t>1</w:t>
            </w:r>
          </w:p>
        </w:tc>
        <w:tc>
          <w:tcPr>
            <w:tcW w:w="1107" w:type="pct"/>
            <w:tcBorders>
              <w:top w:val="nil"/>
              <w:left w:val="single" w:sz="4" w:space="0" w:color="auto"/>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Cs/>
                <w:sz w:val="28"/>
                <w:szCs w:val="28"/>
              </w:rPr>
            </w:pPr>
            <w:r w:rsidRPr="00B80D81">
              <w:rPr>
                <w:rFonts w:asciiTheme="majorHAnsi" w:hAnsiTheme="majorHAnsi" w:cstheme="majorHAnsi"/>
                <w:bCs/>
                <w:sz w:val="28"/>
                <w:szCs w:val="28"/>
              </w:rPr>
              <w:t>Yêu cầu về kiểm tra nghiệm thu</w:t>
            </w:r>
          </w:p>
        </w:tc>
        <w:tc>
          <w:tcPr>
            <w:tcW w:w="1612" w:type="pct"/>
            <w:tcBorders>
              <w:top w:val="nil"/>
              <w:left w:val="nil"/>
              <w:bottom w:val="single" w:sz="4" w:space="0" w:color="auto"/>
              <w:right w:val="single" w:sz="4" w:space="0" w:color="auto"/>
            </w:tcBorders>
            <w:vAlign w:val="center"/>
          </w:tcPr>
          <w:p w:rsidR="00B80D81" w:rsidRPr="00B80D81" w:rsidRDefault="00B80D81" w:rsidP="00752C27">
            <w:pPr>
              <w:rPr>
                <w:rFonts w:asciiTheme="majorHAnsi" w:hAnsiTheme="majorHAnsi" w:cstheme="majorHAnsi"/>
                <w:bCs/>
                <w:sz w:val="28"/>
                <w:szCs w:val="28"/>
              </w:rPr>
            </w:pPr>
            <w:r w:rsidRPr="00B80D81">
              <w:rPr>
                <w:rFonts w:asciiTheme="majorHAnsi" w:hAnsiTheme="majorHAnsi" w:cstheme="majorHAnsi"/>
                <w:bCs/>
                <w:sz w:val="28"/>
                <w:szCs w:val="28"/>
              </w:rPr>
              <w:t xml:space="preserve">Nhà thầu cam kết đáp ứng các yêu cầu về Quy định về kiểm tra, nghiệm thu sản phẩm tại mục 6. </w:t>
            </w:r>
            <w:r w:rsidRPr="00B80D81">
              <w:rPr>
                <w:rFonts w:asciiTheme="majorHAnsi" w:hAnsiTheme="majorHAnsi" w:cstheme="majorHAnsi"/>
                <w:sz w:val="28"/>
                <w:szCs w:val="28"/>
              </w:rPr>
              <w:t>Chương V E-HSMT</w:t>
            </w:r>
          </w:p>
        </w:tc>
        <w:tc>
          <w:tcPr>
            <w:tcW w:w="1670" w:type="pct"/>
            <w:tcBorders>
              <w:top w:val="nil"/>
              <w:left w:val="nil"/>
              <w:bottom w:val="single" w:sz="4" w:space="0" w:color="auto"/>
              <w:right w:val="single" w:sz="4" w:space="0" w:color="auto"/>
            </w:tcBorders>
            <w:vAlign w:val="center"/>
          </w:tcPr>
          <w:p w:rsidR="00B80D81" w:rsidRPr="00B80D81" w:rsidRDefault="00B80D81" w:rsidP="00752C27">
            <w:pPr>
              <w:spacing w:before="60" w:after="60"/>
              <w:rPr>
                <w:rFonts w:asciiTheme="majorHAnsi" w:hAnsiTheme="majorHAnsi" w:cstheme="majorHAnsi"/>
                <w:bCs/>
                <w:sz w:val="28"/>
                <w:szCs w:val="28"/>
              </w:rPr>
            </w:pPr>
            <w:r w:rsidRPr="00B80D81">
              <w:rPr>
                <w:rFonts w:asciiTheme="majorHAnsi" w:hAnsiTheme="majorHAnsi" w:cstheme="majorHAnsi"/>
                <w:bCs/>
                <w:sz w:val="28"/>
                <w:szCs w:val="28"/>
              </w:rPr>
              <w:t xml:space="preserve">Nhà thầu không có cam kết đáp ứng các yêu cầu về Quy định về kiểm tra, nghiệm thu sản phẩm tại mục 6. </w:t>
            </w:r>
            <w:r w:rsidRPr="00B80D81">
              <w:rPr>
                <w:rFonts w:asciiTheme="majorHAnsi" w:hAnsiTheme="majorHAnsi" w:cstheme="majorHAnsi"/>
                <w:sz w:val="28"/>
                <w:szCs w:val="28"/>
              </w:rPr>
              <w:t>Chương V E-HSMT</w:t>
            </w:r>
          </w:p>
        </w:tc>
      </w:tr>
      <w:tr w:rsidR="00B80D81" w:rsidRPr="00B80D81" w:rsidTr="00752C27">
        <w:trPr>
          <w:trHeight w:val="660"/>
        </w:trPr>
        <w:tc>
          <w:tcPr>
            <w:tcW w:w="171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r w:rsidRPr="00B80D81">
              <w:rPr>
                <w:rFonts w:asciiTheme="majorHAnsi" w:hAnsiTheme="majorHAnsi" w:cstheme="majorHAnsi"/>
                <w:b/>
                <w:bCs/>
                <w:sz w:val="28"/>
                <w:szCs w:val="28"/>
              </w:rPr>
              <w:t>Kết luận</w:t>
            </w:r>
          </w:p>
        </w:tc>
        <w:tc>
          <w:tcPr>
            <w:tcW w:w="1612"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b/>
                <w:bCs/>
                <w:sz w:val="28"/>
                <w:szCs w:val="28"/>
              </w:rPr>
            </w:pPr>
            <w:r w:rsidRPr="00B80D81">
              <w:rPr>
                <w:rFonts w:asciiTheme="majorHAnsi" w:hAnsiTheme="majorHAnsi" w:cstheme="majorHAnsi"/>
                <w:b/>
                <w:bCs/>
                <w:sz w:val="28"/>
                <w:szCs w:val="28"/>
              </w:rPr>
              <w:t>Đạt tất cả các nội dung nêu trên</w:t>
            </w:r>
          </w:p>
        </w:tc>
        <w:tc>
          <w:tcPr>
            <w:tcW w:w="1670"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b/>
                <w:bCs/>
                <w:sz w:val="28"/>
                <w:szCs w:val="28"/>
              </w:rPr>
            </w:pPr>
            <w:r w:rsidRPr="00B80D81">
              <w:rPr>
                <w:rFonts w:asciiTheme="majorHAnsi" w:hAnsiTheme="majorHAnsi" w:cstheme="majorHAnsi"/>
                <w:b/>
                <w:bCs/>
                <w:sz w:val="28"/>
                <w:szCs w:val="28"/>
              </w:rPr>
              <w:t>ĐẠT</w:t>
            </w:r>
          </w:p>
        </w:tc>
      </w:tr>
      <w:tr w:rsidR="00B80D81" w:rsidRPr="00B80D81" w:rsidTr="00752C27">
        <w:trPr>
          <w:trHeight w:val="572"/>
        </w:trPr>
        <w:tc>
          <w:tcPr>
            <w:tcW w:w="1718" w:type="pct"/>
            <w:gridSpan w:val="2"/>
            <w:vMerge/>
            <w:tcBorders>
              <w:top w:val="single" w:sz="4" w:space="0" w:color="auto"/>
              <w:left w:val="single" w:sz="4" w:space="0" w:color="auto"/>
              <w:bottom w:val="single" w:sz="4" w:space="0" w:color="auto"/>
              <w:right w:val="single" w:sz="4" w:space="0" w:color="auto"/>
            </w:tcBorders>
            <w:vAlign w:val="center"/>
            <w:hideMark/>
          </w:tcPr>
          <w:p w:rsidR="00B80D81" w:rsidRPr="00B80D81" w:rsidRDefault="00B80D81" w:rsidP="00752C27">
            <w:pPr>
              <w:spacing w:before="60" w:after="60"/>
              <w:jc w:val="center"/>
              <w:rPr>
                <w:rFonts w:asciiTheme="majorHAnsi" w:hAnsiTheme="majorHAnsi" w:cstheme="majorHAnsi"/>
                <w:b/>
                <w:bCs/>
                <w:sz w:val="28"/>
                <w:szCs w:val="28"/>
              </w:rPr>
            </w:pPr>
          </w:p>
        </w:tc>
        <w:tc>
          <w:tcPr>
            <w:tcW w:w="1612"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b/>
                <w:bCs/>
                <w:sz w:val="28"/>
                <w:szCs w:val="28"/>
              </w:rPr>
            </w:pPr>
            <w:r w:rsidRPr="00B80D81">
              <w:rPr>
                <w:rFonts w:asciiTheme="majorHAnsi" w:hAnsiTheme="majorHAnsi" w:cstheme="majorHAnsi"/>
                <w:b/>
                <w:bCs/>
                <w:sz w:val="28"/>
                <w:szCs w:val="28"/>
              </w:rPr>
              <w:t>Không đạt bất kỳ nội dung nào nêu trên</w:t>
            </w:r>
          </w:p>
        </w:tc>
        <w:tc>
          <w:tcPr>
            <w:tcW w:w="1670" w:type="pct"/>
            <w:tcBorders>
              <w:top w:val="nil"/>
              <w:left w:val="nil"/>
              <w:bottom w:val="single" w:sz="4" w:space="0" w:color="auto"/>
              <w:right w:val="single" w:sz="4" w:space="0" w:color="auto"/>
            </w:tcBorders>
            <w:vAlign w:val="center"/>
            <w:hideMark/>
          </w:tcPr>
          <w:p w:rsidR="00B80D81" w:rsidRPr="00B80D81" w:rsidRDefault="00B80D81" w:rsidP="00752C27">
            <w:pPr>
              <w:spacing w:before="60" w:after="60"/>
              <w:rPr>
                <w:rFonts w:asciiTheme="majorHAnsi" w:hAnsiTheme="majorHAnsi" w:cstheme="majorHAnsi"/>
                <w:b/>
                <w:bCs/>
                <w:sz w:val="28"/>
                <w:szCs w:val="28"/>
              </w:rPr>
            </w:pPr>
            <w:r w:rsidRPr="00B80D81">
              <w:rPr>
                <w:rFonts w:asciiTheme="majorHAnsi" w:hAnsiTheme="majorHAnsi" w:cstheme="majorHAnsi"/>
                <w:b/>
                <w:bCs/>
                <w:sz w:val="28"/>
                <w:szCs w:val="28"/>
              </w:rPr>
              <w:t>KHÔNG ĐẠT</w:t>
            </w:r>
          </w:p>
        </w:tc>
      </w:tr>
    </w:tbl>
    <w:p w:rsidR="00462EE6" w:rsidRPr="00B80D81" w:rsidRDefault="00462EE6">
      <w:pPr>
        <w:rPr>
          <w:rFonts w:asciiTheme="majorHAnsi" w:hAnsiTheme="majorHAnsi" w:cstheme="majorHAnsi"/>
          <w:sz w:val="28"/>
          <w:szCs w:val="28"/>
        </w:rPr>
      </w:pPr>
    </w:p>
    <w:sectPr w:rsidR="00462EE6" w:rsidRPr="00B80D81" w:rsidSect="00C27F37">
      <w:pgSz w:w="12240" w:h="15840"/>
      <w:pgMar w:top="1134"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81"/>
    <w:rsid w:val="00462EE6"/>
    <w:rsid w:val="00AC0461"/>
    <w:rsid w:val="00B80D81"/>
    <w:rsid w:val="00C27F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7AC20-6602-4D6D-9867-4512D8B5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2026-04-20T10:10:00Z</dcterms:created>
  <dcterms:modified xsi:type="dcterms:W3CDTF">2026-04-20T10:12:00Z</dcterms:modified>
</cp:coreProperties>
</file>