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953" w:rsidRPr="00496BEC" w:rsidRDefault="00802953" w:rsidP="00802953">
      <w:pPr>
        <w:pBdr>
          <w:top w:val="nil"/>
          <w:left w:val="nil"/>
          <w:bottom w:val="nil"/>
          <w:right w:val="nil"/>
          <w:between w:val="nil"/>
        </w:pBdr>
        <w:tabs>
          <w:tab w:val="right" w:pos="9062"/>
        </w:tabs>
        <w:spacing w:before="80" w:after="80" w:line="264" w:lineRule="auto"/>
        <w:ind w:firstLine="709"/>
        <w:rPr>
          <w:b/>
          <w:bCs/>
          <w:color w:val="000000" w:themeColor="text1"/>
          <w:sz w:val="28"/>
          <w:szCs w:val="28"/>
        </w:rPr>
      </w:pPr>
      <w:proofErr w:type="spellStart"/>
      <w:r w:rsidRPr="00496BEC">
        <w:rPr>
          <w:b/>
          <w:bCs/>
          <w:color w:val="000000" w:themeColor="text1"/>
          <w:sz w:val="28"/>
          <w:szCs w:val="28"/>
        </w:rPr>
        <w:t>Mục</w:t>
      </w:r>
      <w:proofErr w:type="spellEnd"/>
      <w:r w:rsidRPr="00496BEC">
        <w:rPr>
          <w:b/>
          <w:bCs/>
          <w:color w:val="000000" w:themeColor="text1"/>
          <w:sz w:val="28"/>
          <w:szCs w:val="28"/>
        </w:rPr>
        <w:t xml:space="preserve"> 3. </w:t>
      </w:r>
      <w:proofErr w:type="spellStart"/>
      <w:r w:rsidRPr="00496BEC">
        <w:rPr>
          <w:b/>
          <w:bCs/>
          <w:color w:val="000000" w:themeColor="text1"/>
          <w:sz w:val="28"/>
          <w:szCs w:val="28"/>
        </w:rPr>
        <w:t>Tiêu</w:t>
      </w:r>
      <w:proofErr w:type="spellEnd"/>
      <w:r w:rsidRPr="00496BE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496BE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b/>
          <w:bCs/>
          <w:color w:val="000000" w:themeColor="text1"/>
          <w:sz w:val="28"/>
          <w:szCs w:val="28"/>
        </w:rPr>
        <w:t>đánh</w:t>
      </w:r>
      <w:proofErr w:type="spellEnd"/>
      <w:r w:rsidRPr="00496BE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b/>
          <w:bCs/>
          <w:color w:val="000000" w:themeColor="text1"/>
          <w:sz w:val="28"/>
          <w:szCs w:val="28"/>
        </w:rPr>
        <w:t>giá</w:t>
      </w:r>
      <w:proofErr w:type="spellEnd"/>
      <w:r w:rsidRPr="00496BE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b/>
          <w:bCs/>
          <w:color w:val="000000" w:themeColor="text1"/>
          <w:sz w:val="28"/>
          <w:szCs w:val="28"/>
        </w:rPr>
        <w:t>về</w:t>
      </w:r>
      <w:proofErr w:type="spellEnd"/>
      <w:r w:rsidRPr="00496BE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b/>
          <w:bCs/>
          <w:color w:val="000000" w:themeColor="text1"/>
          <w:sz w:val="28"/>
          <w:szCs w:val="28"/>
        </w:rPr>
        <w:t>kỹ</w:t>
      </w:r>
      <w:proofErr w:type="spellEnd"/>
      <w:r w:rsidRPr="00496BE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b/>
          <w:bCs/>
          <w:color w:val="000000" w:themeColor="text1"/>
          <w:sz w:val="28"/>
          <w:szCs w:val="28"/>
        </w:rPr>
        <w:t>thuật</w:t>
      </w:r>
      <w:proofErr w:type="spellEnd"/>
      <w:r w:rsidRPr="00496BEC">
        <w:rPr>
          <w:b/>
          <w:bCs/>
          <w:color w:val="000000" w:themeColor="text1"/>
          <w:sz w:val="28"/>
          <w:szCs w:val="28"/>
        </w:rPr>
        <w:t xml:space="preserve"> (File </w:t>
      </w:r>
      <w:proofErr w:type="spellStart"/>
      <w:r w:rsidRPr="00496BEC">
        <w:rPr>
          <w:b/>
          <w:bCs/>
          <w:color w:val="000000" w:themeColor="text1"/>
          <w:sz w:val="28"/>
          <w:szCs w:val="28"/>
        </w:rPr>
        <w:t>đính</w:t>
      </w:r>
      <w:proofErr w:type="spellEnd"/>
      <w:r w:rsidRPr="00496BE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b/>
          <w:bCs/>
          <w:color w:val="000000" w:themeColor="text1"/>
          <w:sz w:val="28"/>
          <w:szCs w:val="28"/>
        </w:rPr>
        <w:t>kèm</w:t>
      </w:r>
      <w:proofErr w:type="spellEnd"/>
      <w:r w:rsidRPr="00496BEC">
        <w:rPr>
          <w:b/>
          <w:bCs/>
          <w:color w:val="000000" w:themeColor="text1"/>
          <w:sz w:val="28"/>
          <w:szCs w:val="28"/>
        </w:rPr>
        <w:t>)</w:t>
      </w:r>
    </w:p>
    <w:p w:rsidR="00802953" w:rsidRPr="00496BEC" w:rsidRDefault="00802953" w:rsidP="00802953">
      <w:pPr>
        <w:spacing w:before="80" w:after="80" w:line="264" w:lineRule="auto"/>
        <w:ind w:firstLine="709"/>
        <w:rPr>
          <w:color w:val="000000" w:themeColor="text1"/>
          <w:sz w:val="28"/>
          <w:szCs w:val="28"/>
        </w:rPr>
      </w:pPr>
      <w:proofErr w:type="spellStart"/>
      <w:r w:rsidRPr="00496BEC">
        <w:rPr>
          <w:color w:val="000000" w:themeColor="text1"/>
          <w:sz w:val="28"/>
          <w:szCs w:val="28"/>
        </w:rPr>
        <w:t>Sử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dụng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tiêu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chí</w:t>
      </w:r>
      <w:proofErr w:type="spellEnd"/>
      <w:r w:rsidRPr="00496BEC">
        <w:rPr>
          <w:color w:val="000000" w:themeColor="text1"/>
          <w:sz w:val="28"/>
          <w:szCs w:val="28"/>
        </w:rPr>
        <w:t xml:space="preserve">: </w:t>
      </w:r>
      <w:proofErr w:type="spellStart"/>
      <w:r w:rsidRPr="00496BEC">
        <w:rPr>
          <w:color w:val="000000" w:themeColor="text1"/>
          <w:sz w:val="28"/>
          <w:szCs w:val="28"/>
        </w:rPr>
        <w:t>Đạt</w:t>
      </w:r>
      <w:proofErr w:type="spellEnd"/>
      <w:r w:rsidRPr="00496BEC">
        <w:rPr>
          <w:color w:val="000000" w:themeColor="text1"/>
          <w:sz w:val="28"/>
          <w:szCs w:val="28"/>
        </w:rPr>
        <w:t>/</w:t>
      </w:r>
      <w:proofErr w:type="spellStart"/>
      <w:r w:rsidRPr="00496BEC">
        <w:rPr>
          <w:color w:val="000000" w:themeColor="text1"/>
          <w:sz w:val="28"/>
          <w:szCs w:val="28"/>
        </w:rPr>
        <w:t>Không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đạt</w:t>
      </w:r>
      <w:proofErr w:type="spellEnd"/>
    </w:p>
    <w:p w:rsidR="00802953" w:rsidRPr="00496BEC" w:rsidRDefault="00802953" w:rsidP="00802953">
      <w:pPr>
        <w:spacing w:before="80" w:after="80" w:line="264" w:lineRule="auto"/>
        <w:ind w:firstLine="709"/>
        <w:rPr>
          <w:color w:val="000000" w:themeColor="text1"/>
          <w:sz w:val="28"/>
          <w:szCs w:val="28"/>
        </w:rPr>
      </w:pPr>
      <w:proofErr w:type="spellStart"/>
      <w:r w:rsidRPr="00496BEC">
        <w:rPr>
          <w:color w:val="000000" w:themeColor="text1"/>
          <w:sz w:val="28"/>
          <w:szCs w:val="28"/>
        </w:rPr>
        <w:t>Các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yêu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cầu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kỹ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thuật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được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quy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định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trong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bảng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dưới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đây</w:t>
      </w:r>
      <w:proofErr w:type="spellEnd"/>
      <w:r w:rsidRPr="00496BEC">
        <w:rPr>
          <w:color w:val="000000" w:themeColor="text1"/>
          <w:sz w:val="28"/>
          <w:szCs w:val="28"/>
        </w:rPr>
        <w:t>.</w:t>
      </w: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262"/>
        <w:gridCol w:w="5383"/>
        <w:gridCol w:w="1417"/>
      </w:tblGrid>
      <w:tr w:rsidR="00802953" w:rsidRPr="00496BEC" w:rsidTr="00B05BE8">
        <w:tc>
          <w:tcPr>
            <w:tcW w:w="846" w:type="dxa"/>
          </w:tcPr>
          <w:p w:rsidR="00802953" w:rsidRPr="00B05BE8" w:rsidRDefault="00802953" w:rsidP="00B05BE8">
            <w:pPr>
              <w:spacing w:before="80" w:after="80" w:line="264" w:lineRule="auto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B05BE8">
              <w:rPr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2262" w:type="dxa"/>
          </w:tcPr>
          <w:p w:rsidR="00802953" w:rsidRPr="00B05BE8" w:rsidRDefault="00802953" w:rsidP="00B05BE8">
            <w:pPr>
              <w:spacing w:before="80" w:after="80" w:line="264" w:lineRule="auto"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3" w:type="dxa"/>
          </w:tcPr>
          <w:p w:rsidR="00802953" w:rsidRPr="00B05BE8" w:rsidRDefault="00802953" w:rsidP="00B05BE8">
            <w:pPr>
              <w:spacing w:before="80" w:after="80" w:line="264" w:lineRule="auto"/>
              <w:jc w:val="lef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05BE8">
              <w:rPr>
                <w:b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B05BE8">
              <w:rPr>
                <w:b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B05BE8">
              <w:rPr>
                <w:b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B05BE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05BE8">
              <w:rPr>
                <w:b/>
                <w:color w:val="000000" w:themeColor="text1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1417" w:type="dxa"/>
          </w:tcPr>
          <w:p w:rsidR="00802953" w:rsidRPr="00B05BE8" w:rsidRDefault="00802953" w:rsidP="00B05BE8">
            <w:pPr>
              <w:spacing w:before="80" w:after="80" w:line="264" w:lineRule="auto"/>
              <w:jc w:val="lef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05BE8">
              <w:rPr>
                <w:b/>
                <w:color w:val="000000" w:themeColor="text1"/>
                <w:sz w:val="28"/>
                <w:szCs w:val="28"/>
              </w:rPr>
              <w:t>Tiêu</w:t>
            </w:r>
            <w:proofErr w:type="spellEnd"/>
            <w:r w:rsidRPr="00B05BE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05BE8">
              <w:rPr>
                <w:b/>
                <w:color w:val="000000" w:themeColor="text1"/>
                <w:sz w:val="28"/>
                <w:szCs w:val="28"/>
              </w:rPr>
              <w:t>chuẩn</w:t>
            </w:r>
            <w:proofErr w:type="spellEnd"/>
          </w:p>
        </w:tc>
      </w:tr>
      <w:tr w:rsidR="00802953" w:rsidRPr="00496BEC" w:rsidTr="00B05BE8">
        <w:tc>
          <w:tcPr>
            <w:tcW w:w="846" w:type="dxa"/>
            <w:vMerge w:val="restart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r w:rsidRPr="00496BE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2" w:type="dxa"/>
            <w:vMerge w:val="restart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thuật</w:t>
            </w:r>
            <w:proofErr w:type="spellEnd"/>
          </w:p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5383" w:type="dxa"/>
          </w:tcPr>
          <w:p w:rsidR="00802953" w:rsidRPr="00496BEC" w:rsidRDefault="00802953" w:rsidP="00AF36D3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thầu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V </w:t>
            </w:r>
          </w:p>
        </w:tc>
        <w:tc>
          <w:tcPr>
            <w:tcW w:w="1417" w:type="dxa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Đạt</w:t>
            </w:r>
            <w:proofErr w:type="spellEnd"/>
          </w:p>
        </w:tc>
      </w:tr>
      <w:tr w:rsidR="00802953" w:rsidRPr="00496BEC" w:rsidTr="00B05BE8">
        <w:tc>
          <w:tcPr>
            <w:tcW w:w="846" w:type="dxa"/>
            <w:vMerge/>
          </w:tcPr>
          <w:p w:rsidR="00802953" w:rsidRPr="00496BEC" w:rsidRDefault="00802953" w:rsidP="00AF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802953" w:rsidRPr="00496BEC" w:rsidRDefault="00802953" w:rsidP="00AF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83" w:type="dxa"/>
          </w:tcPr>
          <w:p w:rsidR="00802953" w:rsidRPr="00496BEC" w:rsidRDefault="00802953" w:rsidP="00AF36D3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thầu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đạt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) 1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t</w:t>
            </w:r>
            <w:bookmarkStart w:id="0" w:name="_GoBack"/>
            <w:bookmarkEnd w:id="0"/>
            <w:r w:rsidRPr="00496BEC">
              <w:rPr>
                <w:color w:val="000000" w:themeColor="text1"/>
                <w:sz w:val="26"/>
                <w:szCs w:val="26"/>
              </w:rPr>
              <w:t>huật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496BEC">
              <w:rPr>
                <w:color w:val="000000" w:themeColor="text1"/>
                <w:sz w:val="26"/>
                <w:szCs w:val="26"/>
              </w:rPr>
              <w:t xml:space="preserve"> V </w:t>
            </w:r>
          </w:p>
        </w:tc>
        <w:tc>
          <w:tcPr>
            <w:tcW w:w="1417" w:type="dxa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đạt</w:t>
            </w:r>
            <w:proofErr w:type="spellEnd"/>
          </w:p>
        </w:tc>
      </w:tr>
      <w:tr w:rsidR="00802953" w:rsidRPr="00496BEC" w:rsidTr="00B05BE8">
        <w:tc>
          <w:tcPr>
            <w:tcW w:w="846" w:type="dxa"/>
            <w:vMerge w:val="restart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r w:rsidRPr="00496BE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2" w:type="dxa"/>
            <w:vMerge w:val="restart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Lịch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</w:p>
        </w:tc>
        <w:tc>
          <w:tcPr>
            <w:tcW w:w="5383" w:type="dxa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r w:rsidRPr="00496BEC">
              <w:rPr>
                <w:color w:val="000000" w:themeColor="text1"/>
                <w:sz w:val="28"/>
                <w:szCs w:val="28"/>
              </w:rPr>
              <w:t xml:space="preserve"> &lt;=70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417" w:type="dxa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Đạt</w:t>
            </w:r>
            <w:proofErr w:type="spellEnd"/>
          </w:p>
        </w:tc>
      </w:tr>
      <w:tr w:rsidR="00802953" w:rsidRPr="00496BEC" w:rsidTr="00B05BE8">
        <w:tc>
          <w:tcPr>
            <w:tcW w:w="846" w:type="dxa"/>
            <w:vMerge/>
          </w:tcPr>
          <w:p w:rsidR="00802953" w:rsidRPr="00496BEC" w:rsidRDefault="00802953" w:rsidP="00AF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802953" w:rsidRPr="00496BEC" w:rsidRDefault="00802953" w:rsidP="00AF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83" w:type="dxa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r w:rsidRPr="00496BEC">
              <w:rPr>
                <w:color w:val="000000" w:themeColor="text1"/>
                <w:sz w:val="28"/>
                <w:szCs w:val="28"/>
              </w:rPr>
              <w:t xml:space="preserve">&gt; 70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417" w:type="dxa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đạt</w:t>
            </w:r>
            <w:proofErr w:type="spellEnd"/>
          </w:p>
        </w:tc>
      </w:tr>
      <w:tr w:rsidR="00802953" w:rsidRPr="00496BEC" w:rsidTr="00B05BE8">
        <w:tc>
          <w:tcPr>
            <w:tcW w:w="846" w:type="dxa"/>
            <w:vMerge w:val="restart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r w:rsidRPr="00496BE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2" w:type="dxa"/>
            <w:vMerge w:val="restart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</w:p>
        </w:tc>
        <w:tc>
          <w:tcPr>
            <w:tcW w:w="5383" w:type="dxa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cung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tuân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thủ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chương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V </w:t>
            </w:r>
          </w:p>
        </w:tc>
        <w:tc>
          <w:tcPr>
            <w:tcW w:w="1417" w:type="dxa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Đạt</w:t>
            </w:r>
            <w:proofErr w:type="spellEnd"/>
          </w:p>
        </w:tc>
      </w:tr>
      <w:tr w:rsidR="00802953" w:rsidRPr="00496BEC" w:rsidTr="00B05BE8">
        <w:tc>
          <w:tcPr>
            <w:tcW w:w="846" w:type="dxa"/>
            <w:vMerge/>
          </w:tcPr>
          <w:p w:rsidR="00802953" w:rsidRPr="00496BEC" w:rsidRDefault="00802953" w:rsidP="00AF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802953" w:rsidRPr="00496BEC" w:rsidRDefault="00802953" w:rsidP="00AF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83" w:type="dxa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cung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tuân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thủ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chương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V </w:t>
            </w:r>
          </w:p>
        </w:tc>
        <w:tc>
          <w:tcPr>
            <w:tcW w:w="1417" w:type="dxa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đạt</w:t>
            </w:r>
            <w:proofErr w:type="spellEnd"/>
          </w:p>
        </w:tc>
      </w:tr>
      <w:tr w:rsidR="00802953" w:rsidRPr="00496BEC" w:rsidTr="00B05BE8">
        <w:tc>
          <w:tcPr>
            <w:tcW w:w="846" w:type="dxa"/>
            <w:vMerge w:val="restart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r w:rsidRPr="00496BE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2" w:type="dxa"/>
            <w:vMerge w:val="restart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Bảo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</w:p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thuật</w:t>
            </w:r>
            <w:proofErr w:type="spellEnd"/>
          </w:p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bảo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383" w:type="dxa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bảo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cung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tuân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thủ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khoản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bảo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chương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V </w:t>
            </w:r>
          </w:p>
        </w:tc>
        <w:tc>
          <w:tcPr>
            <w:tcW w:w="1417" w:type="dxa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Đạt</w:t>
            </w:r>
            <w:proofErr w:type="spellEnd"/>
          </w:p>
        </w:tc>
      </w:tr>
      <w:tr w:rsidR="00802953" w:rsidRPr="00496BEC" w:rsidTr="00B05BE8">
        <w:tc>
          <w:tcPr>
            <w:tcW w:w="846" w:type="dxa"/>
            <w:vMerge/>
          </w:tcPr>
          <w:p w:rsidR="00802953" w:rsidRPr="00496BEC" w:rsidRDefault="00802953" w:rsidP="00AF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802953" w:rsidRPr="00496BEC" w:rsidRDefault="00802953" w:rsidP="00AF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83" w:type="dxa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bảo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cung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tuân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thủ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khoản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bảo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chương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V </w:t>
            </w:r>
          </w:p>
        </w:tc>
        <w:tc>
          <w:tcPr>
            <w:tcW w:w="1417" w:type="dxa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đạt</w:t>
            </w:r>
            <w:proofErr w:type="spellEnd"/>
          </w:p>
        </w:tc>
      </w:tr>
      <w:tr w:rsidR="00802953" w:rsidRPr="00496BEC" w:rsidTr="00B05BE8">
        <w:tc>
          <w:tcPr>
            <w:tcW w:w="846" w:type="dxa"/>
            <w:vMerge w:val="restart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r w:rsidRPr="00496BEC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62" w:type="dxa"/>
            <w:vMerge w:val="restart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Nguồn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gốc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hoá</w:t>
            </w:r>
            <w:proofErr w:type="spellEnd"/>
          </w:p>
        </w:tc>
        <w:tc>
          <w:tcPr>
            <w:tcW w:w="5383" w:type="dxa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nếu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);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bao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gồm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nguyên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liệu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kiện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nguồn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gốc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ràng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thầu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nguồn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gốc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từng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mặt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Đạt</w:t>
            </w:r>
            <w:proofErr w:type="spellEnd"/>
          </w:p>
        </w:tc>
      </w:tr>
      <w:tr w:rsidR="00802953" w:rsidRPr="00496BEC" w:rsidTr="00B05BE8">
        <w:tc>
          <w:tcPr>
            <w:tcW w:w="846" w:type="dxa"/>
            <w:vMerge/>
          </w:tcPr>
          <w:p w:rsidR="00802953" w:rsidRPr="00496BEC" w:rsidRDefault="00802953" w:rsidP="00AF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802953" w:rsidRPr="00496BEC" w:rsidRDefault="00802953" w:rsidP="00AF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83" w:type="dxa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nếu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);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bao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gồm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liệu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kiện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nguồn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gốc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ràng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bất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thầu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nguồn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gốc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nguồn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gốc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từng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mặt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802953" w:rsidRPr="00496BEC" w:rsidRDefault="00802953" w:rsidP="00AF36D3">
            <w:pPr>
              <w:spacing w:before="80" w:after="80"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96B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6BEC">
              <w:rPr>
                <w:color w:val="000000" w:themeColor="text1"/>
                <w:sz w:val="28"/>
                <w:szCs w:val="28"/>
              </w:rPr>
              <w:t>đạt</w:t>
            </w:r>
            <w:proofErr w:type="spellEnd"/>
          </w:p>
        </w:tc>
      </w:tr>
    </w:tbl>
    <w:p w:rsidR="00802953" w:rsidRPr="00496BEC" w:rsidRDefault="00802953" w:rsidP="00802953">
      <w:pPr>
        <w:spacing w:before="80" w:after="80" w:line="264" w:lineRule="auto"/>
        <w:ind w:firstLine="709"/>
        <w:rPr>
          <w:color w:val="000000" w:themeColor="text1"/>
          <w:sz w:val="28"/>
          <w:szCs w:val="28"/>
        </w:rPr>
      </w:pPr>
      <w:proofErr w:type="spellStart"/>
      <w:r w:rsidRPr="00496BEC">
        <w:rPr>
          <w:color w:val="000000" w:themeColor="text1"/>
          <w:sz w:val="28"/>
          <w:szCs w:val="28"/>
        </w:rPr>
        <w:t>Đánh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giá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kỹ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thuật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dựa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trên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đề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xuất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kỹ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thuật</w:t>
      </w:r>
      <w:proofErr w:type="spellEnd"/>
      <w:r w:rsidRPr="00496BEC">
        <w:rPr>
          <w:color w:val="000000" w:themeColor="text1"/>
          <w:sz w:val="28"/>
          <w:szCs w:val="28"/>
        </w:rPr>
        <w:t xml:space="preserve">, </w:t>
      </w:r>
      <w:proofErr w:type="spellStart"/>
      <w:r w:rsidRPr="00496BEC">
        <w:rPr>
          <w:color w:val="000000" w:themeColor="text1"/>
          <w:sz w:val="28"/>
          <w:szCs w:val="28"/>
        </w:rPr>
        <w:t>danh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mục</w:t>
      </w:r>
      <w:proofErr w:type="spellEnd"/>
      <w:r w:rsidRPr="00496BEC">
        <w:rPr>
          <w:color w:val="000000" w:themeColor="text1"/>
          <w:sz w:val="28"/>
          <w:szCs w:val="28"/>
        </w:rPr>
        <w:t>/</w:t>
      </w:r>
      <w:proofErr w:type="spellStart"/>
      <w:r w:rsidRPr="00496BEC">
        <w:rPr>
          <w:color w:val="000000" w:themeColor="text1"/>
          <w:sz w:val="28"/>
          <w:szCs w:val="28"/>
        </w:rPr>
        <w:t>bảng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dữ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liệu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sản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phẩm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và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các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tài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liệu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liên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quan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trong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Hồ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sơ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dự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thầu</w:t>
      </w:r>
      <w:proofErr w:type="spellEnd"/>
      <w:r w:rsidRPr="00496BEC">
        <w:rPr>
          <w:color w:val="000000" w:themeColor="text1"/>
          <w:sz w:val="28"/>
          <w:szCs w:val="28"/>
        </w:rPr>
        <w:t xml:space="preserve">. </w:t>
      </w:r>
      <w:proofErr w:type="spellStart"/>
      <w:r w:rsidRPr="00496BEC">
        <w:rPr>
          <w:color w:val="000000" w:themeColor="text1"/>
          <w:sz w:val="28"/>
          <w:szCs w:val="28"/>
        </w:rPr>
        <w:t>Nhà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thầu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có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nghĩa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vụ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nêu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rõ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hàng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hóa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của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mình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đáp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ứng</w:t>
      </w:r>
      <w:proofErr w:type="spellEnd"/>
      <w:r w:rsidRPr="00496BEC">
        <w:rPr>
          <w:color w:val="000000" w:themeColor="text1"/>
          <w:sz w:val="28"/>
          <w:szCs w:val="28"/>
        </w:rPr>
        <w:t xml:space="preserve">, </w:t>
      </w:r>
      <w:proofErr w:type="spellStart"/>
      <w:r w:rsidRPr="00496BEC">
        <w:rPr>
          <w:color w:val="000000" w:themeColor="text1"/>
          <w:sz w:val="28"/>
          <w:szCs w:val="28"/>
        </w:rPr>
        <w:t>không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đáp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ứng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hoặc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đáp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ứng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một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phần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các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yêu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cầu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kỹ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thuật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trong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Bản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mô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tả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lastRenderedPageBreak/>
        <w:t>đặc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điểm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kỹ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thuật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như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yêu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cầu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trong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Hồ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sơ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dự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thầu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và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nộp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đầy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đủ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các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tài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liệu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cần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thiết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làm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bằng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chứng</w:t>
      </w:r>
      <w:proofErr w:type="spellEnd"/>
      <w:r w:rsidRPr="00496BEC">
        <w:rPr>
          <w:color w:val="000000" w:themeColor="text1"/>
          <w:sz w:val="28"/>
          <w:szCs w:val="28"/>
        </w:rPr>
        <w:t>.</w:t>
      </w:r>
    </w:p>
    <w:p w:rsidR="00802953" w:rsidRPr="00496BEC" w:rsidRDefault="00802953" w:rsidP="00802953">
      <w:pPr>
        <w:spacing w:before="80" w:after="80" w:line="264" w:lineRule="auto"/>
        <w:ind w:firstLine="709"/>
        <w:rPr>
          <w:color w:val="000000" w:themeColor="text1"/>
          <w:sz w:val="28"/>
          <w:szCs w:val="28"/>
        </w:rPr>
      </w:pPr>
      <w:r w:rsidRPr="00496BEC">
        <w:rPr>
          <w:color w:val="000000" w:themeColor="text1"/>
          <w:sz w:val="28"/>
          <w:szCs w:val="28"/>
        </w:rPr>
        <w:t xml:space="preserve">HSDT </w:t>
      </w:r>
      <w:proofErr w:type="spellStart"/>
      <w:r w:rsidRPr="00496BEC">
        <w:rPr>
          <w:color w:val="000000" w:themeColor="text1"/>
          <w:sz w:val="28"/>
          <w:szCs w:val="28"/>
        </w:rPr>
        <w:t>được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coi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là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đáp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ứng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các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yêu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cầu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kỹ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thuật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khi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tất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cả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các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tiêu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chí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được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đánh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giá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là</w:t>
      </w:r>
      <w:proofErr w:type="spellEnd"/>
      <w:r w:rsidRPr="00496BEC">
        <w:rPr>
          <w:color w:val="000000" w:themeColor="text1"/>
          <w:sz w:val="28"/>
          <w:szCs w:val="28"/>
        </w:rPr>
        <w:t xml:space="preserve"> "</w:t>
      </w:r>
      <w:proofErr w:type="spellStart"/>
      <w:r w:rsidRPr="00496BEC">
        <w:rPr>
          <w:color w:val="000000" w:themeColor="text1"/>
          <w:sz w:val="28"/>
          <w:szCs w:val="28"/>
        </w:rPr>
        <w:t>Đạt</w:t>
      </w:r>
      <w:proofErr w:type="spellEnd"/>
      <w:r w:rsidRPr="00496BEC">
        <w:rPr>
          <w:color w:val="000000" w:themeColor="text1"/>
          <w:sz w:val="28"/>
          <w:szCs w:val="28"/>
        </w:rPr>
        <w:t xml:space="preserve">". </w:t>
      </w:r>
      <w:proofErr w:type="spellStart"/>
      <w:r w:rsidRPr="00496BEC">
        <w:rPr>
          <w:color w:val="000000" w:themeColor="text1"/>
          <w:sz w:val="28"/>
          <w:szCs w:val="28"/>
        </w:rPr>
        <w:t>Khi</w:t>
      </w:r>
      <w:proofErr w:type="spellEnd"/>
      <w:r w:rsidRPr="00496BEC">
        <w:rPr>
          <w:color w:val="000000" w:themeColor="text1"/>
          <w:sz w:val="28"/>
          <w:szCs w:val="28"/>
        </w:rPr>
        <w:t xml:space="preserve"> HSDT </w:t>
      </w:r>
      <w:proofErr w:type="spellStart"/>
      <w:r w:rsidRPr="00496BEC">
        <w:rPr>
          <w:color w:val="000000" w:themeColor="text1"/>
          <w:sz w:val="28"/>
          <w:szCs w:val="28"/>
        </w:rPr>
        <w:t>được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đánh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giá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là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đáp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ứng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các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yêu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cầu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kỹ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thuật</w:t>
      </w:r>
      <w:proofErr w:type="spellEnd"/>
      <w:r w:rsidRPr="00496BEC">
        <w:rPr>
          <w:color w:val="000000" w:themeColor="text1"/>
          <w:sz w:val="28"/>
          <w:szCs w:val="28"/>
        </w:rPr>
        <w:t xml:space="preserve">, HSDT </w:t>
      </w:r>
      <w:proofErr w:type="spellStart"/>
      <w:r w:rsidRPr="00496BEC">
        <w:rPr>
          <w:color w:val="000000" w:themeColor="text1"/>
          <w:sz w:val="28"/>
          <w:szCs w:val="28"/>
        </w:rPr>
        <w:t>sẽ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được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xem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xét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và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đánh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giá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các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bước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tiếp</w:t>
      </w:r>
      <w:proofErr w:type="spellEnd"/>
      <w:r w:rsidRPr="00496BEC">
        <w:rPr>
          <w:color w:val="000000" w:themeColor="text1"/>
          <w:sz w:val="28"/>
          <w:szCs w:val="28"/>
        </w:rPr>
        <w:t xml:space="preserve"> </w:t>
      </w:r>
      <w:proofErr w:type="spellStart"/>
      <w:r w:rsidRPr="00496BEC">
        <w:rPr>
          <w:color w:val="000000" w:themeColor="text1"/>
          <w:sz w:val="28"/>
          <w:szCs w:val="28"/>
        </w:rPr>
        <w:t>theo.</w:t>
      </w:r>
      <w:proofErr w:type="spellEnd"/>
    </w:p>
    <w:sectPr w:rsidR="00802953" w:rsidRPr="00496BEC" w:rsidSect="00B93982">
      <w:pgSz w:w="11907" w:h="16840" w:code="9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82"/>
    <w:rsid w:val="0024119B"/>
    <w:rsid w:val="00665DC2"/>
    <w:rsid w:val="007E4C60"/>
    <w:rsid w:val="00802953"/>
    <w:rsid w:val="00B05BE8"/>
    <w:rsid w:val="00B9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295C7B-11D0-4BDD-B3F4-579EB020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9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 w:after="120" w:line="324" w:lineRule="auto"/>
      <w:contextualSpacing/>
      <w:jc w:val="left"/>
      <w:outlineLvl w:val="0"/>
    </w:pPr>
    <w:rPr>
      <w:rFonts w:eastAsiaTheme="majorEastAsia" w:cstheme="majorBidi"/>
      <w:b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 w:after="120" w:line="324" w:lineRule="auto"/>
      <w:contextualSpacing/>
      <w:jc w:val="left"/>
      <w:outlineLvl w:val="1"/>
    </w:pPr>
    <w:rPr>
      <w:rFonts w:eastAsiaTheme="majorEastAsia" w:cstheme="majorBidi"/>
      <w:b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before="120" w:line="324" w:lineRule="auto"/>
      <w:jc w:val="left"/>
      <w:outlineLvl w:val="2"/>
    </w:pPr>
    <w:rPr>
      <w:rFonts w:eastAsiaTheme="majorEastAsia" w:cstheme="majorBidi"/>
      <w:b/>
      <w:i/>
      <w:sz w:val="26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before="120" w:line="324" w:lineRule="auto"/>
      <w:jc w:val="left"/>
      <w:outlineLvl w:val="3"/>
    </w:pPr>
    <w:rPr>
      <w:rFonts w:eastAsiaTheme="majorEastAsia" w:cstheme="majorBidi"/>
      <w:b/>
      <w:i/>
      <w:iCs/>
      <w:sz w:val="26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2026-04-14T10:48:00Z</dcterms:created>
  <dcterms:modified xsi:type="dcterms:W3CDTF">2026-04-15T07:23:00Z</dcterms:modified>
</cp:coreProperties>
</file>