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73776" w14:textId="77777777" w:rsidR="00281B51" w:rsidRPr="00400B24" w:rsidRDefault="00281B51" w:rsidP="00281B51">
      <w:pPr>
        <w:pStyle w:val="01"/>
      </w:pPr>
      <w:bookmarkStart w:id="0" w:name="_Toc54248523"/>
      <w:bookmarkStart w:id="1" w:name="_Toc54098540"/>
      <w:bookmarkStart w:id="2" w:name="_Toc104800535"/>
      <w:r w:rsidRPr="00400B24">
        <w:t>Chương V. YÊU CẦU VỀ KỸ THUẬT</w:t>
      </w:r>
      <w:bookmarkEnd w:id="2"/>
    </w:p>
    <w:p w14:paraId="18779CE3" w14:textId="77777777" w:rsidR="00281B51" w:rsidRPr="00400B24" w:rsidRDefault="00281B51" w:rsidP="00281B51">
      <w:pPr>
        <w:pStyle w:val="ListParagraph"/>
        <w:numPr>
          <w:ilvl w:val="0"/>
          <w:numId w:val="12"/>
        </w:numPr>
        <w:spacing w:before="60" w:after="60" w:line="360" w:lineRule="exact"/>
        <w:jc w:val="left"/>
        <w:rPr>
          <w:b/>
          <w:sz w:val="28"/>
          <w:szCs w:val="28"/>
          <w:lang w:val="nl-NL"/>
        </w:rPr>
      </w:pPr>
      <w:r w:rsidRPr="00400B24">
        <w:rPr>
          <w:b/>
          <w:sz w:val="28"/>
          <w:szCs w:val="28"/>
          <w:lang w:val="nl-NL"/>
        </w:rPr>
        <w:t>Giới thiệu chung về gói thầu:</w:t>
      </w:r>
    </w:p>
    <w:p w14:paraId="3FCA5CF9" w14:textId="77777777" w:rsidR="00281B51" w:rsidRPr="00400B24" w:rsidRDefault="00281B51" w:rsidP="00281B51">
      <w:pPr>
        <w:spacing w:before="60" w:after="60" w:line="360" w:lineRule="exact"/>
        <w:rPr>
          <w:sz w:val="28"/>
          <w:szCs w:val="28"/>
          <w:lang w:val="nl-NL"/>
        </w:rPr>
      </w:pPr>
      <w:r w:rsidRPr="00400B24">
        <w:rPr>
          <w:b/>
          <w:sz w:val="28"/>
          <w:szCs w:val="28"/>
          <w:lang w:val="nl-NL"/>
        </w:rPr>
        <w:tab/>
      </w:r>
      <w:r w:rsidRPr="00400B24">
        <w:rPr>
          <w:sz w:val="28"/>
          <w:szCs w:val="28"/>
          <w:lang w:val="nl-NL"/>
        </w:rPr>
        <w:t>- Số hiệu gói thầu: Gói thầu số 12.</w:t>
      </w:r>
    </w:p>
    <w:p w14:paraId="515D9240" w14:textId="77777777" w:rsidR="00281B51" w:rsidRPr="00400B24" w:rsidRDefault="00281B51" w:rsidP="00281B51">
      <w:pPr>
        <w:spacing w:before="60" w:after="60" w:line="360" w:lineRule="exact"/>
        <w:ind w:left="709"/>
        <w:rPr>
          <w:sz w:val="28"/>
          <w:szCs w:val="28"/>
          <w:lang w:val="nl-NL"/>
        </w:rPr>
      </w:pPr>
      <w:r w:rsidRPr="00400B24">
        <w:rPr>
          <w:sz w:val="28"/>
          <w:szCs w:val="28"/>
          <w:lang w:val="nl-NL"/>
        </w:rPr>
        <w:t>- Tên gói thầu: Bốc xúc, vận chuyển đất đá thải mỏ.</w:t>
      </w:r>
    </w:p>
    <w:p w14:paraId="0DC07A45" w14:textId="77777777" w:rsidR="00281B51" w:rsidRPr="00400B24" w:rsidRDefault="00281B51" w:rsidP="00281B51">
      <w:pPr>
        <w:spacing w:before="60" w:after="60" w:line="360" w:lineRule="exact"/>
        <w:ind w:left="709"/>
        <w:rPr>
          <w:sz w:val="28"/>
          <w:szCs w:val="28"/>
          <w:lang w:val="nl-NL"/>
        </w:rPr>
      </w:pPr>
      <w:r w:rsidRPr="00400B24">
        <w:rPr>
          <w:sz w:val="28"/>
          <w:szCs w:val="28"/>
          <w:lang w:val="nl-NL"/>
        </w:rPr>
        <w:t xml:space="preserve">- </w:t>
      </w:r>
      <w:r w:rsidRPr="00400B24">
        <w:rPr>
          <w:sz w:val="28"/>
          <w:szCs w:val="28"/>
          <w:lang w:val="de-DE"/>
        </w:rPr>
        <w:t xml:space="preserve">Phương án: </w:t>
      </w:r>
      <w:r w:rsidRPr="00400B24">
        <w:rPr>
          <w:sz w:val="28"/>
          <w:szCs w:val="28"/>
        </w:rPr>
        <w:t>Vận chuyển, tiêu thụ đất đá thải mỏ (sản phẩm thải trong quá trình khai thác, chế biến than nguyên khai) nguồn mua của Công ty than Mạo Khê – TKV.</w:t>
      </w:r>
      <w:r w:rsidRPr="00400B24">
        <w:rPr>
          <w:sz w:val="28"/>
          <w:szCs w:val="28"/>
          <w:lang w:val="nl-NL"/>
        </w:rPr>
        <w:t xml:space="preserve">  </w:t>
      </w:r>
    </w:p>
    <w:p w14:paraId="2C1F5474" w14:textId="1C25EC24" w:rsidR="00281B51" w:rsidRPr="00400B24" w:rsidRDefault="00281B51" w:rsidP="00281B51">
      <w:pPr>
        <w:spacing w:before="60" w:after="60" w:line="360" w:lineRule="exact"/>
        <w:ind w:firstLine="709"/>
        <w:rPr>
          <w:sz w:val="28"/>
          <w:szCs w:val="28"/>
          <w:lang w:val="nl-NL"/>
        </w:rPr>
      </w:pPr>
      <w:r w:rsidRPr="00400B24">
        <w:rPr>
          <w:sz w:val="28"/>
          <w:szCs w:val="28"/>
          <w:lang w:val="nl-NL"/>
        </w:rPr>
        <w:t xml:space="preserve">- Nguồn vốn: </w:t>
      </w:r>
      <w:r w:rsidR="006B18BC" w:rsidRPr="00400B24">
        <w:rPr>
          <w:sz w:val="28"/>
          <w:szCs w:val="28"/>
        </w:rPr>
        <w:t>Chi phí sản xuất năm 2026 của Công ty 91 (Cân đối trong giá bán đất đá thải mỏ)</w:t>
      </w:r>
      <w:r w:rsidRPr="00400B24">
        <w:rPr>
          <w:sz w:val="28"/>
          <w:szCs w:val="28"/>
          <w:lang w:val="nl-NL"/>
        </w:rPr>
        <w:t>.</w:t>
      </w:r>
    </w:p>
    <w:p w14:paraId="48F7A023" w14:textId="77777777" w:rsidR="00281B51" w:rsidRPr="00400B24" w:rsidRDefault="00281B51" w:rsidP="00281B51">
      <w:pPr>
        <w:spacing w:before="60" w:after="60" w:line="360" w:lineRule="exact"/>
        <w:rPr>
          <w:sz w:val="28"/>
          <w:szCs w:val="28"/>
          <w:lang w:val="nl-NL"/>
        </w:rPr>
      </w:pPr>
      <w:r w:rsidRPr="00400B24">
        <w:rPr>
          <w:sz w:val="28"/>
          <w:szCs w:val="28"/>
          <w:lang w:val="nl-NL"/>
        </w:rPr>
        <w:tab/>
        <w:t>- Hình thức lựa chọn nhà thầu: Đấu thầu rộng rãi qua mạng.</w:t>
      </w:r>
    </w:p>
    <w:p w14:paraId="5EC728D1" w14:textId="77777777" w:rsidR="00281B51" w:rsidRPr="00400B24" w:rsidRDefault="00281B51" w:rsidP="00281B51">
      <w:pPr>
        <w:spacing w:before="60" w:after="60" w:line="360" w:lineRule="exact"/>
        <w:ind w:right="-138"/>
        <w:rPr>
          <w:sz w:val="28"/>
          <w:szCs w:val="28"/>
          <w:lang w:val="nl-NL"/>
        </w:rPr>
      </w:pPr>
      <w:r w:rsidRPr="00400B24">
        <w:rPr>
          <w:sz w:val="28"/>
          <w:szCs w:val="28"/>
          <w:lang w:val="nl-NL"/>
        </w:rPr>
        <w:tab/>
        <w:t>- Phương thức lựa chọn nhà thầu: Một giai đoạn, một túi hồ sơ.</w:t>
      </w:r>
    </w:p>
    <w:p w14:paraId="1975CC6B" w14:textId="77777777" w:rsidR="00281B51" w:rsidRPr="00400B24" w:rsidRDefault="00281B51" w:rsidP="00281B51">
      <w:pPr>
        <w:spacing w:before="60" w:after="60" w:line="360" w:lineRule="exact"/>
        <w:rPr>
          <w:sz w:val="28"/>
          <w:szCs w:val="28"/>
          <w:lang w:val="nl-NL"/>
        </w:rPr>
      </w:pPr>
      <w:r w:rsidRPr="00400B24">
        <w:rPr>
          <w:sz w:val="28"/>
          <w:szCs w:val="28"/>
          <w:lang w:val="nl-NL"/>
        </w:rPr>
        <w:tab/>
        <w:t>- Thời gian bắt đầu tổ chức LCNT: Quý II/2026.</w:t>
      </w:r>
    </w:p>
    <w:p w14:paraId="572FED53" w14:textId="77777777" w:rsidR="00281B51" w:rsidRPr="00400B24" w:rsidRDefault="00281B51" w:rsidP="00281B51">
      <w:pPr>
        <w:spacing w:before="60" w:after="60" w:line="360" w:lineRule="exact"/>
        <w:ind w:firstLine="709"/>
        <w:rPr>
          <w:sz w:val="28"/>
          <w:szCs w:val="28"/>
          <w:lang w:val="nl-NL"/>
        </w:rPr>
      </w:pPr>
      <w:r w:rsidRPr="00400B24">
        <w:rPr>
          <w:sz w:val="28"/>
          <w:szCs w:val="28"/>
          <w:lang w:val="nl-NL"/>
        </w:rPr>
        <w:t>- Loại hợp đồng: Đơn giá điều chỉnh.</w:t>
      </w:r>
    </w:p>
    <w:p w14:paraId="64B07BCA" w14:textId="77777777" w:rsidR="00281B51" w:rsidRPr="00400B24" w:rsidRDefault="00281B51" w:rsidP="00281B51">
      <w:pPr>
        <w:spacing w:before="60" w:after="60" w:line="360" w:lineRule="exact"/>
        <w:ind w:firstLine="709"/>
        <w:rPr>
          <w:sz w:val="28"/>
          <w:szCs w:val="28"/>
          <w:lang w:val="nl-NL"/>
        </w:rPr>
      </w:pPr>
      <w:r w:rsidRPr="00400B24">
        <w:rPr>
          <w:sz w:val="28"/>
          <w:szCs w:val="28"/>
          <w:lang w:val="nl-NL"/>
        </w:rPr>
        <w:t>- Thời gian thực hiện hợp đồng: Kể từ ngày hợp đồng có hiệu lực đến hết ngày 31/12/2026.</w:t>
      </w:r>
    </w:p>
    <w:p w14:paraId="6189F123" w14:textId="77777777" w:rsidR="00281B51" w:rsidRPr="00400B24" w:rsidRDefault="00281B51" w:rsidP="00281B51">
      <w:pPr>
        <w:spacing w:before="60" w:after="60" w:line="360" w:lineRule="exact"/>
        <w:ind w:firstLine="709"/>
        <w:rPr>
          <w:spacing w:val="-4"/>
          <w:sz w:val="28"/>
          <w:szCs w:val="28"/>
        </w:rPr>
      </w:pPr>
      <w:r w:rsidRPr="00400B24">
        <w:rPr>
          <w:spacing w:val="-4"/>
          <w:sz w:val="28"/>
          <w:szCs w:val="28"/>
          <w:lang w:val="nl-NL"/>
        </w:rPr>
        <w:t>- Địa điểm thực hiện gói thầu: Từ bãi thải vỉa 8 Cánh Nam của Công ty than Mạo Khê đến Cảng thuộc khu vực Hồng Thái Tây của TCT Đông Bắc tại phường Hoàng Quế, tỉnh Quảng Ninh</w:t>
      </w:r>
      <w:r w:rsidRPr="00400B24">
        <w:rPr>
          <w:spacing w:val="-2"/>
          <w:sz w:val="28"/>
          <w:szCs w:val="28"/>
        </w:rPr>
        <w:t>.</w:t>
      </w:r>
    </w:p>
    <w:p w14:paraId="03F4B61E" w14:textId="77777777" w:rsidR="00281B51" w:rsidRPr="00400B24" w:rsidRDefault="00281B51" w:rsidP="00281B51">
      <w:pPr>
        <w:spacing w:before="60" w:after="60" w:line="360" w:lineRule="exact"/>
        <w:ind w:firstLine="709"/>
        <w:rPr>
          <w:b/>
          <w:spacing w:val="-4"/>
          <w:sz w:val="28"/>
          <w:szCs w:val="28"/>
          <w:lang w:val="nl-NL"/>
        </w:rPr>
      </w:pPr>
      <w:r w:rsidRPr="00400B24">
        <w:rPr>
          <w:b/>
          <w:spacing w:val="-4"/>
          <w:sz w:val="28"/>
          <w:szCs w:val="28"/>
          <w:lang w:val="nl-NL"/>
        </w:rPr>
        <w:t>2. Mục tiêu công việc:</w:t>
      </w:r>
    </w:p>
    <w:p w14:paraId="5DFB4DAD" w14:textId="77777777" w:rsidR="00281B51" w:rsidRPr="00400B24" w:rsidRDefault="00281B51" w:rsidP="00281B51">
      <w:pPr>
        <w:spacing w:before="60" w:after="60" w:line="360" w:lineRule="exact"/>
        <w:ind w:firstLine="709"/>
        <w:rPr>
          <w:sz w:val="28"/>
          <w:szCs w:val="28"/>
          <w:lang w:val="pt-BR"/>
        </w:rPr>
      </w:pPr>
      <w:r w:rsidRPr="00400B24">
        <w:rPr>
          <w:sz w:val="28"/>
          <w:szCs w:val="28"/>
          <w:lang w:val="pt-BR"/>
        </w:rPr>
        <w:t xml:space="preserve">Thuê thiết bị bốc xúc, vận chuyển sản phẩm đất đá thải mỏ trong quá trình sàng tuyển chế biến than nguyên khai của Công ty than Mạo Khê-TKV cung cấp cho các hộ khách hàng có nhu cầu làm chất đốt cho các nhà máy gạch, ngói, xi măng trên địa bàn, các tỉnh lân cận hoặc làm phụ gia vật liệu xây dựng, nguồn vật liệu san lấp và một số các nhu cầu khác của thị trường. </w:t>
      </w:r>
    </w:p>
    <w:p w14:paraId="0CDFC935" w14:textId="2499E569" w:rsidR="00281B51" w:rsidRPr="00400B24" w:rsidRDefault="00281B51" w:rsidP="00281B51">
      <w:pPr>
        <w:spacing w:before="60" w:after="60" w:line="360" w:lineRule="exact"/>
        <w:ind w:firstLine="709"/>
        <w:rPr>
          <w:spacing w:val="-4"/>
          <w:sz w:val="28"/>
          <w:szCs w:val="28"/>
          <w:lang w:val="nl-NL"/>
        </w:rPr>
      </w:pPr>
      <w:r w:rsidRPr="00400B24">
        <w:rPr>
          <w:spacing w:val="-4"/>
          <w:sz w:val="28"/>
          <w:szCs w:val="28"/>
          <w:lang w:val="nl-NL"/>
        </w:rPr>
        <w:t>+ Máy xúc đào: Nhiệm vụ bốc xúc đất đá thải mỏ lên xe ô tô</w:t>
      </w:r>
      <w:r w:rsidR="00400B24" w:rsidRPr="00400B24">
        <w:rPr>
          <w:spacing w:val="-4"/>
          <w:sz w:val="28"/>
          <w:szCs w:val="28"/>
          <w:lang w:val="nl-NL"/>
        </w:rPr>
        <w:t>,</w:t>
      </w:r>
      <w:r w:rsidR="006B18BC" w:rsidRPr="00400B24">
        <w:rPr>
          <w:spacing w:val="-4"/>
          <w:sz w:val="28"/>
          <w:szCs w:val="28"/>
          <w:lang w:val="nl-NL"/>
        </w:rPr>
        <w:t xml:space="preserve"> tại</w:t>
      </w:r>
      <w:r w:rsidR="006B18BC" w:rsidRPr="00400B24">
        <w:rPr>
          <w:spacing w:val="-4"/>
          <w:sz w:val="28"/>
          <w:szCs w:val="28"/>
          <w:lang w:val="nl-NL"/>
        </w:rPr>
        <w:t xml:space="preserve"> bãi thải vỉa 8 Cánh Nam của Công ty than Mạo Khê</w:t>
      </w:r>
      <w:r w:rsidR="006B18BC" w:rsidRPr="00400B24">
        <w:rPr>
          <w:spacing w:val="-4"/>
          <w:sz w:val="28"/>
          <w:szCs w:val="28"/>
          <w:lang w:val="nl-NL"/>
        </w:rPr>
        <w:t xml:space="preserve"> tại phường Mạo Khê, tỉnh Quảng Ninh</w:t>
      </w:r>
      <w:r w:rsidRPr="00400B24">
        <w:rPr>
          <w:spacing w:val="-4"/>
          <w:sz w:val="28"/>
          <w:szCs w:val="28"/>
          <w:lang w:val="nl-NL"/>
        </w:rPr>
        <w:t>.</w:t>
      </w:r>
    </w:p>
    <w:p w14:paraId="0036A430" w14:textId="77777777" w:rsidR="00281B51" w:rsidRPr="00400B24" w:rsidRDefault="00281B51" w:rsidP="00281B51">
      <w:pPr>
        <w:spacing w:before="60" w:after="60" w:line="360" w:lineRule="exact"/>
        <w:ind w:firstLine="709"/>
        <w:rPr>
          <w:spacing w:val="-4"/>
          <w:sz w:val="28"/>
          <w:szCs w:val="28"/>
          <w:lang w:val="nl-NL"/>
        </w:rPr>
      </w:pPr>
      <w:r w:rsidRPr="00400B24">
        <w:rPr>
          <w:spacing w:val="-4"/>
          <w:sz w:val="28"/>
          <w:szCs w:val="28"/>
          <w:lang w:val="nl-NL"/>
        </w:rPr>
        <w:t>+ Xe ô tô tải tự đổ: Vận chuyển đất đá thải từ bãi thải vỉa 8 Cánh Nam của Công ty than Mạo Khê đến Cảng thuộc khu vực Hồng Thái Tây của TCT Đông Bắc tại phường Hoàng Quế, tỉnh Quảng Ninh.</w:t>
      </w:r>
    </w:p>
    <w:p w14:paraId="4B45862D" w14:textId="77777777" w:rsidR="00281B51" w:rsidRPr="00400B24" w:rsidRDefault="00281B51" w:rsidP="00281B51">
      <w:pPr>
        <w:spacing w:before="60" w:after="60"/>
        <w:ind w:firstLine="709"/>
        <w:rPr>
          <w:b/>
          <w:spacing w:val="-4"/>
          <w:sz w:val="28"/>
          <w:szCs w:val="28"/>
          <w:lang w:val="nl-NL"/>
        </w:rPr>
      </w:pPr>
      <w:r w:rsidRPr="00400B24">
        <w:rPr>
          <w:b/>
          <w:spacing w:val="-4"/>
          <w:sz w:val="28"/>
          <w:szCs w:val="28"/>
          <w:lang w:val="nl-NL"/>
        </w:rPr>
        <w:t>3. Yêu cầu kỹ thuật của gói thầu:</w:t>
      </w:r>
    </w:p>
    <w:p w14:paraId="453943CA" w14:textId="77777777" w:rsidR="00281B51" w:rsidRPr="00400B24" w:rsidRDefault="00281B51" w:rsidP="00281B51">
      <w:pPr>
        <w:spacing w:before="60" w:after="60"/>
        <w:ind w:firstLine="709"/>
        <w:rPr>
          <w:b/>
          <w:spacing w:val="-4"/>
          <w:sz w:val="28"/>
          <w:szCs w:val="28"/>
          <w:lang w:val="nl-NL"/>
        </w:rPr>
      </w:pPr>
      <w:r w:rsidRPr="00400B24">
        <w:rPr>
          <w:b/>
          <w:spacing w:val="-4"/>
          <w:sz w:val="28"/>
          <w:szCs w:val="28"/>
          <w:lang w:val="nl-NL"/>
        </w:rPr>
        <w:t>3.1. Phạm vi cung cấp dịch vụ</w:t>
      </w:r>
    </w:p>
    <w:tbl>
      <w:tblPr>
        <w:tblStyle w:val="TableGrid"/>
        <w:tblW w:w="4986" w:type="pct"/>
        <w:jc w:val="center"/>
        <w:tblLook w:val="04A0" w:firstRow="1" w:lastRow="0" w:firstColumn="1" w:lastColumn="0" w:noHBand="0" w:noVBand="1"/>
      </w:tblPr>
      <w:tblGrid>
        <w:gridCol w:w="769"/>
        <w:gridCol w:w="4255"/>
        <w:gridCol w:w="998"/>
        <w:gridCol w:w="1421"/>
        <w:gridCol w:w="1572"/>
        <w:gridCol w:w="812"/>
      </w:tblGrid>
      <w:tr w:rsidR="00400B24" w:rsidRPr="00400B24" w14:paraId="69E63F75" w14:textId="77777777" w:rsidTr="00F56CC9">
        <w:trPr>
          <w:tblHeader/>
          <w:jc w:val="center"/>
        </w:trPr>
        <w:tc>
          <w:tcPr>
            <w:tcW w:w="391" w:type="pct"/>
            <w:vAlign w:val="center"/>
          </w:tcPr>
          <w:p w14:paraId="40EA83A2" w14:textId="77777777" w:rsidR="00281B51" w:rsidRPr="00400B24" w:rsidRDefault="00281B51" w:rsidP="00F56CC9">
            <w:pPr>
              <w:spacing w:line="276" w:lineRule="auto"/>
              <w:jc w:val="center"/>
              <w:rPr>
                <w:sz w:val="28"/>
                <w:szCs w:val="28"/>
              </w:rPr>
            </w:pPr>
            <w:r w:rsidRPr="00400B24">
              <w:rPr>
                <w:b/>
                <w:spacing w:val="-4"/>
                <w:sz w:val="28"/>
                <w:szCs w:val="28"/>
                <w:lang w:val="nl-NL"/>
              </w:rPr>
              <w:br w:type="page"/>
            </w:r>
            <w:r w:rsidRPr="00400B24">
              <w:rPr>
                <w:b/>
                <w:bCs/>
                <w:sz w:val="28"/>
                <w:szCs w:val="28"/>
                <w:lang w:val="vi-VN"/>
              </w:rPr>
              <w:t>STT</w:t>
            </w:r>
          </w:p>
        </w:tc>
        <w:tc>
          <w:tcPr>
            <w:tcW w:w="2165" w:type="pct"/>
            <w:vAlign w:val="center"/>
          </w:tcPr>
          <w:p w14:paraId="7FC8C33A" w14:textId="77777777" w:rsidR="00281B51" w:rsidRPr="00400B24" w:rsidRDefault="00281B51" w:rsidP="00F56CC9">
            <w:pPr>
              <w:spacing w:line="276" w:lineRule="auto"/>
              <w:jc w:val="center"/>
              <w:rPr>
                <w:sz w:val="28"/>
                <w:szCs w:val="28"/>
              </w:rPr>
            </w:pPr>
            <w:r w:rsidRPr="00400B24">
              <w:rPr>
                <w:b/>
                <w:bCs/>
                <w:sz w:val="28"/>
                <w:szCs w:val="28"/>
                <w:lang w:val="vi-VN"/>
              </w:rPr>
              <w:t>Nội dung dịch vụ</w:t>
            </w:r>
          </w:p>
        </w:tc>
        <w:tc>
          <w:tcPr>
            <w:tcW w:w="508" w:type="pct"/>
            <w:vAlign w:val="center"/>
          </w:tcPr>
          <w:p w14:paraId="53F67F0E" w14:textId="77777777" w:rsidR="00281B51" w:rsidRPr="00400B24" w:rsidRDefault="00281B51" w:rsidP="00F56CC9">
            <w:pPr>
              <w:spacing w:line="276" w:lineRule="auto"/>
              <w:jc w:val="center"/>
              <w:rPr>
                <w:sz w:val="28"/>
                <w:szCs w:val="28"/>
              </w:rPr>
            </w:pPr>
            <w:r w:rsidRPr="00400B24">
              <w:rPr>
                <w:b/>
                <w:bCs/>
                <w:sz w:val="28"/>
                <w:szCs w:val="28"/>
                <w:shd w:val="clear" w:color="auto" w:fill="FFFFFF"/>
                <w:lang w:val="vi-VN"/>
              </w:rPr>
              <w:t>Đơn vị</w:t>
            </w:r>
          </w:p>
        </w:tc>
        <w:tc>
          <w:tcPr>
            <w:tcW w:w="723" w:type="pct"/>
            <w:vAlign w:val="center"/>
          </w:tcPr>
          <w:p w14:paraId="32752702" w14:textId="77777777" w:rsidR="00281B51" w:rsidRPr="00400B24" w:rsidRDefault="00281B51" w:rsidP="00F56CC9">
            <w:pPr>
              <w:spacing w:line="276" w:lineRule="auto"/>
              <w:jc w:val="center"/>
              <w:rPr>
                <w:sz w:val="28"/>
                <w:szCs w:val="28"/>
              </w:rPr>
            </w:pPr>
            <w:r w:rsidRPr="00400B24">
              <w:rPr>
                <w:b/>
                <w:bCs/>
                <w:sz w:val="28"/>
                <w:szCs w:val="28"/>
                <w:lang w:val="vi-VN"/>
              </w:rPr>
              <w:t>Khối lượng</w:t>
            </w:r>
            <w:r w:rsidRPr="00400B24">
              <w:rPr>
                <w:b/>
                <w:bCs/>
                <w:sz w:val="28"/>
                <w:szCs w:val="28"/>
              </w:rPr>
              <w:t xml:space="preserve"> mời thầu</w:t>
            </w:r>
          </w:p>
        </w:tc>
        <w:tc>
          <w:tcPr>
            <w:tcW w:w="800" w:type="pct"/>
            <w:tcBorders>
              <w:bottom w:val="single" w:sz="4" w:space="0" w:color="auto"/>
            </w:tcBorders>
            <w:vAlign w:val="center"/>
          </w:tcPr>
          <w:p w14:paraId="53665948" w14:textId="77777777" w:rsidR="00281B51" w:rsidRPr="00400B24" w:rsidRDefault="00281B51" w:rsidP="00F56CC9">
            <w:pPr>
              <w:spacing w:line="276" w:lineRule="auto"/>
              <w:jc w:val="center"/>
              <w:rPr>
                <w:sz w:val="28"/>
                <w:szCs w:val="28"/>
              </w:rPr>
            </w:pPr>
            <w:r w:rsidRPr="00400B24">
              <w:rPr>
                <w:b/>
                <w:bCs/>
                <w:sz w:val="28"/>
                <w:szCs w:val="28"/>
              </w:rPr>
              <w:t>Tiến độ thực hiện</w:t>
            </w:r>
          </w:p>
        </w:tc>
        <w:tc>
          <w:tcPr>
            <w:tcW w:w="413" w:type="pct"/>
            <w:tcBorders>
              <w:bottom w:val="single" w:sz="4" w:space="0" w:color="auto"/>
            </w:tcBorders>
            <w:vAlign w:val="center"/>
          </w:tcPr>
          <w:p w14:paraId="187C0C08" w14:textId="77777777" w:rsidR="00281B51" w:rsidRPr="00400B24" w:rsidRDefault="00281B51" w:rsidP="00F56CC9">
            <w:pPr>
              <w:spacing w:line="276" w:lineRule="auto"/>
              <w:jc w:val="center"/>
              <w:rPr>
                <w:sz w:val="28"/>
                <w:szCs w:val="28"/>
              </w:rPr>
            </w:pPr>
            <w:r w:rsidRPr="00400B24">
              <w:rPr>
                <w:b/>
                <w:bCs/>
                <w:sz w:val="28"/>
                <w:szCs w:val="28"/>
              </w:rPr>
              <w:t>Ghi chú</w:t>
            </w:r>
          </w:p>
        </w:tc>
      </w:tr>
      <w:tr w:rsidR="00400B24" w:rsidRPr="00400B24" w14:paraId="0BEC8599" w14:textId="77777777" w:rsidTr="00F56CC9">
        <w:trPr>
          <w:trHeight w:val="397"/>
          <w:jc w:val="center"/>
        </w:trPr>
        <w:tc>
          <w:tcPr>
            <w:tcW w:w="391" w:type="pct"/>
            <w:vAlign w:val="center"/>
          </w:tcPr>
          <w:p w14:paraId="411D6051" w14:textId="77777777" w:rsidR="00281B51" w:rsidRPr="00400B24" w:rsidRDefault="00281B51" w:rsidP="00F56CC9">
            <w:pPr>
              <w:spacing w:after="40" w:line="276" w:lineRule="auto"/>
              <w:jc w:val="center"/>
              <w:rPr>
                <w:sz w:val="28"/>
                <w:szCs w:val="28"/>
              </w:rPr>
            </w:pPr>
            <w:r w:rsidRPr="00400B24">
              <w:rPr>
                <w:sz w:val="28"/>
                <w:szCs w:val="28"/>
              </w:rPr>
              <w:lastRenderedPageBreak/>
              <w:t>1</w:t>
            </w:r>
          </w:p>
        </w:tc>
        <w:tc>
          <w:tcPr>
            <w:tcW w:w="2165" w:type="pct"/>
            <w:vAlign w:val="center"/>
          </w:tcPr>
          <w:p w14:paraId="1F04E416" w14:textId="77777777" w:rsidR="00281B51" w:rsidRPr="00400B24" w:rsidRDefault="00281B51" w:rsidP="00F56CC9">
            <w:pPr>
              <w:spacing w:after="40" w:line="276" w:lineRule="auto"/>
              <w:rPr>
                <w:sz w:val="28"/>
                <w:szCs w:val="28"/>
              </w:rPr>
            </w:pPr>
            <w:r w:rsidRPr="00400B24">
              <w:rPr>
                <w:sz w:val="28"/>
                <w:szCs w:val="28"/>
              </w:rPr>
              <w:t xml:space="preserve">Thuê thiết bị bốc xúc  </w:t>
            </w:r>
          </w:p>
        </w:tc>
        <w:tc>
          <w:tcPr>
            <w:tcW w:w="508" w:type="pct"/>
            <w:vAlign w:val="center"/>
          </w:tcPr>
          <w:p w14:paraId="19AEDF9C" w14:textId="77777777" w:rsidR="00281B51" w:rsidRPr="00400B24" w:rsidRDefault="00281B51" w:rsidP="00F56CC9">
            <w:pPr>
              <w:spacing w:after="40" w:line="276" w:lineRule="auto"/>
              <w:jc w:val="center"/>
              <w:rPr>
                <w:sz w:val="28"/>
                <w:szCs w:val="28"/>
              </w:rPr>
            </w:pPr>
          </w:p>
        </w:tc>
        <w:tc>
          <w:tcPr>
            <w:tcW w:w="723" w:type="pct"/>
            <w:tcBorders>
              <w:right w:val="single" w:sz="4" w:space="0" w:color="auto"/>
            </w:tcBorders>
            <w:vAlign w:val="center"/>
          </w:tcPr>
          <w:p w14:paraId="64C51F50" w14:textId="77777777" w:rsidR="00281B51" w:rsidRPr="00400B24" w:rsidRDefault="00281B51" w:rsidP="00F56CC9">
            <w:pPr>
              <w:spacing w:after="40" w:line="276" w:lineRule="auto"/>
              <w:jc w:val="center"/>
              <w:rPr>
                <w:sz w:val="28"/>
                <w:szCs w:val="28"/>
              </w:rPr>
            </w:pPr>
          </w:p>
        </w:tc>
        <w:tc>
          <w:tcPr>
            <w:tcW w:w="800" w:type="pct"/>
            <w:vMerge w:val="restart"/>
            <w:tcBorders>
              <w:top w:val="single" w:sz="4" w:space="0" w:color="auto"/>
              <w:left w:val="single" w:sz="4" w:space="0" w:color="auto"/>
              <w:right w:val="single" w:sz="4" w:space="0" w:color="auto"/>
            </w:tcBorders>
            <w:vAlign w:val="center"/>
          </w:tcPr>
          <w:p w14:paraId="794F3060" w14:textId="77777777" w:rsidR="00281B51" w:rsidRPr="00400B24" w:rsidRDefault="00281B51" w:rsidP="00F56CC9">
            <w:pPr>
              <w:spacing w:line="276" w:lineRule="auto"/>
              <w:jc w:val="center"/>
              <w:rPr>
                <w:sz w:val="28"/>
                <w:szCs w:val="28"/>
              </w:rPr>
            </w:pPr>
            <w:r w:rsidRPr="00400B24">
              <w:rPr>
                <w:sz w:val="28"/>
                <w:szCs w:val="28"/>
              </w:rPr>
              <w:t>Kể từ ngày hợp đồng có hiệu lực đến hết ngày 31/12/2026</w:t>
            </w:r>
          </w:p>
        </w:tc>
        <w:tc>
          <w:tcPr>
            <w:tcW w:w="413" w:type="pct"/>
            <w:tcBorders>
              <w:top w:val="single" w:sz="4" w:space="0" w:color="auto"/>
              <w:left w:val="single" w:sz="4" w:space="0" w:color="auto"/>
              <w:right w:val="single" w:sz="4" w:space="0" w:color="auto"/>
            </w:tcBorders>
            <w:vAlign w:val="center"/>
          </w:tcPr>
          <w:p w14:paraId="6DFFDDCA" w14:textId="77777777" w:rsidR="00281B51" w:rsidRPr="00400B24" w:rsidRDefault="00281B51" w:rsidP="00F56CC9">
            <w:pPr>
              <w:spacing w:line="276" w:lineRule="auto"/>
              <w:rPr>
                <w:sz w:val="28"/>
                <w:szCs w:val="28"/>
              </w:rPr>
            </w:pPr>
          </w:p>
        </w:tc>
      </w:tr>
      <w:tr w:rsidR="00400B24" w:rsidRPr="00400B24" w14:paraId="74602B4B" w14:textId="77777777" w:rsidTr="00F56CC9">
        <w:trPr>
          <w:trHeight w:val="397"/>
          <w:jc w:val="center"/>
        </w:trPr>
        <w:tc>
          <w:tcPr>
            <w:tcW w:w="391" w:type="pct"/>
            <w:vAlign w:val="center"/>
          </w:tcPr>
          <w:p w14:paraId="0BCDF1C3" w14:textId="77777777" w:rsidR="00281B51" w:rsidRPr="00400B24" w:rsidRDefault="00281B51" w:rsidP="00F56CC9">
            <w:pPr>
              <w:spacing w:after="40"/>
              <w:jc w:val="center"/>
              <w:rPr>
                <w:sz w:val="28"/>
                <w:szCs w:val="28"/>
              </w:rPr>
            </w:pPr>
            <w:r w:rsidRPr="00400B24">
              <w:rPr>
                <w:sz w:val="28"/>
                <w:szCs w:val="28"/>
              </w:rPr>
              <w:t>-</w:t>
            </w:r>
          </w:p>
        </w:tc>
        <w:tc>
          <w:tcPr>
            <w:tcW w:w="2165" w:type="pct"/>
            <w:vAlign w:val="center"/>
          </w:tcPr>
          <w:p w14:paraId="76C07BA3" w14:textId="77777777" w:rsidR="00281B51" w:rsidRPr="00400B24" w:rsidRDefault="00281B51" w:rsidP="00F56CC9">
            <w:pPr>
              <w:spacing w:after="40"/>
              <w:rPr>
                <w:sz w:val="28"/>
                <w:szCs w:val="28"/>
              </w:rPr>
            </w:pPr>
            <w:r w:rsidRPr="00400B24">
              <w:rPr>
                <w:sz w:val="28"/>
                <w:szCs w:val="28"/>
              </w:rPr>
              <w:t xml:space="preserve">Bốc xúc đất đá thải mỏ </w:t>
            </w:r>
            <w:r w:rsidRPr="00400B24">
              <w:rPr>
                <w:sz w:val="26"/>
                <w:szCs w:val="26"/>
              </w:rPr>
              <w:t>lên xe vận chuyển</w:t>
            </w:r>
          </w:p>
        </w:tc>
        <w:tc>
          <w:tcPr>
            <w:tcW w:w="508" w:type="pct"/>
            <w:vAlign w:val="center"/>
          </w:tcPr>
          <w:p w14:paraId="51540616" w14:textId="77777777" w:rsidR="00281B51" w:rsidRPr="00400B24" w:rsidRDefault="00281B51" w:rsidP="00F56CC9">
            <w:pPr>
              <w:spacing w:after="40"/>
              <w:jc w:val="center"/>
              <w:rPr>
                <w:sz w:val="28"/>
                <w:szCs w:val="28"/>
              </w:rPr>
            </w:pPr>
            <w:r w:rsidRPr="00400B24">
              <w:rPr>
                <w:sz w:val="28"/>
                <w:szCs w:val="28"/>
              </w:rPr>
              <w:t>m3</w:t>
            </w:r>
          </w:p>
        </w:tc>
        <w:tc>
          <w:tcPr>
            <w:tcW w:w="723" w:type="pct"/>
            <w:tcBorders>
              <w:right w:val="single" w:sz="4" w:space="0" w:color="auto"/>
            </w:tcBorders>
            <w:vAlign w:val="center"/>
          </w:tcPr>
          <w:p w14:paraId="1F7A6D29" w14:textId="03331F31" w:rsidR="00281B51" w:rsidRPr="00400B24" w:rsidRDefault="00A32F07" w:rsidP="00A32F07">
            <w:pPr>
              <w:spacing w:after="40"/>
              <w:jc w:val="center"/>
              <w:rPr>
                <w:sz w:val="28"/>
                <w:szCs w:val="28"/>
              </w:rPr>
            </w:pPr>
            <w:r w:rsidRPr="00400B24">
              <w:rPr>
                <w:sz w:val="28"/>
                <w:szCs w:val="28"/>
              </w:rPr>
              <w:t>334</w:t>
            </w:r>
            <w:r w:rsidR="00281B51" w:rsidRPr="00400B24">
              <w:rPr>
                <w:sz w:val="28"/>
                <w:szCs w:val="28"/>
              </w:rPr>
              <w:t>.</w:t>
            </w:r>
            <w:r w:rsidRPr="00400B24">
              <w:rPr>
                <w:sz w:val="28"/>
                <w:szCs w:val="28"/>
              </w:rPr>
              <w:t>448</w:t>
            </w:r>
          </w:p>
        </w:tc>
        <w:tc>
          <w:tcPr>
            <w:tcW w:w="800" w:type="pct"/>
            <w:vMerge/>
            <w:tcBorders>
              <w:left w:val="single" w:sz="4" w:space="0" w:color="auto"/>
              <w:right w:val="single" w:sz="4" w:space="0" w:color="auto"/>
            </w:tcBorders>
            <w:vAlign w:val="center"/>
          </w:tcPr>
          <w:p w14:paraId="36BA7857" w14:textId="77777777" w:rsidR="00281B51" w:rsidRPr="00400B24" w:rsidRDefault="00281B51" w:rsidP="00F56CC9">
            <w:pPr>
              <w:spacing w:line="276" w:lineRule="auto"/>
              <w:jc w:val="center"/>
              <w:rPr>
                <w:sz w:val="28"/>
                <w:szCs w:val="28"/>
              </w:rPr>
            </w:pPr>
          </w:p>
        </w:tc>
        <w:tc>
          <w:tcPr>
            <w:tcW w:w="413" w:type="pct"/>
            <w:tcBorders>
              <w:top w:val="single" w:sz="4" w:space="0" w:color="auto"/>
              <w:left w:val="single" w:sz="4" w:space="0" w:color="auto"/>
              <w:right w:val="single" w:sz="4" w:space="0" w:color="auto"/>
            </w:tcBorders>
            <w:vAlign w:val="center"/>
          </w:tcPr>
          <w:p w14:paraId="2AA76F28" w14:textId="77777777" w:rsidR="00281B51" w:rsidRPr="00400B24" w:rsidRDefault="00281B51" w:rsidP="00F56CC9">
            <w:pPr>
              <w:rPr>
                <w:sz w:val="28"/>
                <w:szCs w:val="28"/>
              </w:rPr>
            </w:pPr>
          </w:p>
        </w:tc>
      </w:tr>
      <w:tr w:rsidR="00400B24" w:rsidRPr="00400B24" w14:paraId="65530D12" w14:textId="77777777" w:rsidTr="00F56CC9">
        <w:trPr>
          <w:trHeight w:val="397"/>
          <w:jc w:val="center"/>
        </w:trPr>
        <w:tc>
          <w:tcPr>
            <w:tcW w:w="391" w:type="pct"/>
            <w:vAlign w:val="center"/>
          </w:tcPr>
          <w:p w14:paraId="2869CD51" w14:textId="77777777" w:rsidR="00281B51" w:rsidRPr="00400B24" w:rsidRDefault="00281B51" w:rsidP="00F56CC9">
            <w:pPr>
              <w:spacing w:after="40" w:line="276" w:lineRule="auto"/>
              <w:jc w:val="center"/>
              <w:rPr>
                <w:sz w:val="28"/>
                <w:szCs w:val="28"/>
              </w:rPr>
            </w:pPr>
            <w:r w:rsidRPr="00400B24">
              <w:rPr>
                <w:sz w:val="28"/>
                <w:szCs w:val="28"/>
              </w:rPr>
              <w:t>2</w:t>
            </w:r>
          </w:p>
        </w:tc>
        <w:tc>
          <w:tcPr>
            <w:tcW w:w="2165" w:type="pct"/>
            <w:vAlign w:val="center"/>
          </w:tcPr>
          <w:p w14:paraId="7DF653A5" w14:textId="77777777" w:rsidR="00281B51" w:rsidRPr="00400B24" w:rsidRDefault="00281B51" w:rsidP="00F56CC9">
            <w:pPr>
              <w:spacing w:after="40" w:line="276" w:lineRule="auto"/>
              <w:rPr>
                <w:sz w:val="28"/>
                <w:szCs w:val="28"/>
              </w:rPr>
            </w:pPr>
            <w:r w:rsidRPr="00400B24">
              <w:rPr>
                <w:sz w:val="28"/>
                <w:szCs w:val="28"/>
              </w:rPr>
              <w:t xml:space="preserve">Thuê xe ô tô vận chuyển </w:t>
            </w:r>
          </w:p>
        </w:tc>
        <w:tc>
          <w:tcPr>
            <w:tcW w:w="508" w:type="pct"/>
            <w:vAlign w:val="center"/>
          </w:tcPr>
          <w:p w14:paraId="6DF3DC1F" w14:textId="77777777" w:rsidR="00281B51" w:rsidRPr="00400B24" w:rsidRDefault="00281B51" w:rsidP="00F56CC9">
            <w:pPr>
              <w:spacing w:after="40" w:line="276" w:lineRule="auto"/>
              <w:jc w:val="center"/>
              <w:rPr>
                <w:sz w:val="28"/>
                <w:szCs w:val="28"/>
              </w:rPr>
            </w:pPr>
          </w:p>
        </w:tc>
        <w:tc>
          <w:tcPr>
            <w:tcW w:w="723" w:type="pct"/>
            <w:tcBorders>
              <w:right w:val="single" w:sz="4" w:space="0" w:color="auto"/>
            </w:tcBorders>
            <w:vAlign w:val="center"/>
          </w:tcPr>
          <w:p w14:paraId="3F5082C7" w14:textId="77777777" w:rsidR="00281B51" w:rsidRPr="00400B24" w:rsidRDefault="00281B51" w:rsidP="00F56CC9">
            <w:pPr>
              <w:spacing w:after="40" w:line="276" w:lineRule="auto"/>
              <w:jc w:val="center"/>
              <w:rPr>
                <w:sz w:val="28"/>
                <w:szCs w:val="28"/>
              </w:rPr>
            </w:pPr>
          </w:p>
        </w:tc>
        <w:tc>
          <w:tcPr>
            <w:tcW w:w="800" w:type="pct"/>
            <w:vMerge/>
            <w:tcBorders>
              <w:left w:val="single" w:sz="4" w:space="0" w:color="auto"/>
              <w:right w:val="single" w:sz="4" w:space="0" w:color="auto"/>
            </w:tcBorders>
            <w:vAlign w:val="center"/>
          </w:tcPr>
          <w:p w14:paraId="0EB5ED54" w14:textId="77777777" w:rsidR="00281B51" w:rsidRPr="00400B24" w:rsidRDefault="00281B51" w:rsidP="00F56CC9">
            <w:pPr>
              <w:spacing w:line="276" w:lineRule="auto"/>
              <w:jc w:val="center"/>
              <w:rPr>
                <w:sz w:val="28"/>
                <w:szCs w:val="28"/>
              </w:rPr>
            </w:pPr>
          </w:p>
        </w:tc>
        <w:tc>
          <w:tcPr>
            <w:tcW w:w="413" w:type="pct"/>
            <w:tcBorders>
              <w:top w:val="single" w:sz="4" w:space="0" w:color="auto"/>
              <w:left w:val="single" w:sz="4" w:space="0" w:color="auto"/>
              <w:right w:val="single" w:sz="4" w:space="0" w:color="auto"/>
            </w:tcBorders>
            <w:vAlign w:val="center"/>
          </w:tcPr>
          <w:p w14:paraId="745E6B9B" w14:textId="77777777" w:rsidR="00281B51" w:rsidRPr="00400B24" w:rsidRDefault="00281B51" w:rsidP="00F56CC9">
            <w:pPr>
              <w:rPr>
                <w:sz w:val="28"/>
                <w:szCs w:val="28"/>
              </w:rPr>
            </w:pPr>
          </w:p>
        </w:tc>
      </w:tr>
      <w:tr w:rsidR="00400B24" w:rsidRPr="00400B24" w14:paraId="7F32024B" w14:textId="77777777" w:rsidTr="00F56CC9">
        <w:trPr>
          <w:trHeight w:val="397"/>
          <w:jc w:val="center"/>
        </w:trPr>
        <w:tc>
          <w:tcPr>
            <w:tcW w:w="391" w:type="pct"/>
            <w:vAlign w:val="center"/>
          </w:tcPr>
          <w:p w14:paraId="3E295DCE" w14:textId="77777777" w:rsidR="00281B51" w:rsidRPr="00400B24" w:rsidRDefault="00281B51" w:rsidP="00F56CC9">
            <w:pPr>
              <w:spacing w:after="40"/>
              <w:jc w:val="center"/>
              <w:rPr>
                <w:sz w:val="28"/>
                <w:szCs w:val="28"/>
              </w:rPr>
            </w:pPr>
          </w:p>
          <w:p w14:paraId="540081C0" w14:textId="77777777" w:rsidR="00281B51" w:rsidRPr="00400B24" w:rsidRDefault="00281B51" w:rsidP="00F56CC9">
            <w:pPr>
              <w:spacing w:after="40"/>
              <w:jc w:val="center"/>
              <w:rPr>
                <w:sz w:val="28"/>
                <w:szCs w:val="28"/>
              </w:rPr>
            </w:pPr>
            <w:r w:rsidRPr="00400B24">
              <w:rPr>
                <w:sz w:val="28"/>
                <w:szCs w:val="28"/>
              </w:rPr>
              <w:t>-</w:t>
            </w:r>
          </w:p>
        </w:tc>
        <w:tc>
          <w:tcPr>
            <w:tcW w:w="2165" w:type="pct"/>
            <w:vAlign w:val="center"/>
          </w:tcPr>
          <w:p w14:paraId="327E7B64" w14:textId="4A0E36AA" w:rsidR="00281B51" w:rsidRPr="00400B24" w:rsidRDefault="00281B51" w:rsidP="00F56CC9">
            <w:pPr>
              <w:spacing w:after="40"/>
              <w:rPr>
                <w:bCs/>
                <w:sz w:val="28"/>
                <w:szCs w:val="28"/>
                <w:lang w:val="nl-NL"/>
              </w:rPr>
            </w:pPr>
            <w:r w:rsidRPr="00400B24">
              <w:rPr>
                <w:bCs/>
                <w:sz w:val="28"/>
                <w:szCs w:val="28"/>
                <w:lang w:val="nl-NL"/>
              </w:rPr>
              <w:t xml:space="preserve">Vận chuyển đất đá thải từ </w:t>
            </w:r>
            <w:r w:rsidRPr="00400B24">
              <w:rPr>
                <w:spacing w:val="-4"/>
                <w:sz w:val="28"/>
                <w:szCs w:val="28"/>
                <w:lang w:val="nl-NL"/>
              </w:rPr>
              <w:t>bãi thải vỉa 8 Cánh Nam của Công ty than Mạo Khê đến Cảng thuộc khu vực Hồng Thái Tây của TCT Đông Bắc tại phường Hoàng Quế, tỉnh Quảng Ninh</w:t>
            </w:r>
            <w:r w:rsidRPr="00400B24">
              <w:rPr>
                <w:bCs/>
                <w:sz w:val="28"/>
                <w:szCs w:val="28"/>
                <w:lang w:val="nl-NL"/>
              </w:rPr>
              <w:t xml:space="preserve"> (CĐ: 12 km, thể trọng: </w:t>
            </w:r>
            <w:r w:rsidR="008014C7" w:rsidRPr="00400B24">
              <w:rPr>
                <w:bCs/>
                <w:sz w:val="28"/>
                <w:szCs w:val="28"/>
                <w:lang w:val="nl-NL"/>
              </w:rPr>
              <w:t>1,</w:t>
            </w:r>
            <w:r w:rsidR="00A32F07" w:rsidRPr="00400B24">
              <w:rPr>
                <w:bCs/>
                <w:sz w:val="28"/>
                <w:szCs w:val="28"/>
                <w:lang w:val="nl-NL"/>
              </w:rPr>
              <w:t>495 tấn/m3</w:t>
            </w:r>
            <w:r w:rsidRPr="00400B24">
              <w:rPr>
                <w:bCs/>
                <w:sz w:val="28"/>
                <w:szCs w:val="28"/>
                <w:lang w:val="nl-NL"/>
              </w:rPr>
              <w:t>)</w:t>
            </w:r>
          </w:p>
        </w:tc>
        <w:tc>
          <w:tcPr>
            <w:tcW w:w="508" w:type="pct"/>
            <w:vAlign w:val="center"/>
          </w:tcPr>
          <w:p w14:paraId="39508099" w14:textId="77777777" w:rsidR="00281B51" w:rsidRPr="00400B24" w:rsidRDefault="00281B51" w:rsidP="00F56CC9">
            <w:pPr>
              <w:spacing w:after="40"/>
              <w:jc w:val="center"/>
              <w:rPr>
                <w:sz w:val="28"/>
                <w:szCs w:val="28"/>
              </w:rPr>
            </w:pPr>
            <w:r w:rsidRPr="00400B24">
              <w:rPr>
                <w:sz w:val="28"/>
                <w:szCs w:val="28"/>
              </w:rPr>
              <w:t>Tkm</w:t>
            </w:r>
          </w:p>
        </w:tc>
        <w:tc>
          <w:tcPr>
            <w:tcW w:w="723" w:type="pct"/>
            <w:tcBorders>
              <w:right w:val="single" w:sz="4" w:space="0" w:color="auto"/>
            </w:tcBorders>
            <w:vAlign w:val="center"/>
          </w:tcPr>
          <w:p w14:paraId="60623C2E" w14:textId="77777777" w:rsidR="00281B51" w:rsidRPr="00400B24" w:rsidRDefault="00281B51" w:rsidP="00F56CC9">
            <w:pPr>
              <w:spacing w:after="40"/>
              <w:jc w:val="center"/>
              <w:rPr>
                <w:sz w:val="28"/>
                <w:szCs w:val="28"/>
              </w:rPr>
            </w:pPr>
            <w:r w:rsidRPr="00400B24">
              <w:rPr>
                <w:sz w:val="28"/>
                <w:szCs w:val="28"/>
              </w:rPr>
              <w:t>6.000.000</w:t>
            </w:r>
          </w:p>
        </w:tc>
        <w:tc>
          <w:tcPr>
            <w:tcW w:w="800" w:type="pct"/>
            <w:vMerge/>
            <w:tcBorders>
              <w:left w:val="single" w:sz="4" w:space="0" w:color="auto"/>
              <w:right w:val="single" w:sz="4" w:space="0" w:color="auto"/>
            </w:tcBorders>
            <w:vAlign w:val="center"/>
          </w:tcPr>
          <w:p w14:paraId="33AB9F4E" w14:textId="77777777" w:rsidR="00281B51" w:rsidRPr="00400B24" w:rsidRDefault="00281B51" w:rsidP="00F56CC9">
            <w:pPr>
              <w:rPr>
                <w:sz w:val="28"/>
                <w:szCs w:val="28"/>
              </w:rPr>
            </w:pPr>
          </w:p>
        </w:tc>
        <w:tc>
          <w:tcPr>
            <w:tcW w:w="413" w:type="pct"/>
            <w:tcBorders>
              <w:left w:val="single" w:sz="4" w:space="0" w:color="auto"/>
              <w:right w:val="single" w:sz="4" w:space="0" w:color="auto"/>
            </w:tcBorders>
            <w:vAlign w:val="center"/>
          </w:tcPr>
          <w:p w14:paraId="5A0B5112" w14:textId="77777777" w:rsidR="00281B51" w:rsidRPr="00400B24" w:rsidRDefault="00281B51" w:rsidP="00F56CC9">
            <w:pPr>
              <w:jc w:val="center"/>
              <w:rPr>
                <w:sz w:val="28"/>
                <w:szCs w:val="28"/>
              </w:rPr>
            </w:pPr>
          </w:p>
        </w:tc>
      </w:tr>
    </w:tbl>
    <w:p w14:paraId="3C8EE085" w14:textId="5B32E2ED" w:rsidR="00281B51" w:rsidRPr="00400B24" w:rsidRDefault="00281B51" w:rsidP="00281B51">
      <w:pPr>
        <w:pStyle w:val="ListParagraph"/>
        <w:spacing w:before="60" w:after="60"/>
        <w:ind w:left="0" w:firstLine="720"/>
        <w:rPr>
          <w:sz w:val="28"/>
          <w:szCs w:val="28"/>
          <w:lang w:val="nl-NL"/>
        </w:rPr>
      </w:pPr>
      <w:r w:rsidRPr="00400B24">
        <w:rPr>
          <w:sz w:val="28"/>
          <w:szCs w:val="28"/>
          <w:lang w:val="nl-NL"/>
        </w:rPr>
        <w:t xml:space="preserve">* Khi tham gia chào thầu nhà thầu phải chịu trách nhiệm tìm hiểu đơn giá, cơ cấu đơn giá và chi phí nhiên liệu theo quy định của Tổng công ty Đông Bắc. Giá nhiên liệu </w:t>
      </w:r>
      <w:r w:rsidR="001400C7" w:rsidRPr="00400B24">
        <w:rPr>
          <w:sz w:val="28"/>
          <w:szCs w:val="28"/>
          <w:lang w:val="nl-NL"/>
        </w:rPr>
        <w:t xml:space="preserve">dầu </w:t>
      </w:r>
      <w:r w:rsidR="001400C7" w:rsidRPr="00400B24">
        <w:rPr>
          <w:sz w:val="28"/>
          <w:szCs w:val="28"/>
        </w:rPr>
        <w:t>Diezel 0,05S-II</w:t>
      </w:r>
      <w:r w:rsidR="001400C7" w:rsidRPr="00400B24">
        <w:rPr>
          <w:sz w:val="28"/>
          <w:szCs w:val="28"/>
          <w:lang w:val="nl-NL"/>
        </w:rPr>
        <w:t xml:space="preserve"> trong xây dựng đơn giá</w:t>
      </w:r>
      <w:r w:rsidRPr="00400B24">
        <w:rPr>
          <w:sz w:val="28"/>
          <w:szCs w:val="28"/>
          <w:lang w:val="nl-NL"/>
        </w:rPr>
        <w:t xml:space="preserve"> chào thầu là </w:t>
      </w:r>
      <w:r w:rsidR="00BE3B70" w:rsidRPr="00400B24">
        <w:rPr>
          <w:sz w:val="28"/>
          <w:szCs w:val="28"/>
          <w:lang w:val="nl-NL"/>
        </w:rPr>
        <w:t>17.500</w:t>
      </w:r>
      <w:r w:rsidR="00396A4C" w:rsidRPr="00400B24">
        <w:rPr>
          <w:sz w:val="28"/>
          <w:szCs w:val="28"/>
          <w:lang w:val="nl-NL"/>
        </w:rPr>
        <w:t xml:space="preserve"> đồng/lí</w:t>
      </w:r>
      <w:r w:rsidRPr="00400B24">
        <w:rPr>
          <w:sz w:val="28"/>
          <w:szCs w:val="28"/>
          <w:lang w:val="nl-NL"/>
        </w:rPr>
        <w:t>t (chưa bao gồm thuế GTGT), nhà thầu tính toán và chào đầy đủ các loại thuế, phí, lệ phí (nếu có). Cơ cấu chi phí nhiên liệu cụ thể như sau:</w:t>
      </w:r>
    </w:p>
    <w:p w14:paraId="50483019" w14:textId="77777777" w:rsidR="00281B51" w:rsidRPr="00400B24" w:rsidRDefault="00281B51" w:rsidP="00281B51">
      <w:pPr>
        <w:pStyle w:val="ListParagraph"/>
        <w:spacing w:before="60" w:after="60"/>
        <w:ind w:left="0" w:firstLine="720"/>
        <w:rPr>
          <w:sz w:val="28"/>
          <w:szCs w:val="28"/>
          <w:lang w:val="nl-NL"/>
        </w:rPr>
      </w:pPr>
      <w:r w:rsidRPr="00400B24">
        <w:rPr>
          <w:sz w:val="28"/>
          <w:szCs w:val="28"/>
          <w:lang w:val="nl-NL"/>
        </w:rPr>
        <w:t>- Cơ cấu nhiên liệu đối với bốc xúc đất đá: Không vượt quá 56,22% so với đơn giá chào thầu.</w:t>
      </w:r>
    </w:p>
    <w:p w14:paraId="7C6A0A7E" w14:textId="77777777" w:rsidR="00281B51" w:rsidRPr="00400B24" w:rsidRDefault="00281B51" w:rsidP="00281B51">
      <w:pPr>
        <w:pStyle w:val="ListParagraph"/>
        <w:spacing w:before="60" w:after="60"/>
        <w:ind w:left="0" w:firstLine="720"/>
        <w:rPr>
          <w:sz w:val="28"/>
          <w:szCs w:val="28"/>
          <w:lang w:val="nl-NL"/>
        </w:rPr>
      </w:pPr>
      <w:r w:rsidRPr="00400B24">
        <w:rPr>
          <w:sz w:val="28"/>
          <w:szCs w:val="28"/>
          <w:lang w:val="nl-NL"/>
        </w:rPr>
        <w:t>- Cơ cấu nhiên liệu đối với vận chuyển đất đá thải cung độ 12 km: Không vượt quá 45,17% so với đơn giá chào thầu.</w:t>
      </w:r>
    </w:p>
    <w:p w14:paraId="0B2174B2" w14:textId="77777777" w:rsidR="00281B51" w:rsidRPr="00400B24" w:rsidRDefault="00281B51" w:rsidP="00281B51">
      <w:pPr>
        <w:pStyle w:val="ListParagraph"/>
        <w:spacing w:before="60" w:after="60"/>
        <w:rPr>
          <w:b/>
          <w:sz w:val="28"/>
          <w:szCs w:val="28"/>
          <w:lang w:val="nl-NL"/>
        </w:rPr>
      </w:pPr>
      <w:r w:rsidRPr="00400B24">
        <w:rPr>
          <w:b/>
          <w:sz w:val="28"/>
          <w:szCs w:val="28"/>
          <w:lang w:val="nl-NL"/>
        </w:rPr>
        <w:t>3.2. Yêu cầu kỹ thuật của gói thầu:</w:t>
      </w:r>
    </w:p>
    <w:p w14:paraId="1D8679F4" w14:textId="77777777" w:rsidR="00281B51" w:rsidRPr="00400B24" w:rsidRDefault="00281B51" w:rsidP="00281B51">
      <w:pPr>
        <w:pStyle w:val="ListParagraph"/>
        <w:spacing w:before="60" w:after="60"/>
        <w:rPr>
          <w:b/>
          <w:sz w:val="28"/>
          <w:szCs w:val="28"/>
          <w:lang w:val="nl-NL"/>
        </w:rPr>
      </w:pPr>
      <w:r w:rsidRPr="00400B24">
        <w:rPr>
          <w:b/>
          <w:sz w:val="28"/>
          <w:szCs w:val="28"/>
          <w:lang w:val="nl-NL"/>
        </w:rPr>
        <w:t>a. Loại thiết bị, số lượng thiết bị yêu cầu</w:t>
      </w:r>
    </w:p>
    <w:tbl>
      <w:tblPr>
        <w:tblStyle w:val="TableGrid"/>
        <w:tblW w:w="9356" w:type="dxa"/>
        <w:tblInd w:w="108" w:type="dxa"/>
        <w:tblLook w:val="04A0" w:firstRow="1" w:lastRow="0" w:firstColumn="1" w:lastColumn="0" w:noHBand="0" w:noVBand="1"/>
      </w:tblPr>
      <w:tblGrid>
        <w:gridCol w:w="851"/>
        <w:gridCol w:w="5812"/>
        <w:gridCol w:w="2693"/>
      </w:tblGrid>
      <w:tr w:rsidR="00400B24" w:rsidRPr="00400B24" w14:paraId="4B5E41E8" w14:textId="77777777" w:rsidTr="00F56CC9">
        <w:tc>
          <w:tcPr>
            <w:tcW w:w="851" w:type="dxa"/>
            <w:vAlign w:val="center"/>
          </w:tcPr>
          <w:p w14:paraId="4B013C57" w14:textId="77777777" w:rsidR="00281B51" w:rsidRPr="00400B24" w:rsidRDefault="00281B51" w:rsidP="00F56CC9">
            <w:pPr>
              <w:pStyle w:val="ListParagraph"/>
              <w:spacing w:before="60" w:after="60"/>
              <w:ind w:left="0"/>
              <w:jc w:val="center"/>
              <w:rPr>
                <w:b/>
                <w:sz w:val="28"/>
                <w:szCs w:val="28"/>
                <w:lang w:val="nl-NL"/>
              </w:rPr>
            </w:pPr>
            <w:r w:rsidRPr="00400B24">
              <w:rPr>
                <w:b/>
                <w:sz w:val="28"/>
                <w:szCs w:val="28"/>
                <w:lang w:val="nl-NL"/>
              </w:rPr>
              <w:t>STT</w:t>
            </w:r>
          </w:p>
        </w:tc>
        <w:tc>
          <w:tcPr>
            <w:tcW w:w="5812" w:type="dxa"/>
            <w:vAlign w:val="center"/>
          </w:tcPr>
          <w:p w14:paraId="0974A003" w14:textId="77777777" w:rsidR="00281B51" w:rsidRPr="00400B24" w:rsidRDefault="00281B51" w:rsidP="00F56CC9">
            <w:pPr>
              <w:pStyle w:val="ListParagraph"/>
              <w:spacing w:before="60" w:after="60"/>
              <w:ind w:left="0"/>
              <w:jc w:val="center"/>
              <w:rPr>
                <w:b/>
                <w:sz w:val="28"/>
                <w:szCs w:val="28"/>
                <w:lang w:val="nl-NL"/>
              </w:rPr>
            </w:pPr>
            <w:r w:rsidRPr="00400B24">
              <w:rPr>
                <w:b/>
                <w:sz w:val="28"/>
                <w:szCs w:val="28"/>
                <w:lang w:val="nl-NL"/>
              </w:rPr>
              <w:t>Loại thiết bị và đặc điểm thiết bị</w:t>
            </w:r>
          </w:p>
        </w:tc>
        <w:tc>
          <w:tcPr>
            <w:tcW w:w="2693" w:type="dxa"/>
            <w:vAlign w:val="center"/>
          </w:tcPr>
          <w:p w14:paraId="5A2B54BA" w14:textId="77777777" w:rsidR="00281B51" w:rsidRPr="00400B24" w:rsidRDefault="00281B51" w:rsidP="00F56CC9">
            <w:pPr>
              <w:pStyle w:val="ListParagraph"/>
              <w:spacing w:before="60" w:after="60"/>
              <w:ind w:left="0"/>
              <w:jc w:val="center"/>
              <w:rPr>
                <w:b/>
                <w:sz w:val="28"/>
                <w:szCs w:val="28"/>
                <w:lang w:val="nl-NL"/>
              </w:rPr>
            </w:pPr>
            <w:r w:rsidRPr="00400B24">
              <w:rPr>
                <w:b/>
                <w:sz w:val="28"/>
                <w:szCs w:val="28"/>
                <w:lang w:val="nl-NL"/>
              </w:rPr>
              <w:t>Số lượng tối thiểu cần có</w:t>
            </w:r>
          </w:p>
        </w:tc>
      </w:tr>
      <w:tr w:rsidR="00400B24" w:rsidRPr="00400B24" w14:paraId="5A4F0A6E" w14:textId="77777777" w:rsidTr="00F56CC9">
        <w:trPr>
          <w:trHeight w:val="496"/>
        </w:trPr>
        <w:tc>
          <w:tcPr>
            <w:tcW w:w="851" w:type="dxa"/>
            <w:vAlign w:val="center"/>
          </w:tcPr>
          <w:p w14:paraId="7A132F0E" w14:textId="77777777" w:rsidR="00281B51" w:rsidRPr="00400B24" w:rsidRDefault="00281B51" w:rsidP="00F56CC9">
            <w:pPr>
              <w:pStyle w:val="ListParagraph"/>
              <w:spacing w:before="60" w:after="60"/>
              <w:ind w:left="0"/>
              <w:jc w:val="center"/>
              <w:rPr>
                <w:sz w:val="28"/>
                <w:szCs w:val="28"/>
                <w:lang w:val="nl-NL"/>
              </w:rPr>
            </w:pPr>
            <w:r w:rsidRPr="00400B24">
              <w:rPr>
                <w:sz w:val="28"/>
                <w:szCs w:val="28"/>
                <w:lang w:val="nl-NL"/>
              </w:rPr>
              <w:t>1</w:t>
            </w:r>
          </w:p>
        </w:tc>
        <w:tc>
          <w:tcPr>
            <w:tcW w:w="5812" w:type="dxa"/>
            <w:vAlign w:val="center"/>
          </w:tcPr>
          <w:p w14:paraId="4D011AC1" w14:textId="77777777" w:rsidR="00281B51" w:rsidRPr="00400B24" w:rsidRDefault="00281B51" w:rsidP="00F56CC9">
            <w:pPr>
              <w:pStyle w:val="ListParagraph"/>
              <w:spacing w:before="60" w:after="60"/>
              <w:ind w:left="0"/>
              <w:rPr>
                <w:sz w:val="28"/>
                <w:szCs w:val="28"/>
                <w:lang w:val="nl-NL"/>
              </w:rPr>
            </w:pPr>
            <w:r w:rsidRPr="00400B24">
              <w:rPr>
                <w:sz w:val="28"/>
                <w:szCs w:val="28"/>
                <w:lang w:val="nl-NL"/>
              </w:rPr>
              <w:t xml:space="preserve">Máy xúc đào, thể tích gầu ≥ 1,9 m3 </w:t>
            </w:r>
          </w:p>
        </w:tc>
        <w:tc>
          <w:tcPr>
            <w:tcW w:w="2693" w:type="dxa"/>
            <w:vAlign w:val="center"/>
          </w:tcPr>
          <w:p w14:paraId="3E6C42E4" w14:textId="77777777" w:rsidR="00281B51" w:rsidRPr="00400B24" w:rsidRDefault="00281B51" w:rsidP="00F56CC9">
            <w:pPr>
              <w:pStyle w:val="ListParagraph"/>
              <w:spacing w:before="60" w:after="60"/>
              <w:ind w:left="0"/>
              <w:jc w:val="center"/>
              <w:rPr>
                <w:sz w:val="28"/>
                <w:szCs w:val="28"/>
                <w:lang w:val="nl-NL"/>
              </w:rPr>
            </w:pPr>
            <w:r w:rsidRPr="00400B24">
              <w:rPr>
                <w:sz w:val="28"/>
                <w:szCs w:val="28"/>
                <w:lang w:val="nl-NL"/>
              </w:rPr>
              <w:t>02 máy</w:t>
            </w:r>
          </w:p>
        </w:tc>
      </w:tr>
      <w:tr w:rsidR="00400B24" w:rsidRPr="00400B24" w14:paraId="66CD1A3C" w14:textId="77777777" w:rsidTr="00F56CC9">
        <w:trPr>
          <w:trHeight w:val="547"/>
        </w:trPr>
        <w:tc>
          <w:tcPr>
            <w:tcW w:w="851" w:type="dxa"/>
            <w:vAlign w:val="center"/>
          </w:tcPr>
          <w:p w14:paraId="2550037E" w14:textId="77777777" w:rsidR="00281B51" w:rsidRPr="00400B24" w:rsidRDefault="00281B51" w:rsidP="00F56CC9">
            <w:pPr>
              <w:pStyle w:val="ListParagraph"/>
              <w:spacing w:before="60" w:after="60"/>
              <w:ind w:left="0"/>
              <w:jc w:val="center"/>
              <w:rPr>
                <w:sz w:val="28"/>
                <w:szCs w:val="28"/>
                <w:lang w:val="nl-NL"/>
              </w:rPr>
            </w:pPr>
            <w:r w:rsidRPr="00400B24">
              <w:rPr>
                <w:sz w:val="28"/>
                <w:szCs w:val="28"/>
                <w:lang w:val="nl-NL"/>
              </w:rPr>
              <w:t>2</w:t>
            </w:r>
          </w:p>
        </w:tc>
        <w:tc>
          <w:tcPr>
            <w:tcW w:w="5812" w:type="dxa"/>
            <w:vAlign w:val="center"/>
          </w:tcPr>
          <w:p w14:paraId="09A2B0F9" w14:textId="77777777" w:rsidR="00281B51" w:rsidRPr="00400B24" w:rsidRDefault="00281B51" w:rsidP="00F56CC9">
            <w:pPr>
              <w:pStyle w:val="ListParagraph"/>
              <w:spacing w:before="60" w:after="60"/>
              <w:ind w:left="0"/>
              <w:rPr>
                <w:sz w:val="28"/>
                <w:szCs w:val="28"/>
                <w:lang w:val="nl-NL"/>
              </w:rPr>
            </w:pPr>
            <w:r w:rsidRPr="00400B24">
              <w:rPr>
                <w:sz w:val="28"/>
                <w:szCs w:val="28"/>
                <w:lang w:val="nl-NL"/>
              </w:rPr>
              <w:t>Xe ô tô tải tự đổ tải trọng ≥ 8 tấn</w:t>
            </w:r>
          </w:p>
        </w:tc>
        <w:tc>
          <w:tcPr>
            <w:tcW w:w="2693" w:type="dxa"/>
            <w:vAlign w:val="center"/>
          </w:tcPr>
          <w:p w14:paraId="416BFCC6" w14:textId="77777777" w:rsidR="00281B51" w:rsidRPr="00400B24" w:rsidRDefault="00281B51" w:rsidP="00F56CC9">
            <w:pPr>
              <w:pStyle w:val="ListParagraph"/>
              <w:spacing w:before="60" w:after="60"/>
              <w:ind w:left="0"/>
              <w:jc w:val="center"/>
              <w:rPr>
                <w:sz w:val="28"/>
                <w:szCs w:val="28"/>
                <w:lang w:val="nl-NL"/>
              </w:rPr>
            </w:pPr>
            <w:r w:rsidRPr="00400B24">
              <w:rPr>
                <w:sz w:val="28"/>
                <w:szCs w:val="28"/>
                <w:lang w:val="nl-NL"/>
              </w:rPr>
              <w:t>40 xe</w:t>
            </w:r>
          </w:p>
        </w:tc>
      </w:tr>
    </w:tbl>
    <w:p w14:paraId="6574559F" w14:textId="77777777" w:rsidR="00281B51" w:rsidRPr="00400B24" w:rsidRDefault="00281B51" w:rsidP="00281B51">
      <w:pPr>
        <w:pStyle w:val="ListParagraph"/>
        <w:spacing w:before="60" w:after="60"/>
        <w:ind w:left="0" w:firstLine="720"/>
        <w:rPr>
          <w:b/>
          <w:sz w:val="28"/>
          <w:szCs w:val="28"/>
          <w:lang w:val="nl-NL"/>
        </w:rPr>
      </w:pPr>
      <w:r w:rsidRPr="00400B24">
        <w:rPr>
          <w:b/>
          <w:sz w:val="28"/>
          <w:szCs w:val="28"/>
          <w:lang w:val="nl-NL"/>
        </w:rPr>
        <w:t xml:space="preserve">b. Yêu cầu chung: </w:t>
      </w:r>
      <w:r w:rsidRPr="00400B24">
        <w:rPr>
          <w:sz w:val="28"/>
          <w:szCs w:val="28"/>
          <w:lang w:val="nl-NL"/>
        </w:rPr>
        <w:t>Máy móc thiết bị mới hoặc máy móc thiết bị đã qua sử dụng nhưng vẫn còn hoạt động tốt. Nhà thầu phải luôn đảm bảo đầy đủ máy móc cho Chủ đầu tư, trong trường hợp thay thế, bổ sung các máy móc khác, nhà thầu phải gửi cho Chủ đầu hồ sơ máy móc thay thể trước khi đi vào hoạt động.</w:t>
      </w:r>
    </w:p>
    <w:p w14:paraId="3B05AF32" w14:textId="77777777" w:rsidR="00281B51" w:rsidRPr="00400B24" w:rsidRDefault="00281B51" w:rsidP="00281B51">
      <w:pPr>
        <w:pStyle w:val="ListParagraph"/>
        <w:spacing w:before="60" w:after="60"/>
        <w:rPr>
          <w:b/>
          <w:sz w:val="28"/>
          <w:szCs w:val="28"/>
          <w:lang w:val="nl-NL"/>
        </w:rPr>
      </w:pPr>
      <w:r w:rsidRPr="00400B24">
        <w:rPr>
          <w:b/>
          <w:sz w:val="28"/>
          <w:szCs w:val="28"/>
          <w:lang w:val="nl-NL"/>
        </w:rPr>
        <w:t>c. Yêu cầu về hồ sơ thiết bị kèm theo:</w:t>
      </w:r>
    </w:p>
    <w:p w14:paraId="641EE35C" w14:textId="77777777" w:rsidR="00281B51" w:rsidRPr="00400B24" w:rsidRDefault="00281B51" w:rsidP="00281B51">
      <w:pPr>
        <w:shd w:val="clear" w:color="auto" w:fill="FFFFFF"/>
        <w:ind w:firstLine="709"/>
        <w:rPr>
          <w:b/>
          <w:i/>
          <w:sz w:val="28"/>
          <w:szCs w:val="28"/>
          <w:lang w:val="nl-NL"/>
        </w:rPr>
      </w:pPr>
      <w:r w:rsidRPr="00400B24">
        <w:rPr>
          <w:b/>
          <w:i/>
          <w:sz w:val="28"/>
          <w:szCs w:val="28"/>
          <w:lang w:val="nl-NL"/>
        </w:rPr>
        <w:t xml:space="preserve">* Đối với thiết bị bốc xúc: </w:t>
      </w:r>
    </w:p>
    <w:p w14:paraId="1005243B" w14:textId="77777777" w:rsidR="00281B51" w:rsidRPr="00400B24" w:rsidRDefault="00281B51" w:rsidP="00281B51">
      <w:pPr>
        <w:spacing w:before="60" w:after="60"/>
        <w:ind w:firstLine="720"/>
        <w:rPr>
          <w:sz w:val="28"/>
          <w:szCs w:val="28"/>
          <w:lang w:val="nl-NL"/>
        </w:rPr>
      </w:pPr>
      <w:r w:rsidRPr="00400B24">
        <w:rPr>
          <w:sz w:val="28"/>
          <w:szCs w:val="28"/>
          <w:lang w:val="nl-NL"/>
        </w:rPr>
        <w:t>- Có các tài liệu thể hiện thông số kỹ thuật (Giấy chứng nhận chất lượng an toàn kỹ thuật và bảo vệ môi trường xe máy), tài liệu chứng minh khả năng/quyền chủ động sử dụng hợp pháp của nhà thầu để huy động thiết bị đó thực hiện gói thầu. Giấy chứng nhận kết quả kiểm tra/kiểm định thiết bị đủ điều kiện đưa vào sử dụng...</w:t>
      </w:r>
    </w:p>
    <w:p w14:paraId="304B9CD0" w14:textId="77777777" w:rsidR="00281B51" w:rsidRPr="00400B24" w:rsidRDefault="00281B51" w:rsidP="00281B51">
      <w:pPr>
        <w:spacing w:before="60" w:after="60"/>
        <w:rPr>
          <w:b/>
          <w:i/>
          <w:sz w:val="28"/>
          <w:szCs w:val="28"/>
          <w:lang w:val="nl-NL"/>
        </w:rPr>
      </w:pPr>
      <w:r w:rsidRPr="00400B24">
        <w:rPr>
          <w:sz w:val="28"/>
          <w:szCs w:val="28"/>
          <w:lang w:val="nl-NL"/>
        </w:rPr>
        <w:lastRenderedPageBreak/>
        <w:tab/>
      </w:r>
      <w:r w:rsidRPr="00400B24">
        <w:rPr>
          <w:b/>
          <w:i/>
          <w:sz w:val="28"/>
          <w:szCs w:val="28"/>
          <w:lang w:val="nl-NL"/>
        </w:rPr>
        <w:t>* Đối với thiết bị vận chuyển:</w:t>
      </w:r>
    </w:p>
    <w:p w14:paraId="5FCBA5F0" w14:textId="77777777" w:rsidR="00281B51" w:rsidRPr="00400B24" w:rsidRDefault="00281B51" w:rsidP="00281B51">
      <w:pPr>
        <w:spacing w:before="60" w:after="60"/>
        <w:rPr>
          <w:sz w:val="28"/>
          <w:szCs w:val="28"/>
          <w:lang w:val="nl-NL"/>
        </w:rPr>
      </w:pPr>
      <w:r w:rsidRPr="00400B24">
        <w:rPr>
          <w:b/>
          <w:i/>
          <w:sz w:val="28"/>
          <w:szCs w:val="28"/>
          <w:lang w:val="nl-NL"/>
        </w:rPr>
        <w:tab/>
      </w:r>
      <w:r w:rsidRPr="00400B24">
        <w:rPr>
          <w:sz w:val="28"/>
          <w:szCs w:val="28"/>
          <w:lang w:val="nl-NL"/>
        </w:rPr>
        <w:t>- Giấy đăng ký thiết bị;</w:t>
      </w:r>
    </w:p>
    <w:p w14:paraId="22A9C1E1" w14:textId="77777777" w:rsidR="00281B51" w:rsidRPr="00400B24" w:rsidRDefault="00281B51" w:rsidP="00281B51">
      <w:pPr>
        <w:spacing w:before="60" w:after="60"/>
        <w:rPr>
          <w:sz w:val="28"/>
          <w:szCs w:val="28"/>
          <w:lang w:val="nl-NL"/>
        </w:rPr>
      </w:pPr>
      <w:r w:rsidRPr="00400B24">
        <w:rPr>
          <w:sz w:val="28"/>
          <w:szCs w:val="28"/>
          <w:lang w:val="nl-NL"/>
        </w:rPr>
        <w:tab/>
        <w:t>- Đăng kiểm, bảo hiểm trách nhiệm dân sự bắt buộc của thiết bị còn thời hạn trong thời gian huy động thực hiện gói thầu;</w:t>
      </w:r>
    </w:p>
    <w:p w14:paraId="657F9879" w14:textId="77777777" w:rsidR="00281B51" w:rsidRPr="00400B24" w:rsidRDefault="00281B51" w:rsidP="00281B51">
      <w:pPr>
        <w:spacing w:before="60" w:after="60"/>
        <w:rPr>
          <w:sz w:val="28"/>
          <w:szCs w:val="28"/>
          <w:lang w:val="nl-NL"/>
        </w:rPr>
      </w:pPr>
      <w:r w:rsidRPr="00400B24">
        <w:rPr>
          <w:sz w:val="28"/>
          <w:szCs w:val="28"/>
          <w:lang w:val="nl-NL"/>
        </w:rPr>
        <w:tab/>
        <w:t>- Có hệ thống quản lý và giám sát trên phương tiện vận chuyển (Giám sát vị trí, trạng thái hoạt động của phương tiện vận chuyển).</w:t>
      </w:r>
    </w:p>
    <w:p w14:paraId="6B093B96" w14:textId="77777777" w:rsidR="00281B51" w:rsidRPr="00400B24" w:rsidRDefault="00281B51" w:rsidP="00281B51">
      <w:pPr>
        <w:spacing w:before="60" w:after="60"/>
        <w:rPr>
          <w:sz w:val="28"/>
          <w:szCs w:val="28"/>
          <w:lang w:val="nl-NL"/>
        </w:rPr>
      </w:pPr>
      <w:r w:rsidRPr="00400B24">
        <w:rPr>
          <w:sz w:val="28"/>
          <w:szCs w:val="28"/>
          <w:lang w:val="nl-NL"/>
        </w:rPr>
        <w:tab/>
      </w:r>
      <w:r w:rsidRPr="00400B24">
        <w:rPr>
          <w:b/>
          <w:sz w:val="28"/>
          <w:szCs w:val="28"/>
          <w:lang w:val="nl-NL"/>
        </w:rPr>
        <w:t xml:space="preserve">- </w:t>
      </w:r>
      <w:r w:rsidRPr="00400B24">
        <w:rPr>
          <w:sz w:val="28"/>
          <w:szCs w:val="28"/>
          <w:lang w:val="nl-NL"/>
        </w:rPr>
        <w:t>Quyền sở hữu thiết bị: Nhà thầu có thể chứng minh quyền sở hữu thiết bị bằng các hình thức sau:</w:t>
      </w:r>
    </w:p>
    <w:p w14:paraId="5C3FDD54" w14:textId="77777777" w:rsidR="00281B51" w:rsidRPr="00400B24" w:rsidRDefault="00281B51" w:rsidP="00281B51">
      <w:pPr>
        <w:tabs>
          <w:tab w:val="left" w:pos="851"/>
        </w:tabs>
        <w:spacing w:before="120" w:after="120"/>
        <w:rPr>
          <w:sz w:val="28"/>
          <w:szCs w:val="28"/>
          <w:lang w:val="nl-NL"/>
        </w:rPr>
      </w:pPr>
      <w:r w:rsidRPr="00400B24">
        <w:rPr>
          <w:sz w:val="28"/>
          <w:szCs w:val="28"/>
          <w:lang w:val="nl-NL"/>
        </w:rPr>
        <w:t xml:space="preserve">         + Đối với thiết bị thuộc quyền sở hữu của nhà thầu: Được xác định trên cơ sở Giấy đăng ký phương tiện (bản chụp công chứng hoặc chứng thực) mang đầy đủ tên gọi của nhà thầu tham gia. Tên gọi của nhà thầu phải đồng nhất với tên gọi quy định tại giấy chứng nhận đăng ký doanh nghiệp do cấp có thẩm quyền cấp. </w:t>
      </w:r>
    </w:p>
    <w:p w14:paraId="191AD8D4" w14:textId="77777777" w:rsidR="00281B51" w:rsidRPr="00400B24" w:rsidRDefault="00281B51" w:rsidP="00281B51">
      <w:pPr>
        <w:tabs>
          <w:tab w:val="left" w:pos="851"/>
        </w:tabs>
        <w:spacing w:before="120" w:after="120"/>
        <w:ind w:firstLine="709"/>
        <w:rPr>
          <w:sz w:val="28"/>
          <w:szCs w:val="28"/>
          <w:lang w:val="nl-NL"/>
        </w:rPr>
      </w:pPr>
      <w:r w:rsidRPr="00400B24">
        <w:rPr>
          <w:sz w:val="28"/>
          <w:szCs w:val="28"/>
          <w:lang w:val="nl-NL"/>
        </w:rPr>
        <w:t>+ Đối với thiết bị không thuộc quyền sở hữu của nhà thầu (nhà thầu thuê lại của bên thứ 3): Được xác định trên cơ sở hợp đồng thuê thiết bị và các giấy tờ hợp lệ theo các quy định hiện hành của thiết bị thuê.</w:t>
      </w:r>
    </w:p>
    <w:p w14:paraId="35FCF36A" w14:textId="77777777" w:rsidR="00281B51" w:rsidRPr="00400B24" w:rsidRDefault="00281B51" w:rsidP="00281B51">
      <w:pPr>
        <w:tabs>
          <w:tab w:val="left" w:pos="851"/>
        </w:tabs>
        <w:spacing w:before="120" w:after="120"/>
        <w:ind w:firstLine="709"/>
        <w:rPr>
          <w:sz w:val="28"/>
          <w:szCs w:val="28"/>
          <w:lang w:val="nl-NL"/>
        </w:rPr>
      </w:pPr>
      <w:r w:rsidRPr="00400B24">
        <w:rPr>
          <w:sz w:val="28"/>
          <w:szCs w:val="28"/>
          <w:lang w:val="nl-NL"/>
        </w:rPr>
        <w:t>+ Đối với trường hợp thiết bị thuê tài chính: Tài sản thuê là thiết bị giữa bên cho thuê là các tổ chức tín dụng ngân hàng và/hoặc các Công ty cho thuê tài chính (tổ chức tín dụng phi ngân hàng) và bên thuê là doanh nghiệp. Nhà thầu phải cung cấp hợp đồng thuê tài chính (Bản chụp công chứng hoặc chứng thực).</w:t>
      </w:r>
    </w:p>
    <w:p w14:paraId="4412FE67" w14:textId="77777777" w:rsidR="00281B51" w:rsidRPr="00400B24" w:rsidRDefault="00281B51" w:rsidP="00281B51">
      <w:pPr>
        <w:spacing w:before="60" w:after="60"/>
        <w:rPr>
          <w:b/>
          <w:sz w:val="28"/>
          <w:szCs w:val="28"/>
          <w:lang w:val="nl-NL"/>
        </w:rPr>
      </w:pPr>
      <w:r w:rsidRPr="00400B24">
        <w:rPr>
          <w:sz w:val="28"/>
          <w:szCs w:val="28"/>
          <w:lang w:val="nl-NL"/>
        </w:rPr>
        <w:tab/>
      </w:r>
      <w:r w:rsidRPr="00400B24">
        <w:rPr>
          <w:b/>
          <w:sz w:val="28"/>
          <w:szCs w:val="28"/>
          <w:lang w:val="nl-NL"/>
        </w:rPr>
        <w:t>d. Yêu cầu khác</w:t>
      </w:r>
    </w:p>
    <w:p w14:paraId="27B6878B" w14:textId="77777777" w:rsidR="00281B51" w:rsidRPr="00400B24" w:rsidRDefault="00281B51" w:rsidP="00281B51">
      <w:pPr>
        <w:spacing w:before="60" w:after="60"/>
        <w:rPr>
          <w:b/>
          <w:sz w:val="28"/>
          <w:szCs w:val="28"/>
          <w:lang w:val="nl-NL"/>
        </w:rPr>
      </w:pPr>
      <w:r w:rsidRPr="00400B24">
        <w:rPr>
          <w:b/>
          <w:sz w:val="28"/>
          <w:szCs w:val="28"/>
          <w:lang w:val="nl-NL"/>
        </w:rPr>
        <w:tab/>
      </w:r>
      <w:r w:rsidRPr="00400B24">
        <w:rPr>
          <w:b/>
          <w:sz w:val="28"/>
          <w:szCs w:val="28"/>
          <w:shd w:val="clear" w:color="auto" w:fill="FFFFFF" w:themeFill="background1"/>
          <w:lang w:val="nl-NL"/>
        </w:rPr>
        <w:t xml:space="preserve">- </w:t>
      </w:r>
      <w:r w:rsidRPr="00400B24">
        <w:rPr>
          <w:spacing w:val="4"/>
          <w:sz w:val="28"/>
          <w:szCs w:val="28"/>
          <w:shd w:val="clear" w:color="auto" w:fill="FFFFFF" w:themeFill="background1"/>
        </w:rPr>
        <w:t>Mua bảo hiểm xe và đăng kiểm xe cho các lần kế tiếp trong thời gian thực hiện dịch vụ.</w:t>
      </w:r>
    </w:p>
    <w:p w14:paraId="207A95F9" w14:textId="77777777" w:rsidR="00281B51" w:rsidRPr="00400B24" w:rsidRDefault="00281B51" w:rsidP="00281B51">
      <w:pPr>
        <w:spacing w:before="60" w:after="60"/>
        <w:rPr>
          <w:sz w:val="28"/>
          <w:szCs w:val="28"/>
          <w:lang w:val="nl-NL"/>
        </w:rPr>
      </w:pPr>
      <w:r w:rsidRPr="00400B24">
        <w:rPr>
          <w:b/>
          <w:sz w:val="28"/>
          <w:szCs w:val="28"/>
          <w:lang w:val="nl-NL"/>
        </w:rPr>
        <w:tab/>
      </w:r>
      <w:r w:rsidRPr="00400B24">
        <w:rPr>
          <w:sz w:val="28"/>
          <w:szCs w:val="28"/>
          <w:lang w:val="nl-NL"/>
        </w:rPr>
        <w:t>- Nhà thầu cam kết sử dụng thiết bị đã đăng ký trong Hồ sơ dự thầu để thực hiện gói thầu.</w:t>
      </w:r>
    </w:p>
    <w:p w14:paraId="19D826F5" w14:textId="77777777" w:rsidR="00281B51" w:rsidRPr="00400B24" w:rsidRDefault="00281B51" w:rsidP="00281B51">
      <w:pPr>
        <w:spacing w:before="60" w:after="60"/>
        <w:rPr>
          <w:sz w:val="28"/>
          <w:szCs w:val="28"/>
          <w:lang w:val="nl-NL"/>
        </w:rPr>
      </w:pPr>
      <w:r w:rsidRPr="00400B24">
        <w:rPr>
          <w:sz w:val="28"/>
          <w:szCs w:val="28"/>
          <w:lang w:val="nl-NL"/>
        </w:rPr>
        <w:tab/>
        <w:t>- Nhà thầu phải cam kết các thiết bị sử dụng cho gói thầu phải thuộc quyền sử dụng hợp pháp của Nhà thầu và không vi phạm pháp luật.</w:t>
      </w:r>
    </w:p>
    <w:p w14:paraId="145B5302" w14:textId="77777777" w:rsidR="00281B51" w:rsidRPr="00400B24" w:rsidRDefault="00281B51" w:rsidP="00281B51">
      <w:pPr>
        <w:spacing w:before="60" w:after="60"/>
        <w:rPr>
          <w:sz w:val="28"/>
          <w:szCs w:val="28"/>
          <w:lang w:val="nl-NL"/>
        </w:rPr>
      </w:pPr>
      <w:r w:rsidRPr="00400B24">
        <w:rPr>
          <w:sz w:val="28"/>
          <w:szCs w:val="28"/>
          <w:lang w:val="nl-NL"/>
        </w:rPr>
        <w:tab/>
        <w:t>- Nhà thầu phải cam kết làm rõ sự sai khác giữa các tài liệu kỹ thuật xe về trọng tải xe (nếu có) và phải chịu trách nhiệm trước pháp luật về việc này.</w:t>
      </w:r>
    </w:p>
    <w:p w14:paraId="0E8C2A94" w14:textId="77777777" w:rsidR="00281B51" w:rsidRPr="00400B24" w:rsidRDefault="00281B51" w:rsidP="00281B51">
      <w:pPr>
        <w:spacing w:before="60" w:after="60"/>
        <w:rPr>
          <w:b/>
          <w:sz w:val="28"/>
          <w:szCs w:val="28"/>
          <w:lang w:val="nl-NL"/>
        </w:rPr>
      </w:pPr>
      <w:r w:rsidRPr="00400B24">
        <w:rPr>
          <w:sz w:val="28"/>
          <w:szCs w:val="28"/>
          <w:lang w:val="nl-NL"/>
        </w:rPr>
        <w:tab/>
      </w:r>
      <w:r w:rsidRPr="00400B24">
        <w:rPr>
          <w:b/>
          <w:sz w:val="28"/>
          <w:szCs w:val="28"/>
          <w:lang w:val="nl-NL"/>
        </w:rPr>
        <w:t>3.3. Công tác chuẩn bị và tổ chức thực hiện:</w:t>
      </w:r>
    </w:p>
    <w:p w14:paraId="324A21BE" w14:textId="77777777" w:rsidR="00281B51" w:rsidRPr="00400B24" w:rsidRDefault="00281B51" w:rsidP="00281B51">
      <w:pPr>
        <w:spacing w:before="60" w:after="60" w:line="360" w:lineRule="exact"/>
        <w:ind w:firstLine="720"/>
        <w:rPr>
          <w:sz w:val="28"/>
          <w:szCs w:val="28"/>
          <w:lang w:val="nl-NL"/>
        </w:rPr>
      </w:pPr>
      <w:r w:rsidRPr="00400B24">
        <w:rPr>
          <w:sz w:val="28"/>
          <w:szCs w:val="28"/>
          <w:lang w:val="nl-NL"/>
        </w:rPr>
        <w:t>- Nhà thầu phải đảm bảo các thiết bị tham gia thực hiện dịch vụ phải tuân thủ các quy định, nội quy và theo sự chỉ huy điều hành của bên mời thầu, chủ đầu tư.</w:t>
      </w:r>
    </w:p>
    <w:p w14:paraId="60FD55C8" w14:textId="77777777" w:rsidR="00281B51" w:rsidRPr="00400B24" w:rsidRDefault="00281B51" w:rsidP="00281B51">
      <w:pPr>
        <w:spacing w:before="60" w:after="60" w:line="360" w:lineRule="exact"/>
        <w:ind w:firstLine="720"/>
        <w:rPr>
          <w:sz w:val="28"/>
          <w:szCs w:val="28"/>
          <w:lang w:val="nl-NL"/>
        </w:rPr>
      </w:pPr>
      <w:r w:rsidRPr="00400B24">
        <w:rPr>
          <w:sz w:val="28"/>
          <w:szCs w:val="28"/>
          <w:lang w:val="nl-NL"/>
        </w:rPr>
        <w:t>- Các thiết bị của Nhà thầu huy động cho gói thầu phải đảm bảo công suất, tính năng phù hợp yêu cầu của công việc; Công tác kiểm tra, duy tu, bảo dưỡng thiết bị được thực hiện trước khi đưa vào hoạt động đảm bảo theo yêu cầu sản xuất.</w:t>
      </w:r>
    </w:p>
    <w:p w14:paraId="71D0B8BD" w14:textId="77777777" w:rsidR="00281B51" w:rsidRPr="00400B24" w:rsidRDefault="00281B51" w:rsidP="00281B51">
      <w:pPr>
        <w:spacing w:before="60" w:after="60" w:line="360" w:lineRule="exact"/>
        <w:ind w:firstLine="720"/>
        <w:rPr>
          <w:sz w:val="28"/>
          <w:szCs w:val="28"/>
          <w:lang w:val="nl-NL"/>
        </w:rPr>
      </w:pPr>
      <w:r w:rsidRPr="00400B24">
        <w:rPr>
          <w:sz w:val="28"/>
          <w:szCs w:val="28"/>
          <w:lang w:val="nl-NL"/>
        </w:rPr>
        <w:t xml:space="preserve">- Các thiết bị của Nhà thầu trong quá trình hoạt động phải thực hiện nghiêm chỉnh các yêu cầu về phòng chống cháy nổ theo Luật phòng cháy và chữa cháy, chịu mọi trách nhiệm trước pháp luật khi để xảy ra cháy nổ tại khu vực khi thực hiện dịch </w:t>
      </w:r>
      <w:r w:rsidRPr="00400B24">
        <w:rPr>
          <w:sz w:val="28"/>
          <w:szCs w:val="28"/>
          <w:lang w:val="nl-NL"/>
        </w:rPr>
        <w:lastRenderedPageBreak/>
        <w:t>vụ. Trưởng hợp để xảy ra cháy nổ gây thiệt hại về người, Nhà thầu phải hoàn toàn chịu trách nhiệm trước pháp luật và khắc phục hậu quả.</w:t>
      </w:r>
    </w:p>
    <w:p w14:paraId="6F4C17C1" w14:textId="437D2C6B" w:rsidR="00281B51" w:rsidRPr="00400B24" w:rsidRDefault="00281B51" w:rsidP="00281B51">
      <w:pPr>
        <w:spacing w:before="60" w:after="60" w:line="360" w:lineRule="exact"/>
        <w:ind w:firstLine="720"/>
        <w:rPr>
          <w:sz w:val="28"/>
          <w:szCs w:val="28"/>
          <w:lang w:val="nl-NL"/>
        </w:rPr>
      </w:pPr>
      <w:r w:rsidRPr="00400B24">
        <w:rPr>
          <w:sz w:val="28"/>
          <w:szCs w:val="28"/>
          <w:lang w:val="nl-NL"/>
        </w:rPr>
        <w:t xml:space="preserve">- Trong suốt quá trình thực hiện các dịch vụ của gói thầu, toàn bộ xe ô tô tham thực hiện gói thầu phải có bạt che đậy thùng xe đảm bảo vệ sinh môi trường. Toàn bộ chất thải nguy hại (nếu có) do thiết bị của nhà thầu thải ra phải được xử lý đúng theo các quy định của Bộ </w:t>
      </w:r>
      <w:r w:rsidR="00396A4C" w:rsidRPr="00400B24">
        <w:rPr>
          <w:sz w:val="28"/>
          <w:szCs w:val="28"/>
          <w:lang w:val="nl-NL"/>
        </w:rPr>
        <w:t>Nông nghiệp và</w:t>
      </w:r>
      <w:r w:rsidRPr="00400B24">
        <w:rPr>
          <w:sz w:val="28"/>
          <w:szCs w:val="28"/>
          <w:lang w:val="nl-NL"/>
        </w:rPr>
        <w:t xml:space="preserve"> Môi Trường, chi phí xử lý do Nhà thầu chịu.</w:t>
      </w:r>
    </w:p>
    <w:p w14:paraId="553832EF" w14:textId="77777777" w:rsidR="00281B51" w:rsidRPr="00400B24" w:rsidRDefault="00281B51" w:rsidP="00281B51">
      <w:pPr>
        <w:spacing w:before="60" w:after="60" w:line="360" w:lineRule="exact"/>
        <w:ind w:firstLine="720"/>
        <w:rPr>
          <w:sz w:val="28"/>
          <w:szCs w:val="28"/>
          <w:lang w:val="nl-NL"/>
        </w:rPr>
      </w:pPr>
      <w:r w:rsidRPr="00400B24">
        <w:rPr>
          <w:sz w:val="28"/>
          <w:szCs w:val="28"/>
          <w:lang w:val="nl-NL"/>
        </w:rPr>
        <w:t>- Nhà thầu phải đăng ký danh sách xe với các cơ quan có thẩm quyền theo quy định của Pháp luật.</w:t>
      </w:r>
    </w:p>
    <w:p w14:paraId="6806E359" w14:textId="77777777" w:rsidR="00281B51" w:rsidRPr="00400B24" w:rsidRDefault="00281B51" w:rsidP="00281B51">
      <w:pPr>
        <w:spacing w:before="60" w:after="60" w:line="360" w:lineRule="exact"/>
        <w:ind w:firstLine="720"/>
        <w:rPr>
          <w:sz w:val="28"/>
          <w:szCs w:val="28"/>
          <w:lang w:val="nl-NL"/>
        </w:rPr>
      </w:pPr>
      <w:r w:rsidRPr="00400B24">
        <w:rPr>
          <w:sz w:val="28"/>
          <w:szCs w:val="28"/>
          <w:lang w:val="nl-NL"/>
        </w:rPr>
        <w:t>- Nhà thầu chịu trách nhiệm về an toàn bảo hộ lao động đối với người và thiết bị trong quá trình thực hiện dịch vụ.</w:t>
      </w:r>
    </w:p>
    <w:p w14:paraId="6B4CB614" w14:textId="77777777" w:rsidR="00281B51" w:rsidRPr="00400B24" w:rsidRDefault="00281B51" w:rsidP="00281B51">
      <w:pPr>
        <w:spacing w:before="60" w:after="60" w:line="360" w:lineRule="exact"/>
        <w:ind w:firstLine="720"/>
        <w:rPr>
          <w:sz w:val="28"/>
          <w:szCs w:val="28"/>
          <w:lang w:val="nl-NL"/>
        </w:rPr>
      </w:pPr>
      <w:r w:rsidRPr="00400B24">
        <w:rPr>
          <w:sz w:val="28"/>
          <w:szCs w:val="28"/>
          <w:lang w:val="nl-NL"/>
        </w:rPr>
        <w:t>- Nhà thầu chịu hoàn toàn trách nhiệm với bên thứ 3 trong trường hợp xe ôtô bị tai nạn, vi phạm luật giao thông....</w:t>
      </w:r>
    </w:p>
    <w:p w14:paraId="78F21AEB" w14:textId="77777777" w:rsidR="00281B51" w:rsidRPr="00400B24" w:rsidRDefault="00281B51" w:rsidP="00281B51">
      <w:pPr>
        <w:spacing w:before="60" w:after="60" w:line="360" w:lineRule="exact"/>
        <w:ind w:firstLine="720"/>
        <w:rPr>
          <w:sz w:val="28"/>
          <w:szCs w:val="28"/>
          <w:lang w:val="nl-NL"/>
        </w:rPr>
      </w:pPr>
      <w:r w:rsidRPr="00400B24">
        <w:rPr>
          <w:sz w:val="28"/>
          <w:szCs w:val="28"/>
          <w:lang w:val="nl-NL"/>
        </w:rPr>
        <w:t>- Trong quá trình hoạt động, nếu thiết bị của Nhà thầu bị hỏng hóc, nhà thầu phải tiến hành khắc phục ngay. Trong trường hợp thời gian sửa chữa thiết bị ≥ 01 ngày, Nhà thầu phải có thiết bị thay thế trong thời gian chờ sửa chữa để đảm bảo tiến độ thực hiện gói thầu.Thiết bị thay thế phải có giá trị và thông số kỹ thuật tương đương với thiết bị được thay thế.</w:t>
      </w:r>
    </w:p>
    <w:p w14:paraId="7AFF9ABC" w14:textId="77777777" w:rsidR="00281B51" w:rsidRPr="00400B24" w:rsidRDefault="00281B51" w:rsidP="00281B51">
      <w:pPr>
        <w:spacing w:before="60" w:after="60" w:line="360" w:lineRule="exact"/>
        <w:ind w:firstLine="720"/>
        <w:rPr>
          <w:sz w:val="28"/>
          <w:szCs w:val="28"/>
          <w:lang w:val="nl-NL"/>
        </w:rPr>
      </w:pPr>
      <w:r w:rsidRPr="00400B24">
        <w:rPr>
          <w:sz w:val="28"/>
          <w:szCs w:val="28"/>
          <w:lang w:val="nl-NL"/>
        </w:rPr>
        <w:t>- Nhà thầu phải chịu trách nhiệm chi trả toàn bộ các khoản chi phí bao gồm: Chi phí nhân công, nhiên liệu, chi phí sửa chữa, bảo dưỡng thường xuyên, bảo hiểm, kiểm định xe, trang bị dụng cụ theo xe...</w:t>
      </w:r>
    </w:p>
    <w:p w14:paraId="3AE017C2" w14:textId="77777777" w:rsidR="00281B51" w:rsidRPr="00400B24" w:rsidRDefault="00281B51" w:rsidP="00396A4C">
      <w:pPr>
        <w:spacing w:before="60" w:after="60" w:line="360" w:lineRule="exact"/>
        <w:ind w:firstLine="720"/>
        <w:rPr>
          <w:sz w:val="28"/>
          <w:szCs w:val="28"/>
          <w:lang w:val="nl-NL"/>
        </w:rPr>
      </w:pPr>
      <w:r w:rsidRPr="00400B24">
        <w:rPr>
          <w:sz w:val="28"/>
          <w:szCs w:val="28"/>
          <w:lang w:val="nl-NL"/>
        </w:rPr>
        <w:t>- Nhà thầu có trách nhiệm huy động nhân lực thực hiện gói thầu cụ thể như sau:</w:t>
      </w:r>
    </w:p>
    <w:p w14:paraId="41FC31E3" w14:textId="77777777" w:rsidR="00281B51" w:rsidRPr="00400B24" w:rsidRDefault="00281B51" w:rsidP="00396A4C">
      <w:pPr>
        <w:spacing w:before="60" w:after="60" w:line="360" w:lineRule="exact"/>
        <w:ind w:firstLine="720"/>
        <w:rPr>
          <w:sz w:val="28"/>
          <w:szCs w:val="28"/>
          <w:lang w:val="nl-NL"/>
        </w:rPr>
      </w:pPr>
      <w:r w:rsidRPr="00400B24">
        <w:rPr>
          <w:sz w:val="28"/>
          <w:szCs w:val="28"/>
          <w:lang w:val="nl-NL"/>
        </w:rPr>
        <w:t>+ Huy động tối thiểu 40 lái xe có bằng lái xe hạng C trở lên, có căn cước công dân,  hợp đồng lao động với Công ty (Nhà thầu).</w:t>
      </w:r>
      <w:r w:rsidRPr="00400B24">
        <w:rPr>
          <w:sz w:val="28"/>
          <w:szCs w:val="28"/>
          <w:lang w:val="nl-NL"/>
        </w:rPr>
        <w:tab/>
      </w:r>
    </w:p>
    <w:p w14:paraId="0312A517" w14:textId="77777777" w:rsidR="00281B51" w:rsidRPr="00400B24" w:rsidRDefault="00281B51" w:rsidP="00281B51">
      <w:pPr>
        <w:spacing w:before="60" w:after="60" w:line="360" w:lineRule="exact"/>
        <w:rPr>
          <w:sz w:val="28"/>
          <w:szCs w:val="28"/>
          <w:lang w:val="nl-NL"/>
        </w:rPr>
      </w:pPr>
      <w:r w:rsidRPr="00400B24">
        <w:rPr>
          <w:sz w:val="28"/>
          <w:szCs w:val="28"/>
          <w:lang w:val="nl-NL"/>
        </w:rPr>
        <w:tab/>
        <w:t>+ Huy động tối thiểu 02 công nhân vận hành lái máy xúc, có bằng nghề lái máy theo quy định, có hợp đồng lao động với Công ty (Nhà thầu).</w:t>
      </w:r>
    </w:p>
    <w:p w14:paraId="7D540BBD" w14:textId="77777777" w:rsidR="00281B51" w:rsidRPr="00400B24" w:rsidRDefault="00281B51" w:rsidP="00281B51">
      <w:pPr>
        <w:spacing w:before="60" w:after="60" w:line="360" w:lineRule="exact"/>
        <w:ind w:firstLine="720"/>
        <w:rPr>
          <w:sz w:val="28"/>
          <w:szCs w:val="28"/>
          <w:lang w:val="nl-NL"/>
        </w:rPr>
      </w:pPr>
      <w:r w:rsidRPr="00400B24">
        <w:rPr>
          <w:sz w:val="28"/>
          <w:szCs w:val="28"/>
          <w:lang w:val="nl-NL"/>
        </w:rPr>
        <w:t>+ Nhà thầu bố trí tối thiểu 01 cán bộ có đầy đủ hợp đồng lao động Công ty (Nhà thầu), chứng chỉ phù hợp thường xuyên có mặt tại nơi thực hiện công việc liên quan đến dịch vụ để cùng đại diện được giao giao nhiệm vụ của bên mời thầu theo dõi, giám sát thực hiện gói thầu để làm căn cứ nghiệm thu, quyết toán khối lượng theo quy định.</w:t>
      </w:r>
    </w:p>
    <w:p w14:paraId="1C534E32" w14:textId="77777777" w:rsidR="00281B51" w:rsidRPr="00400B24" w:rsidRDefault="00281B51" w:rsidP="00281B51">
      <w:pPr>
        <w:spacing w:before="60" w:after="60" w:line="360" w:lineRule="exact"/>
        <w:rPr>
          <w:sz w:val="28"/>
          <w:szCs w:val="28"/>
          <w:lang w:val="nl-NL"/>
        </w:rPr>
      </w:pPr>
      <w:r w:rsidRPr="00400B24">
        <w:rPr>
          <w:sz w:val="28"/>
          <w:szCs w:val="28"/>
          <w:lang w:val="nl-NL"/>
        </w:rPr>
        <w:tab/>
        <w:t>+ Cán bộ, công nhân tham gia thực hiện gói thầu, vận hành xe – máy phải được trang bị đầy đủ dụng cụ, phương tiện, bảo hộ lao động theo nghề nghiệp của mình.</w:t>
      </w:r>
    </w:p>
    <w:p w14:paraId="42EB9A5F" w14:textId="77777777" w:rsidR="00281B51" w:rsidRPr="001C734A" w:rsidRDefault="00281B51" w:rsidP="00281B51">
      <w:pPr>
        <w:spacing w:before="60" w:after="60" w:line="360" w:lineRule="exact"/>
        <w:rPr>
          <w:rFonts w:ascii="Times New Roman Bold" w:hAnsi="Times New Roman Bold"/>
          <w:b/>
          <w:spacing w:val="-4"/>
          <w:sz w:val="28"/>
          <w:szCs w:val="28"/>
          <w:lang w:val="nl-NL"/>
        </w:rPr>
      </w:pPr>
      <w:r w:rsidRPr="00400B24">
        <w:rPr>
          <w:b/>
          <w:sz w:val="28"/>
          <w:szCs w:val="28"/>
          <w:lang w:val="nl-NL"/>
        </w:rPr>
        <w:tab/>
      </w:r>
      <w:r w:rsidRPr="001C734A">
        <w:rPr>
          <w:rFonts w:ascii="Times New Roman Bold" w:hAnsi="Times New Roman Bold"/>
          <w:b/>
          <w:spacing w:val="-4"/>
          <w:sz w:val="28"/>
          <w:szCs w:val="28"/>
          <w:lang w:val="nl-NL"/>
        </w:rPr>
        <w:t>3.4. Yêu cầu đáp ứng các quy định của địa phương khi tham gia giao thông.</w:t>
      </w:r>
      <w:bookmarkStart w:id="3" w:name="_GoBack"/>
      <w:bookmarkEnd w:id="3"/>
    </w:p>
    <w:p w14:paraId="638E0FEB" w14:textId="77777777" w:rsidR="00281B51" w:rsidRPr="00400B24" w:rsidRDefault="00281B51" w:rsidP="00281B51">
      <w:pPr>
        <w:spacing w:before="60" w:after="60" w:line="360" w:lineRule="exact"/>
        <w:rPr>
          <w:sz w:val="28"/>
          <w:szCs w:val="28"/>
          <w:lang w:val="nl-NL"/>
        </w:rPr>
      </w:pPr>
      <w:r w:rsidRPr="00400B24">
        <w:rPr>
          <w:sz w:val="28"/>
          <w:szCs w:val="28"/>
          <w:lang w:val="nl-NL"/>
        </w:rPr>
        <w:tab/>
        <w:t>Tuyến đường vận chuyển là cố định, trong đó có một phần là đường chuyên dụng và một phần là tuyến đường giao thông của địa phương.</w:t>
      </w:r>
      <w:r w:rsidRPr="00400B24">
        <w:rPr>
          <w:sz w:val="28"/>
          <w:szCs w:val="28"/>
          <w:lang w:val="nl-NL"/>
        </w:rPr>
        <w:tab/>
      </w:r>
    </w:p>
    <w:p w14:paraId="5C05894E" w14:textId="77777777" w:rsidR="00281B51" w:rsidRPr="00400B24" w:rsidRDefault="00281B51" w:rsidP="00281B51">
      <w:pPr>
        <w:spacing w:before="60" w:after="60" w:line="360" w:lineRule="exact"/>
        <w:ind w:firstLine="720"/>
        <w:rPr>
          <w:sz w:val="28"/>
          <w:szCs w:val="28"/>
          <w:lang w:val="nl-NL"/>
        </w:rPr>
      </w:pPr>
      <w:r w:rsidRPr="00400B24">
        <w:rPr>
          <w:sz w:val="28"/>
          <w:szCs w:val="28"/>
          <w:lang w:val="nl-NL"/>
        </w:rPr>
        <w:lastRenderedPageBreak/>
        <w:t>- Đối với tuyến đường chuyên dụng: Nhà thầu có trách nhiệm tuân thủ các quy định nội bộ.</w:t>
      </w:r>
    </w:p>
    <w:p w14:paraId="5B71547E" w14:textId="77777777" w:rsidR="00281B51" w:rsidRPr="00400B24" w:rsidRDefault="00281B51" w:rsidP="00281B51">
      <w:pPr>
        <w:spacing w:before="60" w:after="60" w:line="360" w:lineRule="exact"/>
        <w:rPr>
          <w:sz w:val="28"/>
          <w:szCs w:val="28"/>
          <w:lang w:val="nl-NL"/>
        </w:rPr>
      </w:pPr>
      <w:r w:rsidRPr="00400B24">
        <w:rPr>
          <w:sz w:val="28"/>
          <w:szCs w:val="28"/>
          <w:lang w:val="nl-NL"/>
        </w:rPr>
        <w:tab/>
        <w:t>- Đối với tuyến đường giao thông của địa phương: Nhà thầu đảm bảo tuân thủ tuyệt đối các quy định về an toàn giao thông đường bộ trong suốt quá trình thực hiện gói thầu trên tuyến đường này.</w:t>
      </w:r>
    </w:p>
    <w:p w14:paraId="25C359D7" w14:textId="77777777" w:rsidR="00281B51" w:rsidRPr="00400B24" w:rsidRDefault="00281B51" w:rsidP="00281B51">
      <w:pPr>
        <w:spacing w:before="60" w:after="60" w:line="360" w:lineRule="exact"/>
        <w:ind w:firstLine="709"/>
        <w:rPr>
          <w:sz w:val="28"/>
          <w:szCs w:val="28"/>
          <w:lang w:val="nl-NL"/>
        </w:rPr>
      </w:pPr>
      <w:r w:rsidRPr="00400B24">
        <w:rPr>
          <w:sz w:val="28"/>
          <w:szCs w:val="28"/>
          <w:lang w:val="nl-NL"/>
        </w:rPr>
        <w:t>- Các chi phí liên quan phát sinh để đáp ứng các quy định của địa phương nhà thầu chịu trách nhiệm chi trả.</w:t>
      </w:r>
    </w:p>
    <w:p w14:paraId="7AB516B4" w14:textId="275F12E5" w:rsidR="00281B51" w:rsidRPr="00400B24" w:rsidRDefault="00281B51" w:rsidP="00723C37">
      <w:pPr>
        <w:spacing w:before="60" w:after="60" w:line="360" w:lineRule="exact"/>
        <w:ind w:firstLine="709"/>
        <w:rPr>
          <w:b/>
          <w:sz w:val="28"/>
          <w:szCs w:val="28"/>
          <w:lang w:val="nl-NL"/>
        </w:rPr>
      </w:pPr>
      <w:r w:rsidRPr="00400B24">
        <w:rPr>
          <w:b/>
          <w:sz w:val="28"/>
          <w:szCs w:val="28"/>
          <w:lang w:val="nl-NL"/>
        </w:rPr>
        <w:t>3.5. Yếu tố thương mại</w:t>
      </w:r>
    </w:p>
    <w:p w14:paraId="32302808" w14:textId="0BFB5DDA" w:rsidR="00396A4C" w:rsidRPr="00400B24" w:rsidRDefault="00396A4C" w:rsidP="00396A4C">
      <w:pPr>
        <w:autoSpaceDE w:val="0"/>
        <w:autoSpaceDN w:val="0"/>
        <w:adjustRightInd w:val="0"/>
        <w:spacing w:before="120" w:after="120"/>
        <w:ind w:left="87" w:right="142" w:firstLine="635"/>
        <w:rPr>
          <w:bCs/>
          <w:sz w:val="28"/>
          <w:szCs w:val="28"/>
          <w:lang w:val="nl-NL"/>
        </w:rPr>
      </w:pPr>
      <w:r w:rsidRPr="00400B24">
        <w:rPr>
          <w:bCs/>
          <w:sz w:val="28"/>
          <w:szCs w:val="28"/>
          <w:lang w:val="nl-NL"/>
        </w:rPr>
        <w:t xml:space="preserve">Việc thực hiện điều chỉnh đơn giá bốc xúc, vận chuyển được quy định tại Quyết định số 9088/QĐ-ĐB ngày 05/11/2025 của </w:t>
      </w:r>
      <w:r w:rsidRPr="00400B24">
        <w:rPr>
          <w:sz w:val="28"/>
          <w:szCs w:val="28"/>
          <w:lang w:val="nl-NL"/>
        </w:rPr>
        <w:t xml:space="preserve">Tổng công ty Đông Bắc về việc ban hành đơn giá thuê ngoài năm 2026, cụ thể </w:t>
      </w:r>
      <w:r w:rsidRPr="00400B24">
        <w:rPr>
          <w:bCs/>
          <w:sz w:val="28"/>
          <w:szCs w:val="28"/>
          <w:lang w:val="nl-NL"/>
        </w:rPr>
        <w:t>như sau:</w:t>
      </w:r>
    </w:p>
    <w:p w14:paraId="02F87E25" w14:textId="1458D1A5" w:rsidR="00396A4C" w:rsidRPr="00400B24" w:rsidRDefault="00396A4C" w:rsidP="00396A4C">
      <w:pPr>
        <w:autoSpaceDE w:val="0"/>
        <w:autoSpaceDN w:val="0"/>
        <w:adjustRightInd w:val="0"/>
        <w:spacing w:before="120" w:after="120"/>
        <w:ind w:left="85" w:right="142" w:firstLine="635"/>
        <w:rPr>
          <w:bCs/>
          <w:sz w:val="28"/>
          <w:szCs w:val="28"/>
          <w:lang w:val="nl-NL"/>
        </w:rPr>
      </w:pPr>
      <w:r w:rsidRPr="00400B24">
        <w:rPr>
          <w:bCs/>
          <w:sz w:val="28"/>
          <w:szCs w:val="28"/>
          <w:lang w:val="nl-NL"/>
        </w:rPr>
        <w:t>+ Giá dầu Diezel 0,05S-II tăng/giảm ≤ 875 đồng/lít so với giá dầu Diezel 0,05S-II tại Quyết định ban hành đơn giá thuê ngoài năm 2026 TCT Đông Bắc là 17.500 đ/lít, chưa bao gồm thuế GTGT thì không điều chỉnh đơn giá bốc xúc, vận chuyển trong hợp đồng.</w:t>
      </w:r>
    </w:p>
    <w:p w14:paraId="7C7C77BF" w14:textId="2E6F5B2B" w:rsidR="00396A4C" w:rsidRPr="00400B24" w:rsidRDefault="00396A4C" w:rsidP="00396A4C">
      <w:pPr>
        <w:autoSpaceDE w:val="0"/>
        <w:autoSpaceDN w:val="0"/>
        <w:adjustRightInd w:val="0"/>
        <w:spacing w:before="120" w:after="120"/>
        <w:ind w:left="85" w:right="142" w:firstLine="635"/>
        <w:rPr>
          <w:bCs/>
          <w:sz w:val="28"/>
          <w:szCs w:val="28"/>
          <w:lang w:val="nl-NL"/>
        </w:rPr>
      </w:pPr>
      <w:r w:rsidRPr="00400B24">
        <w:rPr>
          <w:bCs/>
          <w:sz w:val="28"/>
          <w:szCs w:val="28"/>
          <w:lang w:val="nl-NL"/>
        </w:rPr>
        <w:t>+ Giá dầu Diezel 0,05S-II tăng/giảm &gt; 875 đồng/lít so với giá dầu Diezel 0,05S-II tại Quyết định ban hành đơn giá thuê ngoài năm 2026 TCT Đông Bắc là 17.500 đ/lít, chưa bao gồm thuế thì điều chỉnh tăng/giảm đơn giá bốc xúc, vận chuyển trong hợp đông.</w:t>
      </w:r>
    </w:p>
    <w:p w14:paraId="4E0AC71B" w14:textId="23C6A236" w:rsidR="00396A4C" w:rsidRPr="00400B24" w:rsidRDefault="00396A4C" w:rsidP="00396A4C">
      <w:pPr>
        <w:autoSpaceDE w:val="0"/>
        <w:autoSpaceDN w:val="0"/>
        <w:adjustRightInd w:val="0"/>
        <w:spacing w:before="120" w:after="120"/>
        <w:ind w:left="85" w:right="142" w:firstLine="635"/>
        <w:rPr>
          <w:bCs/>
          <w:sz w:val="28"/>
          <w:szCs w:val="28"/>
          <w:lang w:val="nl-NL"/>
        </w:rPr>
      </w:pPr>
      <w:r w:rsidRPr="00400B24">
        <w:rPr>
          <w:bCs/>
          <w:sz w:val="28"/>
          <w:szCs w:val="28"/>
          <w:lang w:val="nl-NL"/>
        </w:rPr>
        <w:t>Phương thức điều chỉnh đơn giá bốc xúc, vận chuyển = Đơn giá bốc xúc, vận chuyển tại thời điểm ký hợp đồng  + Chi phí nhiên liệu tăng/giảm trong đơn giá (Δ</w:t>
      </w:r>
      <w:r w:rsidRPr="00400B24">
        <w:rPr>
          <w:bCs/>
          <w:sz w:val="28"/>
          <w:szCs w:val="28"/>
          <w:vertAlign w:val="subscript"/>
          <w:lang w:val="nl-NL"/>
        </w:rPr>
        <w:t>NL</w:t>
      </w:r>
      <w:r w:rsidRPr="00400B24">
        <w:rPr>
          <w:bCs/>
          <w:sz w:val="28"/>
          <w:szCs w:val="28"/>
          <w:lang w:val="nl-NL"/>
        </w:rPr>
        <w:t>).</w:t>
      </w:r>
    </w:p>
    <w:p w14:paraId="0E85463B" w14:textId="77777777" w:rsidR="00396A4C" w:rsidRPr="00400B24" w:rsidRDefault="00396A4C" w:rsidP="00396A4C">
      <w:pPr>
        <w:autoSpaceDE w:val="0"/>
        <w:autoSpaceDN w:val="0"/>
        <w:adjustRightInd w:val="0"/>
        <w:spacing w:before="120" w:after="120"/>
        <w:ind w:left="85" w:right="142" w:firstLine="635"/>
        <w:rPr>
          <w:bCs/>
          <w:sz w:val="28"/>
          <w:szCs w:val="28"/>
          <w:lang w:val="nl-NL"/>
        </w:rPr>
      </w:pPr>
      <w:r w:rsidRPr="00400B24">
        <w:rPr>
          <w:bCs/>
          <w:sz w:val="28"/>
          <w:szCs w:val="28"/>
          <w:lang w:val="nl-NL"/>
        </w:rPr>
        <w:t>Chi phí nhiên liệu tăng/giảm trong đơn giá (ΔNL) được xác định như sau: Δ</w:t>
      </w:r>
      <w:r w:rsidRPr="00400B24">
        <w:rPr>
          <w:bCs/>
          <w:sz w:val="28"/>
          <w:szCs w:val="28"/>
          <w:vertAlign w:val="subscript"/>
          <w:lang w:val="nl-NL"/>
        </w:rPr>
        <w:t>NL</w:t>
      </w:r>
      <w:r w:rsidRPr="00400B24">
        <w:rPr>
          <w:bCs/>
          <w:sz w:val="28"/>
          <w:szCs w:val="28"/>
          <w:lang w:val="nl-NL"/>
        </w:rPr>
        <w:t xml:space="preserve"> = (NL</w:t>
      </w:r>
      <w:r w:rsidRPr="00400B24">
        <w:rPr>
          <w:bCs/>
          <w:sz w:val="28"/>
          <w:szCs w:val="28"/>
          <w:vertAlign w:val="subscript"/>
          <w:lang w:val="nl-NL"/>
        </w:rPr>
        <w:t>đc</w:t>
      </w:r>
      <w:r w:rsidRPr="00400B24">
        <w:rPr>
          <w:bCs/>
          <w:sz w:val="28"/>
          <w:szCs w:val="28"/>
          <w:lang w:val="nl-NL"/>
        </w:rPr>
        <w:t xml:space="preserve"> / NL</w:t>
      </w:r>
      <w:r w:rsidRPr="00400B24">
        <w:rPr>
          <w:bCs/>
          <w:sz w:val="28"/>
          <w:szCs w:val="28"/>
          <w:vertAlign w:val="subscript"/>
          <w:lang w:val="nl-NL"/>
        </w:rPr>
        <w:t>g</w:t>
      </w:r>
      <w:r w:rsidRPr="00400B24">
        <w:rPr>
          <w:bCs/>
          <w:sz w:val="28"/>
          <w:szCs w:val="28"/>
          <w:lang w:val="nl-NL"/>
        </w:rPr>
        <w:t>) * CP</w:t>
      </w:r>
      <w:r w:rsidRPr="00400B24">
        <w:rPr>
          <w:bCs/>
          <w:sz w:val="28"/>
          <w:szCs w:val="28"/>
          <w:vertAlign w:val="subscript"/>
          <w:lang w:val="nl-NL"/>
        </w:rPr>
        <w:t>NL</w:t>
      </w:r>
      <w:r w:rsidRPr="00400B24">
        <w:rPr>
          <w:bCs/>
          <w:sz w:val="28"/>
          <w:szCs w:val="28"/>
          <w:lang w:val="nl-NL"/>
        </w:rPr>
        <w:t xml:space="preserve"> – CP</w:t>
      </w:r>
      <w:r w:rsidRPr="00400B24">
        <w:rPr>
          <w:bCs/>
          <w:sz w:val="28"/>
          <w:szCs w:val="28"/>
          <w:vertAlign w:val="subscript"/>
          <w:lang w:val="nl-NL"/>
        </w:rPr>
        <w:t>NL</w:t>
      </w:r>
    </w:p>
    <w:p w14:paraId="29E3FCBB" w14:textId="7DD07AB9" w:rsidR="00396A4C" w:rsidRPr="00400B24" w:rsidRDefault="00396A4C" w:rsidP="00396A4C">
      <w:pPr>
        <w:autoSpaceDE w:val="0"/>
        <w:autoSpaceDN w:val="0"/>
        <w:adjustRightInd w:val="0"/>
        <w:spacing w:before="120" w:after="120"/>
        <w:ind w:left="85" w:right="142"/>
        <w:rPr>
          <w:bCs/>
          <w:sz w:val="28"/>
          <w:szCs w:val="28"/>
          <w:lang w:val="nl-NL"/>
        </w:rPr>
      </w:pPr>
      <w:r w:rsidRPr="00400B24">
        <w:rPr>
          <w:bCs/>
          <w:sz w:val="28"/>
          <w:szCs w:val="28"/>
          <w:lang w:val="nl-NL"/>
        </w:rPr>
        <w:t xml:space="preserve">            </w:t>
      </w:r>
      <w:r w:rsidRPr="00400B24">
        <w:rPr>
          <w:bCs/>
          <w:sz w:val="28"/>
          <w:szCs w:val="28"/>
          <w:lang w:val="nl-NL"/>
        </w:rPr>
        <w:tab/>
        <w:t>NL</w:t>
      </w:r>
      <w:r w:rsidRPr="00400B24">
        <w:rPr>
          <w:bCs/>
          <w:sz w:val="28"/>
          <w:szCs w:val="28"/>
          <w:vertAlign w:val="subscript"/>
          <w:lang w:val="nl-NL"/>
        </w:rPr>
        <w:t>đc</w:t>
      </w:r>
      <w:r w:rsidRPr="00400B24">
        <w:rPr>
          <w:bCs/>
          <w:sz w:val="28"/>
          <w:szCs w:val="28"/>
          <w:lang w:val="nl-NL"/>
        </w:rPr>
        <w:t>: là giá dầu Diezel 0,05S-II tại thời điểm thực hiện có sự biến động tăng/giảm &gt; 875 đồng/lít.</w:t>
      </w:r>
    </w:p>
    <w:p w14:paraId="2A636DB9" w14:textId="4201148D" w:rsidR="00396A4C" w:rsidRPr="00400B24" w:rsidRDefault="00396A4C" w:rsidP="00396A4C">
      <w:pPr>
        <w:autoSpaceDE w:val="0"/>
        <w:autoSpaceDN w:val="0"/>
        <w:adjustRightInd w:val="0"/>
        <w:spacing w:before="120" w:after="120"/>
        <w:ind w:left="85" w:right="142"/>
        <w:rPr>
          <w:bCs/>
          <w:sz w:val="28"/>
          <w:szCs w:val="28"/>
          <w:lang w:val="nl-NL"/>
        </w:rPr>
      </w:pPr>
      <w:r w:rsidRPr="00400B24">
        <w:rPr>
          <w:bCs/>
          <w:sz w:val="28"/>
          <w:szCs w:val="28"/>
          <w:lang w:val="nl-NL"/>
        </w:rPr>
        <w:t xml:space="preserve">            </w:t>
      </w:r>
      <w:r w:rsidRPr="00400B24">
        <w:rPr>
          <w:bCs/>
          <w:sz w:val="28"/>
          <w:szCs w:val="28"/>
          <w:lang w:val="nl-NL"/>
        </w:rPr>
        <w:tab/>
        <w:t>NL</w:t>
      </w:r>
      <w:r w:rsidRPr="00400B24">
        <w:rPr>
          <w:bCs/>
          <w:sz w:val="28"/>
          <w:szCs w:val="28"/>
          <w:vertAlign w:val="subscript"/>
          <w:lang w:val="nl-NL"/>
        </w:rPr>
        <w:t>g</w:t>
      </w:r>
      <w:r w:rsidRPr="00400B24">
        <w:rPr>
          <w:bCs/>
          <w:sz w:val="28"/>
          <w:szCs w:val="28"/>
          <w:lang w:val="nl-NL"/>
        </w:rPr>
        <w:t>: là giá dầu Diezel 0,05S-II tại Quyết định ban hành đơn giá thuê ngoài năm 2026 TCT Đông Bắc là 17.500 đ/lít.</w:t>
      </w:r>
    </w:p>
    <w:p w14:paraId="4D6E90FD" w14:textId="047C382F" w:rsidR="00396A4C" w:rsidRPr="00400B24" w:rsidRDefault="00396A4C" w:rsidP="00396A4C">
      <w:pPr>
        <w:autoSpaceDE w:val="0"/>
        <w:autoSpaceDN w:val="0"/>
        <w:adjustRightInd w:val="0"/>
        <w:spacing w:before="120" w:after="120"/>
        <w:ind w:left="85" w:right="142"/>
        <w:rPr>
          <w:sz w:val="28"/>
          <w:szCs w:val="28"/>
        </w:rPr>
      </w:pPr>
      <w:r w:rsidRPr="00400B24">
        <w:rPr>
          <w:bCs/>
          <w:sz w:val="28"/>
          <w:szCs w:val="28"/>
          <w:lang w:val="nl-NL"/>
        </w:rPr>
        <w:t xml:space="preserve">            </w:t>
      </w:r>
      <w:r w:rsidRPr="00400B24">
        <w:rPr>
          <w:bCs/>
          <w:sz w:val="28"/>
          <w:szCs w:val="28"/>
          <w:lang w:val="nl-NL"/>
        </w:rPr>
        <w:tab/>
        <w:t>CP</w:t>
      </w:r>
      <w:r w:rsidRPr="00400B24">
        <w:rPr>
          <w:bCs/>
          <w:sz w:val="28"/>
          <w:szCs w:val="28"/>
          <w:vertAlign w:val="subscript"/>
          <w:lang w:val="nl-NL"/>
        </w:rPr>
        <w:t>NL</w:t>
      </w:r>
      <w:r w:rsidRPr="00400B24">
        <w:rPr>
          <w:bCs/>
          <w:sz w:val="28"/>
          <w:szCs w:val="28"/>
          <w:lang w:val="nl-NL"/>
        </w:rPr>
        <w:t>: là chi phí nhiên liệu trong đơn giá bốc xúc</w:t>
      </w:r>
      <w:r w:rsidR="00E86C1E" w:rsidRPr="00400B24">
        <w:rPr>
          <w:bCs/>
          <w:sz w:val="28"/>
          <w:szCs w:val="28"/>
          <w:lang w:val="nl-NL"/>
        </w:rPr>
        <w:t>, vận chuyển trong hợp đồng được ký kết</w:t>
      </w:r>
      <w:r w:rsidRPr="00400B24">
        <w:rPr>
          <w:bCs/>
          <w:sz w:val="28"/>
          <w:szCs w:val="28"/>
          <w:lang w:val="nl-NL"/>
        </w:rPr>
        <w:t xml:space="preserve">. </w:t>
      </w:r>
    </w:p>
    <w:p w14:paraId="10350409" w14:textId="77777777" w:rsidR="00281B51" w:rsidRPr="00400B24" w:rsidRDefault="00281B51" w:rsidP="00281B51">
      <w:pPr>
        <w:spacing w:before="60" w:after="60"/>
        <w:ind w:firstLine="709"/>
        <w:rPr>
          <w:b/>
          <w:sz w:val="28"/>
          <w:szCs w:val="28"/>
          <w:lang w:val="nl-NL"/>
        </w:rPr>
      </w:pPr>
      <w:r w:rsidRPr="00400B24">
        <w:rPr>
          <w:b/>
          <w:sz w:val="28"/>
          <w:szCs w:val="28"/>
          <w:lang w:val="nl-NL"/>
        </w:rPr>
        <w:t>4. Giải pháp và phương pháp luận:</w:t>
      </w:r>
    </w:p>
    <w:p w14:paraId="5CE87E7F" w14:textId="77777777" w:rsidR="00281B51" w:rsidRPr="00400B24" w:rsidRDefault="00281B51" w:rsidP="00281B51">
      <w:pPr>
        <w:spacing w:before="60" w:after="60" w:line="360" w:lineRule="exact"/>
        <w:ind w:firstLine="709"/>
        <w:rPr>
          <w:sz w:val="28"/>
          <w:szCs w:val="28"/>
          <w:lang w:val="nl-NL"/>
        </w:rPr>
      </w:pPr>
      <w:r w:rsidRPr="00400B24">
        <w:rPr>
          <w:sz w:val="28"/>
          <w:szCs w:val="28"/>
          <w:lang w:val="nl-NL"/>
        </w:rPr>
        <w:t xml:space="preserve">Nhà thầu chuẩn bị đề xuất giải pháp, phương pháp luận tổng quát thực hiện dịch vụ theo các nội dung quy định tại Chương V, gồm các phần như sau: </w:t>
      </w:r>
    </w:p>
    <w:p w14:paraId="5E49B4F0" w14:textId="77777777" w:rsidR="00281B51" w:rsidRPr="00400B24" w:rsidRDefault="00281B51" w:rsidP="00281B51">
      <w:pPr>
        <w:spacing w:before="60" w:after="60"/>
        <w:ind w:firstLine="709"/>
        <w:rPr>
          <w:spacing w:val="-2"/>
          <w:sz w:val="28"/>
          <w:szCs w:val="28"/>
          <w:lang w:val="nl-NL"/>
        </w:rPr>
      </w:pPr>
      <w:r w:rsidRPr="00400B24">
        <w:rPr>
          <w:spacing w:val="-2"/>
          <w:sz w:val="28"/>
          <w:szCs w:val="28"/>
          <w:lang w:val="nl-NL"/>
        </w:rPr>
        <w:t>1. Giải pháp và phương pháp luận;</w:t>
      </w:r>
    </w:p>
    <w:p w14:paraId="4CAF3D1E" w14:textId="77777777" w:rsidR="00281B51" w:rsidRPr="00400B24" w:rsidRDefault="00281B51" w:rsidP="00281B51">
      <w:pPr>
        <w:spacing w:before="60" w:after="60"/>
        <w:ind w:firstLine="709"/>
        <w:rPr>
          <w:spacing w:val="-2"/>
          <w:sz w:val="28"/>
          <w:szCs w:val="28"/>
          <w:lang w:val="nl-NL"/>
        </w:rPr>
      </w:pPr>
      <w:r w:rsidRPr="00400B24">
        <w:rPr>
          <w:spacing w:val="-2"/>
          <w:sz w:val="28"/>
          <w:szCs w:val="28"/>
          <w:lang w:val="nl-NL"/>
        </w:rPr>
        <w:t>2.  Kế hoạch công tác.</w:t>
      </w:r>
    </w:p>
    <w:p w14:paraId="79C8913F" w14:textId="77777777" w:rsidR="00281B51" w:rsidRPr="00400B24" w:rsidRDefault="00281B51" w:rsidP="00281B51">
      <w:pPr>
        <w:spacing w:before="60" w:after="60"/>
        <w:ind w:firstLine="709"/>
        <w:rPr>
          <w:b/>
          <w:sz w:val="28"/>
          <w:szCs w:val="28"/>
          <w:lang w:val="nl-NL"/>
        </w:rPr>
      </w:pPr>
      <w:r w:rsidRPr="00400B24">
        <w:rPr>
          <w:b/>
          <w:sz w:val="28"/>
          <w:szCs w:val="28"/>
          <w:lang w:val="nl-NL"/>
        </w:rPr>
        <w:t>5. Quy định về kiểm tra, nghiệm thu sản phẩm:</w:t>
      </w:r>
    </w:p>
    <w:p w14:paraId="1E790690" w14:textId="77777777" w:rsidR="00281B51" w:rsidRPr="00400B24" w:rsidRDefault="00281B51" w:rsidP="00281B51">
      <w:pPr>
        <w:spacing w:before="60" w:after="60"/>
        <w:ind w:left="709"/>
        <w:rPr>
          <w:spacing w:val="-2"/>
          <w:sz w:val="28"/>
          <w:szCs w:val="28"/>
          <w:lang w:val="nl-NL"/>
        </w:rPr>
      </w:pPr>
      <w:r w:rsidRPr="00400B24">
        <w:rPr>
          <w:spacing w:val="-2"/>
          <w:sz w:val="28"/>
          <w:szCs w:val="28"/>
          <w:lang w:val="nl-NL"/>
        </w:rPr>
        <w:lastRenderedPageBreak/>
        <w:t xml:space="preserve">Trên cơ sở các nội dung công việc theo hợp đồng đã được ký kết giữa hai bên. </w:t>
      </w:r>
    </w:p>
    <w:p w14:paraId="23FD92B6" w14:textId="77777777" w:rsidR="00281B51" w:rsidRPr="00400B24" w:rsidRDefault="00281B51" w:rsidP="00281B51">
      <w:pPr>
        <w:spacing w:before="60" w:after="60"/>
        <w:ind w:firstLine="709"/>
        <w:rPr>
          <w:spacing w:val="-2"/>
          <w:sz w:val="28"/>
          <w:szCs w:val="28"/>
          <w:lang w:val="nl-NL"/>
        </w:rPr>
      </w:pPr>
      <w:r w:rsidRPr="00400B24">
        <w:rPr>
          <w:spacing w:val="-2"/>
          <w:sz w:val="28"/>
          <w:szCs w:val="28"/>
          <w:lang w:val="nl-NL"/>
        </w:rPr>
        <w:t>+ Hàng tháng hai bên cùng nhau lập biên bản nghiệm thu toàn bộ khối lượng mà thiết bị của Nhà thầu đã thực hiện trong tháng. Khối lượng được nghiệm thu phải được lập thành biên bản và ký xác nhận giữa hai bên.</w:t>
      </w:r>
    </w:p>
    <w:p w14:paraId="51F22622" w14:textId="77777777" w:rsidR="00281B51" w:rsidRPr="00400B24" w:rsidRDefault="00281B51" w:rsidP="00281B51">
      <w:pPr>
        <w:spacing w:before="60" w:after="60"/>
        <w:ind w:firstLine="709"/>
        <w:rPr>
          <w:spacing w:val="-2"/>
          <w:sz w:val="28"/>
          <w:szCs w:val="28"/>
          <w:lang w:val="nl-NL"/>
        </w:rPr>
      </w:pPr>
      <w:r w:rsidRPr="00400B24">
        <w:rPr>
          <w:spacing w:val="-2"/>
          <w:sz w:val="28"/>
          <w:szCs w:val="28"/>
          <w:lang w:val="nl-NL"/>
        </w:rPr>
        <w:t>+ Lập biên bản quyết toán khối lượng thực hiện vào ngày hoàn thành công việc trong tháng.</w:t>
      </w:r>
    </w:p>
    <w:p w14:paraId="707F026E" w14:textId="19BD2F9B" w:rsidR="0027275C" w:rsidRPr="00400B24" w:rsidRDefault="00281B51" w:rsidP="00281B51">
      <w:pPr>
        <w:spacing w:before="120" w:after="120"/>
        <w:ind w:firstLine="709"/>
        <w:rPr>
          <w:i/>
          <w:spacing w:val="-2"/>
          <w:sz w:val="28"/>
          <w:szCs w:val="28"/>
          <w:lang w:val="nl-NL"/>
        </w:rPr>
      </w:pPr>
      <w:r w:rsidRPr="00400B24">
        <w:rPr>
          <w:spacing w:val="-2"/>
          <w:sz w:val="28"/>
          <w:szCs w:val="28"/>
          <w:lang w:val="pt-BR"/>
        </w:rPr>
        <w:t>- Trong quá trình bên nhà thầu thực hiện các công việc theo thỏa thuận, Bên mời thầu, chủ đầu tư có quyền kiểm tra thường xuyên hoặc đột xuất mà không cần báo trước cho Nhà thầu.</w:t>
      </w:r>
      <w:r w:rsidR="008014C7" w:rsidRPr="00400B24">
        <w:rPr>
          <w:spacing w:val="-2"/>
          <w:sz w:val="28"/>
          <w:szCs w:val="28"/>
          <w:lang w:val="pt-BR"/>
        </w:rPr>
        <w:t xml:space="preserve"> </w:t>
      </w:r>
    </w:p>
    <w:bookmarkEnd w:id="0"/>
    <w:bookmarkEnd w:id="1"/>
    <w:p w14:paraId="0FF420E2" w14:textId="344CAA2F" w:rsidR="00445F32" w:rsidRPr="00400B24" w:rsidRDefault="00445F32" w:rsidP="00400B24">
      <w:pPr>
        <w:spacing w:before="120" w:after="120"/>
        <w:jc w:val="center"/>
        <w:outlineLvl w:val="0"/>
        <w:rPr>
          <w:sz w:val="28"/>
          <w:szCs w:val="28"/>
          <w:lang w:val="vi-VN"/>
        </w:rPr>
      </w:pPr>
    </w:p>
    <w:p w14:paraId="16E80EC4" w14:textId="77777777" w:rsidR="00445F32" w:rsidRPr="00400B24" w:rsidRDefault="00445F32" w:rsidP="0081726D">
      <w:pPr>
        <w:pStyle w:val="BodyText"/>
        <w:spacing w:before="120" w:after="120"/>
        <w:ind w:firstLine="567"/>
        <w:rPr>
          <w:sz w:val="28"/>
          <w:szCs w:val="28"/>
          <w:lang w:val="en-US"/>
        </w:rPr>
      </w:pPr>
    </w:p>
    <w:sectPr w:rsidR="00445F32" w:rsidRPr="00400B24" w:rsidSect="00400B24">
      <w:headerReference w:type="default" r:id="rId8"/>
      <w:headerReference w:type="first" r:id="rId9"/>
      <w:footnotePr>
        <w:numRestart w:val="eachPage"/>
      </w:footnotePr>
      <w:pgSz w:w="11907" w:h="16839" w:code="9"/>
      <w:pgMar w:top="1134" w:right="1134" w:bottom="1701" w:left="1134"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7027C" w14:textId="77777777" w:rsidR="00BA6BBF" w:rsidRDefault="00BA6BBF" w:rsidP="00E05AF1">
      <w:r>
        <w:separator/>
      </w:r>
    </w:p>
  </w:endnote>
  <w:endnote w:type="continuationSeparator" w:id="0">
    <w:p w14:paraId="2BAE9602" w14:textId="77777777" w:rsidR="00BA6BBF" w:rsidRDefault="00BA6BBF" w:rsidP="00E05AF1">
      <w:r>
        <w:continuationSeparator/>
      </w:r>
    </w:p>
  </w:endnote>
  <w:endnote w:type="continuationNotice" w:id="1">
    <w:p w14:paraId="79E4086F" w14:textId="77777777" w:rsidR="00BA6BBF" w:rsidRDefault="00BA6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0A87" w:usb1="08000000" w:usb2="00000008" w:usb3="00000000" w:csb0="000001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Courier New"/>
    <w:charset w:val="00"/>
    <w:family w:val="swiss"/>
    <w:pitch w:val="variable"/>
    <w:sig w:usb0="00000003" w:usb1="00000000" w:usb2="00000000" w:usb3="00000000" w:csb0="00000001" w:csb1="00000000"/>
  </w:font>
  <w:font w:name=".VnArial">
    <w:altName w:val="Arial"/>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Yu Mincho">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6F005" w14:textId="77777777" w:rsidR="00BA6BBF" w:rsidRDefault="00BA6BBF" w:rsidP="00E05AF1">
      <w:r>
        <w:separator/>
      </w:r>
    </w:p>
  </w:footnote>
  <w:footnote w:type="continuationSeparator" w:id="0">
    <w:p w14:paraId="0A14E8CF" w14:textId="77777777" w:rsidR="00BA6BBF" w:rsidRDefault="00BA6BBF" w:rsidP="00E05AF1">
      <w:r>
        <w:continuationSeparator/>
      </w:r>
    </w:p>
  </w:footnote>
  <w:footnote w:type="continuationNotice" w:id="1">
    <w:p w14:paraId="670555CC" w14:textId="77777777" w:rsidR="00BA6BBF" w:rsidRDefault="00BA6BB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869793661"/>
      <w:docPartObj>
        <w:docPartGallery w:val="Page Numbers (Top of Page)"/>
        <w:docPartUnique/>
      </w:docPartObj>
    </w:sdtPr>
    <w:sdtEndPr>
      <w:rPr>
        <w:noProof/>
      </w:rPr>
    </w:sdtEndPr>
    <w:sdtContent>
      <w:p w14:paraId="7465FFCF" w14:textId="125E0C88" w:rsidR="00675D35" w:rsidRPr="00D75370" w:rsidRDefault="00675D35">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1C734A">
          <w:rPr>
            <w:noProof/>
            <w:sz w:val="26"/>
            <w:szCs w:val="26"/>
          </w:rPr>
          <w:t>5</w:t>
        </w:r>
        <w:r w:rsidRPr="00D75370">
          <w:rPr>
            <w:noProof/>
            <w:sz w:val="26"/>
            <w:szCs w:val="26"/>
          </w:rPr>
          <w:fldChar w:fldCharType="end"/>
        </w:r>
      </w:p>
    </w:sdtContent>
  </w:sdt>
  <w:p w14:paraId="174B3581" w14:textId="77777777" w:rsidR="00675D35" w:rsidRPr="00D75370" w:rsidRDefault="00675D35">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C30B0" w14:textId="77777777" w:rsidR="00675D35" w:rsidRPr="00D27D0F" w:rsidRDefault="00675D35" w:rsidP="004036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2F3C70"/>
    <w:multiLevelType w:val="multilevel"/>
    <w:tmpl w:val="4BDE1C9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9"/>
  </w:num>
  <w:num w:numId="3">
    <w:abstractNumId w:val="3"/>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num>
  <w:num w:numId="8">
    <w:abstractNumId w:val="1"/>
  </w:num>
  <w:num w:numId="9">
    <w:abstractNumId w:val="8"/>
  </w:num>
  <w:num w:numId="10">
    <w:abstractNumId w:val="2"/>
  </w:num>
  <w:num w:numId="11">
    <w:abstractNumId w:val="0"/>
  </w:num>
  <w:num w:numId="1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097"/>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69B9"/>
    <w:rsid w:val="000279E8"/>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797"/>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240"/>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4DB"/>
    <w:rsid w:val="00076569"/>
    <w:rsid w:val="0007672A"/>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01C"/>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AC2"/>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1B33"/>
    <w:rsid w:val="001126B4"/>
    <w:rsid w:val="0011275C"/>
    <w:rsid w:val="00112772"/>
    <w:rsid w:val="00112BFB"/>
    <w:rsid w:val="00112C65"/>
    <w:rsid w:val="001140DB"/>
    <w:rsid w:val="00114D93"/>
    <w:rsid w:val="001154DE"/>
    <w:rsid w:val="00115684"/>
    <w:rsid w:val="001156AC"/>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176"/>
    <w:rsid w:val="0012785F"/>
    <w:rsid w:val="00130C30"/>
    <w:rsid w:val="0013134D"/>
    <w:rsid w:val="0013233E"/>
    <w:rsid w:val="001323B7"/>
    <w:rsid w:val="00132DD0"/>
    <w:rsid w:val="0013354E"/>
    <w:rsid w:val="00133D9C"/>
    <w:rsid w:val="0013425E"/>
    <w:rsid w:val="00135DEF"/>
    <w:rsid w:val="00136023"/>
    <w:rsid w:val="00136751"/>
    <w:rsid w:val="00136EA9"/>
    <w:rsid w:val="00136F8A"/>
    <w:rsid w:val="001400C7"/>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1B4"/>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34A"/>
    <w:rsid w:val="001C7970"/>
    <w:rsid w:val="001C7A51"/>
    <w:rsid w:val="001D0C6B"/>
    <w:rsid w:val="001D1325"/>
    <w:rsid w:val="001D169E"/>
    <w:rsid w:val="001D1911"/>
    <w:rsid w:val="001D198B"/>
    <w:rsid w:val="001D1ACD"/>
    <w:rsid w:val="001D2262"/>
    <w:rsid w:val="001D25C5"/>
    <w:rsid w:val="001D3B9C"/>
    <w:rsid w:val="001D3BC4"/>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95F"/>
    <w:rsid w:val="001E6DEE"/>
    <w:rsid w:val="001E715B"/>
    <w:rsid w:val="001E7705"/>
    <w:rsid w:val="001E7708"/>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9F1"/>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35C9"/>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E46"/>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233"/>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5C"/>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1B51"/>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0D92"/>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5D5A"/>
    <w:rsid w:val="002A6401"/>
    <w:rsid w:val="002A6570"/>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4E6C"/>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37AC1"/>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5C7"/>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B05"/>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0E22"/>
    <w:rsid w:val="00392177"/>
    <w:rsid w:val="00392C8E"/>
    <w:rsid w:val="00393077"/>
    <w:rsid w:val="00393CA1"/>
    <w:rsid w:val="00393CAC"/>
    <w:rsid w:val="00393F0E"/>
    <w:rsid w:val="0039483C"/>
    <w:rsid w:val="00394B51"/>
    <w:rsid w:val="00394C48"/>
    <w:rsid w:val="003951CD"/>
    <w:rsid w:val="003955BA"/>
    <w:rsid w:val="00395AE5"/>
    <w:rsid w:val="00396A4C"/>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4F0E"/>
    <w:rsid w:val="003A51DF"/>
    <w:rsid w:val="003A6737"/>
    <w:rsid w:val="003A6BF6"/>
    <w:rsid w:val="003A77CE"/>
    <w:rsid w:val="003A7F43"/>
    <w:rsid w:val="003B12F0"/>
    <w:rsid w:val="003B15A9"/>
    <w:rsid w:val="003B1857"/>
    <w:rsid w:val="003B22C7"/>
    <w:rsid w:val="003B281A"/>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4DD"/>
    <w:rsid w:val="00400AE6"/>
    <w:rsid w:val="00400B24"/>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7D9"/>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401"/>
    <w:rsid w:val="00414D74"/>
    <w:rsid w:val="00416097"/>
    <w:rsid w:val="00416793"/>
    <w:rsid w:val="00417289"/>
    <w:rsid w:val="004173B7"/>
    <w:rsid w:val="00417861"/>
    <w:rsid w:val="004204A8"/>
    <w:rsid w:val="004205FC"/>
    <w:rsid w:val="00421401"/>
    <w:rsid w:val="004214DE"/>
    <w:rsid w:val="0042153E"/>
    <w:rsid w:val="004218CC"/>
    <w:rsid w:val="00421C83"/>
    <w:rsid w:val="00421E60"/>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576"/>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C99"/>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B1"/>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8B"/>
    <w:rsid w:val="004C77AD"/>
    <w:rsid w:val="004C787F"/>
    <w:rsid w:val="004C7FD1"/>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BA2"/>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726"/>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4563"/>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3A6F"/>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645"/>
    <w:rsid w:val="00581D03"/>
    <w:rsid w:val="0058308B"/>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4D4"/>
    <w:rsid w:val="0059683E"/>
    <w:rsid w:val="005968B1"/>
    <w:rsid w:val="005968D9"/>
    <w:rsid w:val="00597879"/>
    <w:rsid w:val="00597AB6"/>
    <w:rsid w:val="00597B1A"/>
    <w:rsid w:val="005A052D"/>
    <w:rsid w:val="005A07B7"/>
    <w:rsid w:val="005A1713"/>
    <w:rsid w:val="005A1CE8"/>
    <w:rsid w:val="005A2614"/>
    <w:rsid w:val="005A2792"/>
    <w:rsid w:val="005A3338"/>
    <w:rsid w:val="005A3589"/>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6A1"/>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09BC"/>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9BA"/>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3C36"/>
    <w:rsid w:val="006452C3"/>
    <w:rsid w:val="00645574"/>
    <w:rsid w:val="006458EA"/>
    <w:rsid w:val="00645A32"/>
    <w:rsid w:val="00645B0F"/>
    <w:rsid w:val="00646103"/>
    <w:rsid w:val="006466D6"/>
    <w:rsid w:val="00646787"/>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6FDD"/>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5D35"/>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502"/>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18BC"/>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4B8"/>
    <w:rsid w:val="006C6FB9"/>
    <w:rsid w:val="006C72F8"/>
    <w:rsid w:val="006C74F4"/>
    <w:rsid w:val="006C790D"/>
    <w:rsid w:val="006D0A91"/>
    <w:rsid w:val="006D10BB"/>
    <w:rsid w:val="006D14AD"/>
    <w:rsid w:val="006D2E82"/>
    <w:rsid w:val="006D3E73"/>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5FDB"/>
    <w:rsid w:val="0070745D"/>
    <w:rsid w:val="00707CCB"/>
    <w:rsid w:val="0071029B"/>
    <w:rsid w:val="00710AC4"/>
    <w:rsid w:val="00710B6C"/>
    <w:rsid w:val="00710D93"/>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37"/>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C68"/>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177"/>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37B"/>
    <w:rsid w:val="007C6800"/>
    <w:rsid w:val="007C6BD3"/>
    <w:rsid w:val="007C769C"/>
    <w:rsid w:val="007C7C17"/>
    <w:rsid w:val="007D01F5"/>
    <w:rsid w:val="007D02A8"/>
    <w:rsid w:val="007D047A"/>
    <w:rsid w:val="007D0EB6"/>
    <w:rsid w:val="007D0F43"/>
    <w:rsid w:val="007D11F8"/>
    <w:rsid w:val="007D1226"/>
    <w:rsid w:val="007D14FF"/>
    <w:rsid w:val="007D1998"/>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0E0C"/>
    <w:rsid w:val="0080138A"/>
    <w:rsid w:val="008014C7"/>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2F0D"/>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2B8"/>
    <w:rsid w:val="008243D4"/>
    <w:rsid w:val="00825523"/>
    <w:rsid w:val="00825545"/>
    <w:rsid w:val="008258EA"/>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5312"/>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D76"/>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C7E21"/>
    <w:rsid w:val="008D07E4"/>
    <w:rsid w:val="008D0855"/>
    <w:rsid w:val="008D0A66"/>
    <w:rsid w:val="008D16C9"/>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34C"/>
    <w:rsid w:val="00957F38"/>
    <w:rsid w:val="00957FF8"/>
    <w:rsid w:val="00961010"/>
    <w:rsid w:val="00961342"/>
    <w:rsid w:val="009615B9"/>
    <w:rsid w:val="00961D62"/>
    <w:rsid w:val="0096206A"/>
    <w:rsid w:val="0096260D"/>
    <w:rsid w:val="00962CB3"/>
    <w:rsid w:val="00963DEF"/>
    <w:rsid w:val="00964352"/>
    <w:rsid w:val="009644DE"/>
    <w:rsid w:val="0096482A"/>
    <w:rsid w:val="00966732"/>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06D"/>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3C2D"/>
    <w:rsid w:val="009942B4"/>
    <w:rsid w:val="00994BC3"/>
    <w:rsid w:val="00994BD3"/>
    <w:rsid w:val="00994E9E"/>
    <w:rsid w:val="00994EA7"/>
    <w:rsid w:val="00995339"/>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E5A"/>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6869"/>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417"/>
    <w:rsid w:val="00A138A0"/>
    <w:rsid w:val="00A14628"/>
    <w:rsid w:val="00A14B19"/>
    <w:rsid w:val="00A14B87"/>
    <w:rsid w:val="00A15601"/>
    <w:rsid w:val="00A15651"/>
    <w:rsid w:val="00A158B0"/>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2F07"/>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5ED5"/>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4E14"/>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4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5F3A"/>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5900"/>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0061"/>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AB8"/>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6BBF"/>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8CC"/>
    <w:rsid w:val="00BC3B55"/>
    <w:rsid w:val="00BC4E91"/>
    <w:rsid w:val="00BC4ECA"/>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3B70"/>
    <w:rsid w:val="00BE416B"/>
    <w:rsid w:val="00BE5006"/>
    <w:rsid w:val="00BE5F84"/>
    <w:rsid w:val="00BE711C"/>
    <w:rsid w:val="00BE7238"/>
    <w:rsid w:val="00BE7B3D"/>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1EB5"/>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54F"/>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531"/>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0E3"/>
    <w:rsid w:val="00CA2D2F"/>
    <w:rsid w:val="00CA3803"/>
    <w:rsid w:val="00CA3B08"/>
    <w:rsid w:val="00CA4565"/>
    <w:rsid w:val="00CA4743"/>
    <w:rsid w:val="00CA5D60"/>
    <w:rsid w:val="00CA602A"/>
    <w:rsid w:val="00CA6ABC"/>
    <w:rsid w:val="00CA70EF"/>
    <w:rsid w:val="00CA73A1"/>
    <w:rsid w:val="00CA73ED"/>
    <w:rsid w:val="00CA74A6"/>
    <w:rsid w:val="00CA7847"/>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A1E"/>
    <w:rsid w:val="00D10F5C"/>
    <w:rsid w:val="00D1110D"/>
    <w:rsid w:val="00D1130C"/>
    <w:rsid w:val="00D122B5"/>
    <w:rsid w:val="00D12B74"/>
    <w:rsid w:val="00D131E3"/>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031"/>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69B5"/>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4"/>
    <w:rsid w:val="00D6785B"/>
    <w:rsid w:val="00D67F72"/>
    <w:rsid w:val="00D705F1"/>
    <w:rsid w:val="00D70772"/>
    <w:rsid w:val="00D70928"/>
    <w:rsid w:val="00D70D16"/>
    <w:rsid w:val="00D70FCF"/>
    <w:rsid w:val="00D727CE"/>
    <w:rsid w:val="00D73448"/>
    <w:rsid w:val="00D734AA"/>
    <w:rsid w:val="00D73A88"/>
    <w:rsid w:val="00D747A3"/>
    <w:rsid w:val="00D747CE"/>
    <w:rsid w:val="00D75370"/>
    <w:rsid w:val="00D75B95"/>
    <w:rsid w:val="00D764AA"/>
    <w:rsid w:val="00D76700"/>
    <w:rsid w:val="00D76ECB"/>
    <w:rsid w:val="00D773E6"/>
    <w:rsid w:val="00D800C5"/>
    <w:rsid w:val="00D802C8"/>
    <w:rsid w:val="00D80671"/>
    <w:rsid w:val="00D80872"/>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1EC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5AF4"/>
    <w:rsid w:val="00DC7562"/>
    <w:rsid w:val="00DD0FDA"/>
    <w:rsid w:val="00DD11E1"/>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3EF"/>
    <w:rsid w:val="00E03CF7"/>
    <w:rsid w:val="00E0431D"/>
    <w:rsid w:val="00E04506"/>
    <w:rsid w:val="00E047B5"/>
    <w:rsid w:val="00E0484C"/>
    <w:rsid w:val="00E04A43"/>
    <w:rsid w:val="00E04D01"/>
    <w:rsid w:val="00E055DE"/>
    <w:rsid w:val="00E05924"/>
    <w:rsid w:val="00E05AF1"/>
    <w:rsid w:val="00E05E31"/>
    <w:rsid w:val="00E060D0"/>
    <w:rsid w:val="00E06827"/>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9AF"/>
    <w:rsid w:val="00E75BB8"/>
    <w:rsid w:val="00E75C07"/>
    <w:rsid w:val="00E75DA1"/>
    <w:rsid w:val="00E761D4"/>
    <w:rsid w:val="00E77D22"/>
    <w:rsid w:val="00E77FA0"/>
    <w:rsid w:val="00E800F7"/>
    <w:rsid w:val="00E8022F"/>
    <w:rsid w:val="00E80CD6"/>
    <w:rsid w:val="00E812F6"/>
    <w:rsid w:val="00E814B5"/>
    <w:rsid w:val="00E81DFA"/>
    <w:rsid w:val="00E82617"/>
    <w:rsid w:val="00E83403"/>
    <w:rsid w:val="00E83811"/>
    <w:rsid w:val="00E83BEB"/>
    <w:rsid w:val="00E8450C"/>
    <w:rsid w:val="00E852E8"/>
    <w:rsid w:val="00E85E6C"/>
    <w:rsid w:val="00E8680C"/>
    <w:rsid w:val="00E86853"/>
    <w:rsid w:val="00E869EB"/>
    <w:rsid w:val="00E86C1E"/>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2DC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D94"/>
    <w:rsid w:val="00EB5E9C"/>
    <w:rsid w:val="00EB5EEC"/>
    <w:rsid w:val="00EB73A2"/>
    <w:rsid w:val="00EB7489"/>
    <w:rsid w:val="00EB7887"/>
    <w:rsid w:val="00EB7F1C"/>
    <w:rsid w:val="00EC01E5"/>
    <w:rsid w:val="00EC068C"/>
    <w:rsid w:val="00EC0C52"/>
    <w:rsid w:val="00EC141D"/>
    <w:rsid w:val="00EC15E6"/>
    <w:rsid w:val="00EC169D"/>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0ED5"/>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492"/>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280"/>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2FC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5EAC"/>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CC9"/>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4AA"/>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3BA"/>
    <w:rsid w:val="00FA1EC5"/>
    <w:rsid w:val="00FA24E8"/>
    <w:rsid w:val="00FA2DF2"/>
    <w:rsid w:val="00FA2E0F"/>
    <w:rsid w:val="00FA4427"/>
    <w:rsid w:val="00FA4679"/>
    <w:rsid w:val="00FA47D1"/>
    <w:rsid w:val="00FA5C57"/>
    <w:rsid w:val="00FA6BF3"/>
    <w:rsid w:val="00FA6EA0"/>
    <w:rsid w:val="00FA74AC"/>
    <w:rsid w:val="00FA7C19"/>
    <w:rsid w:val="00FB00A3"/>
    <w:rsid w:val="00FB1198"/>
    <w:rsid w:val="00FB18F1"/>
    <w:rsid w:val="00FB3465"/>
    <w:rsid w:val="00FB3A9D"/>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docId w15:val="{F385A389-771D-4C39-9611-639BEA87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16658-908F-4418-85B4-F31D1378C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6</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WelCome</cp:lastModifiedBy>
  <cp:revision>124</cp:revision>
  <cp:lastPrinted>2026-04-13T03:08:00Z</cp:lastPrinted>
  <dcterms:created xsi:type="dcterms:W3CDTF">2025-08-04T13:27:00Z</dcterms:created>
  <dcterms:modified xsi:type="dcterms:W3CDTF">2026-04-13T10:28:00Z</dcterms:modified>
</cp:coreProperties>
</file>