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883D8" w14:textId="77777777" w:rsidR="00F971E6" w:rsidRPr="00F971E6" w:rsidRDefault="00F971E6" w:rsidP="00F971E6">
      <w:pPr>
        <w:jc w:val="center"/>
        <w:outlineLvl w:val="0"/>
        <w:rPr>
          <w:b/>
          <w:sz w:val="28"/>
          <w:szCs w:val="28"/>
          <w:lang w:val="nl-NL"/>
        </w:rPr>
      </w:pPr>
      <w:r w:rsidRPr="00F971E6">
        <w:rPr>
          <w:b/>
          <w:sz w:val="28"/>
          <w:szCs w:val="28"/>
          <w:lang w:val="nl-NL"/>
        </w:rPr>
        <w:t>Phần 2. YÊU CẦU VỀ KỸ THUẬT</w:t>
      </w:r>
    </w:p>
    <w:p w14:paraId="0706C8A5" w14:textId="77777777" w:rsidR="00F971E6" w:rsidRPr="00F971E6" w:rsidRDefault="00F971E6" w:rsidP="00F971E6">
      <w:pPr>
        <w:widowControl w:val="0"/>
        <w:jc w:val="center"/>
        <w:outlineLvl w:val="1"/>
        <w:rPr>
          <w:sz w:val="28"/>
          <w:szCs w:val="28"/>
          <w:lang w:val="nl-NL"/>
        </w:rPr>
      </w:pPr>
      <w:r w:rsidRPr="00F971E6">
        <w:rPr>
          <w:b/>
          <w:sz w:val="28"/>
          <w:szCs w:val="28"/>
          <w:lang w:val="nl-NL"/>
        </w:rPr>
        <w:t>Chương V. YÊU CẦU VỀ KỸ THUẬT</w:t>
      </w:r>
    </w:p>
    <w:p w14:paraId="2A4C06E2" w14:textId="77777777" w:rsidR="00F971E6" w:rsidRPr="00F971E6" w:rsidRDefault="00F971E6" w:rsidP="00F971E6">
      <w:pPr>
        <w:pStyle w:val="Subtitle"/>
        <w:rPr>
          <w:sz w:val="20"/>
          <w:szCs w:val="32"/>
          <w:lang w:val="nl-NL"/>
        </w:rPr>
      </w:pPr>
    </w:p>
    <w:p w14:paraId="41B0D4A2" w14:textId="77777777" w:rsidR="00F971E6" w:rsidRPr="00F971E6" w:rsidRDefault="00F971E6" w:rsidP="00F971E6">
      <w:pPr>
        <w:pStyle w:val="SectionVIHeader0"/>
        <w:widowControl w:val="0"/>
        <w:spacing w:before="0" w:after="0"/>
        <w:ind w:firstLine="709"/>
        <w:jc w:val="both"/>
        <w:rPr>
          <w:sz w:val="28"/>
          <w:szCs w:val="28"/>
          <w:lang w:val="nl-NL"/>
        </w:rPr>
      </w:pPr>
      <w:r w:rsidRPr="00F971E6">
        <w:rPr>
          <w:sz w:val="28"/>
          <w:szCs w:val="28"/>
          <w:lang w:val="nl-NL"/>
        </w:rPr>
        <w:t>Mục 1. Yêu cầu về kỹ thuật</w:t>
      </w:r>
    </w:p>
    <w:p w14:paraId="37DA1E19" w14:textId="77777777" w:rsidR="00F971E6" w:rsidRPr="00F971E6" w:rsidRDefault="00F971E6" w:rsidP="00F971E6">
      <w:pPr>
        <w:widowControl w:val="0"/>
        <w:ind w:firstLine="709"/>
        <w:rPr>
          <w:sz w:val="28"/>
          <w:szCs w:val="28"/>
          <w:lang w:val="nl-NL"/>
        </w:rPr>
      </w:pPr>
      <w:r w:rsidRPr="00F971E6">
        <w:rPr>
          <w:sz w:val="28"/>
          <w:szCs w:val="28"/>
          <w:lang w:val="nl-NL"/>
        </w:rPr>
        <w:t>- Gói thầu được phê duyệt tại Quyết định số 67 /QĐ-MTTQ-BTT  ngày 24 tháng 03 năm 2026 của Ban thường trực Ủy ban mặt trận tổ quốc Thành phố Huế về việc phê duyệt kế hoạch lựa chọn nhà thầu.</w:t>
      </w:r>
    </w:p>
    <w:p w14:paraId="45C1775A" w14:textId="77777777" w:rsidR="00F971E6" w:rsidRPr="00F971E6" w:rsidRDefault="00F971E6" w:rsidP="00F971E6">
      <w:pPr>
        <w:widowControl w:val="0"/>
        <w:ind w:firstLine="709"/>
        <w:rPr>
          <w:sz w:val="28"/>
          <w:szCs w:val="28"/>
          <w:lang w:val="nl-NL"/>
        </w:rPr>
      </w:pPr>
      <w:r w:rsidRPr="00F971E6">
        <w:rPr>
          <w:sz w:val="28"/>
          <w:szCs w:val="28"/>
          <w:lang w:val="nl-NL"/>
        </w:rPr>
        <w:t>- Chủ đầu tư: Ủy ban mặt trận tổ quốc Thành phố Huế.</w:t>
      </w:r>
    </w:p>
    <w:p w14:paraId="2A0CA278" w14:textId="77777777" w:rsidR="00F971E6" w:rsidRPr="00F971E6" w:rsidRDefault="00F971E6" w:rsidP="00F971E6">
      <w:pPr>
        <w:widowControl w:val="0"/>
        <w:ind w:firstLine="709"/>
        <w:rPr>
          <w:sz w:val="28"/>
          <w:szCs w:val="28"/>
          <w:lang w:val="nl-NL"/>
        </w:rPr>
      </w:pPr>
      <w:r w:rsidRPr="00F971E6">
        <w:rPr>
          <w:sz w:val="28"/>
          <w:szCs w:val="28"/>
          <w:lang w:val="nl-NL"/>
        </w:rPr>
        <w:t>- Đơn vị tư vấn đấu thầu: Công ty TNHH Tư vấn xây dựng BL.</w:t>
      </w:r>
    </w:p>
    <w:p w14:paraId="41C1A937" w14:textId="77777777" w:rsidR="00F971E6" w:rsidRPr="00F971E6" w:rsidRDefault="00F971E6" w:rsidP="00F971E6">
      <w:pPr>
        <w:widowControl w:val="0"/>
        <w:ind w:firstLine="709"/>
        <w:rPr>
          <w:sz w:val="28"/>
          <w:szCs w:val="28"/>
          <w:lang w:val="nl-NL"/>
        </w:rPr>
      </w:pPr>
      <w:r w:rsidRPr="00F971E6">
        <w:rPr>
          <w:sz w:val="28"/>
          <w:szCs w:val="28"/>
          <w:lang w:val="nl-NL"/>
        </w:rPr>
        <w:t>- Tên Gói thầu: Gói thầu số 03:  Cung cấp máy phát điện</w:t>
      </w:r>
    </w:p>
    <w:p w14:paraId="3D8571BB" w14:textId="77777777" w:rsidR="00F971E6" w:rsidRPr="00F971E6" w:rsidRDefault="00F971E6" w:rsidP="00F971E6">
      <w:pPr>
        <w:widowControl w:val="0"/>
        <w:ind w:firstLine="709"/>
        <w:rPr>
          <w:sz w:val="28"/>
          <w:szCs w:val="28"/>
          <w:lang w:val="nl-NL"/>
        </w:rPr>
      </w:pPr>
      <w:r w:rsidRPr="00F971E6">
        <w:rPr>
          <w:sz w:val="28"/>
          <w:szCs w:val="28"/>
          <w:lang w:val="nl-NL"/>
        </w:rPr>
        <w:t>- Phương thức lựa chọn nhà thầu: Một giai đoạn một túi hồ sơ;</w:t>
      </w:r>
    </w:p>
    <w:p w14:paraId="4368E91A" w14:textId="77777777" w:rsidR="00F971E6" w:rsidRPr="00F971E6" w:rsidRDefault="00F971E6" w:rsidP="00F971E6">
      <w:pPr>
        <w:widowControl w:val="0"/>
        <w:ind w:firstLine="709"/>
        <w:rPr>
          <w:sz w:val="28"/>
          <w:szCs w:val="28"/>
          <w:lang w:val="nl-NL"/>
        </w:rPr>
      </w:pPr>
      <w:r w:rsidRPr="00F971E6">
        <w:rPr>
          <w:sz w:val="28"/>
          <w:szCs w:val="28"/>
          <w:lang w:val="nl-NL"/>
        </w:rPr>
        <w:t>- Hình thức lựa chọn nhà thầu: Đấu thầu rộng rãi qua mạng.</w:t>
      </w:r>
    </w:p>
    <w:p w14:paraId="2AC35FF1" w14:textId="180A1C58" w:rsidR="00F971E6" w:rsidRPr="00F971E6" w:rsidRDefault="00F971E6" w:rsidP="00F971E6">
      <w:pPr>
        <w:widowControl w:val="0"/>
        <w:ind w:firstLine="709"/>
        <w:rPr>
          <w:sz w:val="28"/>
          <w:szCs w:val="28"/>
          <w:lang w:val="nl-NL"/>
        </w:rPr>
      </w:pPr>
      <w:r w:rsidRPr="00F971E6">
        <w:rPr>
          <w:sz w:val="28"/>
          <w:szCs w:val="28"/>
          <w:lang w:val="nl-NL"/>
        </w:rPr>
        <w:t xml:space="preserve">- Thời gian thực hiện hợp đồng: </w:t>
      </w:r>
      <w:r w:rsidR="001E4759">
        <w:rPr>
          <w:sz w:val="28"/>
          <w:szCs w:val="28"/>
          <w:lang w:val="nl-NL"/>
        </w:rPr>
        <w:t>30</w:t>
      </w:r>
      <w:bookmarkStart w:id="0" w:name="_GoBack"/>
      <w:bookmarkEnd w:id="0"/>
      <w:r w:rsidRPr="00F971E6">
        <w:rPr>
          <w:sz w:val="28"/>
          <w:szCs w:val="28"/>
          <w:lang w:val="nl-NL"/>
        </w:rPr>
        <w:t xml:space="preserve"> ngày kể từ ngày hợp đồng có hiệu lực;</w:t>
      </w:r>
    </w:p>
    <w:p w14:paraId="24445DB2" w14:textId="77777777" w:rsidR="00F971E6" w:rsidRPr="00F971E6" w:rsidRDefault="00F971E6" w:rsidP="00F971E6">
      <w:pPr>
        <w:ind w:firstLine="709"/>
        <w:rPr>
          <w:sz w:val="28"/>
          <w:szCs w:val="28"/>
          <w:lang w:val="nl-NL"/>
        </w:rPr>
      </w:pPr>
      <w:r w:rsidRPr="00F971E6">
        <w:rPr>
          <w:sz w:val="28"/>
          <w:szCs w:val="28"/>
          <w:lang w:val="nl-NL"/>
        </w:rPr>
        <w:t>- Nguồn vốn: Vốn tài trợ của Công ty TNHH Rạp chiếu phim – Thể thao và giải trí ngôi sao Huế để khắc phụ hậu quả của bão lụt lịch sử năm 2025</w:t>
      </w:r>
    </w:p>
    <w:p w14:paraId="6DCB3188" w14:textId="77777777" w:rsidR="00F971E6" w:rsidRPr="00F971E6" w:rsidRDefault="00F971E6" w:rsidP="00F971E6">
      <w:pPr>
        <w:widowControl w:val="0"/>
        <w:ind w:firstLine="709"/>
        <w:rPr>
          <w:sz w:val="28"/>
          <w:szCs w:val="28"/>
          <w:lang w:val="nl-NL"/>
        </w:rPr>
      </w:pPr>
      <w:r w:rsidRPr="00F971E6">
        <w:rPr>
          <w:sz w:val="28"/>
          <w:szCs w:val="28"/>
          <w:lang w:val="nl-NL"/>
        </w:rPr>
        <w:t>- Loại hợp đồng: Trọn gói</w:t>
      </w:r>
    </w:p>
    <w:p w14:paraId="27380D44" w14:textId="77777777" w:rsidR="00F971E6" w:rsidRPr="00F971E6" w:rsidRDefault="00F971E6" w:rsidP="00F971E6">
      <w:pPr>
        <w:widowControl w:val="0"/>
        <w:ind w:firstLine="709"/>
        <w:rPr>
          <w:sz w:val="28"/>
          <w:szCs w:val="28"/>
          <w:lang w:val="nl-NL"/>
        </w:rPr>
      </w:pPr>
      <w:r w:rsidRPr="00F971E6">
        <w:rPr>
          <w:sz w:val="28"/>
          <w:szCs w:val="28"/>
          <w:lang w:val="nl-NL"/>
        </w:rPr>
        <w:t>- Địa điểm thực hiện: Các địa điểm trên địa bàn Thành phố Huế</w:t>
      </w:r>
    </w:p>
    <w:p w14:paraId="2C61C20C" w14:textId="77777777" w:rsidR="00F971E6" w:rsidRPr="00F971E6" w:rsidRDefault="00F971E6" w:rsidP="00F971E6">
      <w:pPr>
        <w:widowControl w:val="0"/>
        <w:ind w:firstLine="709"/>
        <w:rPr>
          <w:b/>
          <w:i/>
          <w:sz w:val="28"/>
          <w:szCs w:val="28"/>
          <w:lang w:val="nl-NL"/>
        </w:rPr>
      </w:pPr>
      <w:r w:rsidRPr="00F971E6">
        <w:rPr>
          <w:b/>
          <w:i/>
          <w:sz w:val="28"/>
          <w:szCs w:val="28"/>
          <w:lang w:val="nl-NL"/>
        </w:rPr>
        <w:t>1.1. Giới thiệu chung về dự án/</w:t>
      </w:r>
      <w:r w:rsidRPr="00F971E6">
        <w:rPr>
          <w:b/>
          <w:i/>
          <w:sz w:val="28"/>
          <w:szCs w:val="28"/>
        </w:rPr>
        <w:t>dự toán mua sắm</w:t>
      </w:r>
      <w:r w:rsidRPr="00F971E6">
        <w:rPr>
          <w:b/>
          <w:i/>
          <w:sz w:val="28"/>
          <w:szCs w:val="28"/>
          <w:lang w:val="nl-NL"/>
        </w:rPr>
        <w:t>, gói thầu</w:t>
      </w:r>
    </w:p>
    <w:p w14:paraId="3D5DFFC1" w14:textId="77777777" w:rsidR="00F971E6" w:rsidRPr="00F971E6" w:rsidRDefault="00F971E6" w:rsidP="00F971E6">
      <w:pPr>
        <w:widowControl w:val="0"/>
        <w:ind w:firstLine="709"/>
        <w:rPr>
          <w:b/>
          <w:i/>
          <w:sz w:val="28"/>
          <w:szCs w:val="28"/>
          <w:lang w:val="nl-NL"/>
        </w:rPr>
      </w:pPr>
      <w:bookmarkStart w:id="1" w:name="_Hlk154743134"/>
      <w:r w:rsidRPr="00F971E6">
        <w:rPr>
          <w:b/>
          <w:i/>
          <w:sz w:val="28"/>
          <w:szCs w:val="28"/>
          <w:lang w:val="nl-NL"/>
        </w:rPr>
        <w:t>a) Yêu cầu kỹ thuật chung</w:t>
      </w:r>
    </w:p>
    <w:p w14:paraId="5A296E32" w14:textId="77777777" w:rsidR="00F971E6" w:rsidRPr="00F971E6" w:rsidRDefault="00F971E6" w:rsidP="00F971E6">
      <w:pPr>
        <w:ind w:firstLine="709"/>
        <w:jc w:val="left"/>
        <w:rPr>
          <w:sz w:val="28"/>
          <w:szCs w:val="28"/>
          <w:lang w:val="nl-NL"/>
        </w:rPr>
      </w:pPr>
      <w:r w:rsidRPr="00F971E6">
        <w:rPr>
          <w:sz w:val="28"/>
          <w:szCs w:val="28"/>
          <w:lang w:val="nl-NL"/>
        </w:rPr>
        <w:t>+ Toàn bộ hàng hóa phải được bảo hành theo tiêu chuẩn của nhà sản xuất.</w:t>
      </w:r>
    </w:p>
    <w:p w14:paraId="02756144" w14:textId="77777777" w:rsidR="00F971E6" w:rsidRPr="00F971E6" w:rsidRDefault="00F971E6" w:rsidP="00F971E6">
      <w:pPr>
        <w:tabs>
          <w:tab w:val="left" w:pos="284"/>
        </w:tabs>
        <w:ind w:firstLine="709"/>
        <w:rPr>
          <w:sz w:val="28"/>
          <w:szCs w:val="28"/>
          <w:lang w:val="nl-NL"/>
        </w:rPr>
      </w:pPr>
      <w:r w:rsidRPr="00F971E6">
        <w:rPr>
          <w:sz w:val="28"/>
          <w:szCs w:val="28"/>
          <w:lang w:val="nl-NL"/>
        </w:rPr>
        <w:t xml:space="preserve">+ Ngôn ngữ được sử dụng trong các tài liệu kỹ thuật, tài liệu hướng dẫn  bắt buộc phải là tiếng Việt hoặc tiếng Anh. </w:t>
      </w:r>
    </w:p>
    <w:p w14:paraId="6C210CCC" w14:textId="77777777" w:rsidR="00F971E6" w:rsidRPr="00F971E6" w:rsidRDefault="00F971E6" w:rsidP="00F971E6">
      <w:pPr>
        <w:tabs>
          <w:tab w:val="left" w:pos="284"/>
        </w:tabs>
        <w:ind w:firstLine="709"/>
        <w:rPr>
          <w:sz w:val="28"/>
          <w:szCs w:val="28"/>
          <w:lang w:val="nl-NL"/>
        </w:rPr>
      </w:pPr>
      <w:r w:rsidRPr="00F971E6">
        <w:rPr>
          <w:sz w:val="28"/>
          <w:szCs w:val="28"/>
          <w:lang w:val="nl-NL"/>
        </w:rPr>
        <w:t xml:space="preserve">+ Hàng hóa mới 100% </w:t>
      </w:r>
      <w:r w:rsidRPr="00F971E6">
        <w:rPr>
          <w:i/>
          <w:sz w:val="28"/>
          <w:szCs w:val="28"/>
          <w:lang w:val="nl-NL"/>
        </w:rPr>
        <w:t>.</w:t>
      </w:r>
    </w:p>
    <w:bookmarkEnd w:id="1"/>
    <w:p w14:paraId="4AF4D690" w14:textId="77777777" w:rsidR="00F971E6" w:rsidRPr="00F971E6" w:rsidRDefault="00F971E6" w:rsidP="00F971E6">
      <w:pPr>
        <w:widowControl w:val="0"/>
        <w:ind w:firstLine="709"/>
        <w:rPr>
          <w:b/>
          <w:i/>
          <w:sz w:val="28"/>
          <w:szCs w:val="28"/>
          <w:lang w:val="nl-NL"/>
        </w:rPr>
      </w:pPr>
      <w:r w:rsidRPr="00F971E6">
        <w:rPr>
          <w:b/>
          <w:i/>
          <w:sz w:val="28"/>
          <w:szCs w:val="28"/>
          <w:lang w:val="nl-NL"/>
        </w:rPr>
        <w:t>1.2. Yêu cầu về kỹ thuật</w:t>
      </w:r>
    </w:p>
    <w:tbl>
      <w:tblPr>
        <w:tblW w:w="947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608"/>
        <w:gridCol w:w="5367"/>
        <w:gridCol w:w="1445"/>
      </w:tblGrid>
      <w:tr w:rsidR="00F971E6" w:rsidRPr="00F971E6" w14:paraId="3E619960" w14:textId="77777777" w:rsidTr="008D13E7">
        <w:trPr>
          <w:cantSplit/>
          <w:trHeight w:val="322"/>
          <w:jc w:val="center"/>
        </w:trPr>
        <w:tc>
          <w:tcPr>
            <w:tcW w:w="1051" w:type="dxa"/>
            <w:vMerge w:val="restart"/>
            <w:shd w:val="clear" w:color="auto" w:fill="E2EFD9" w:themeFill="accent6" w:themeFillTint="33"/>
            <w:vAlign w:val="center"/>
          </w:tcPr>
          <w:p w14:paraId="2DD824CF" w14:textId="77777777" w:rsidR="00F971E6" w:rsidRPr="00F971E6" w:rsidRDefault="00F971E6" w:rsidP="008D13E7">
            <w:pPr>
              <w:suppressAutoHyphens/>
              <w:jc w:val="center"/>
              <w:rPr>
                <w:b/>
                <w:bCs/>
                <w:sz w:val="28"/>
                <w:szCs w:val="28"/>
              </w:rPr>
            </w:pPr>
            <w:r w:rsidRPr="00F971E6">
              <w:rPr>
                <w:b/>
                <w:bCs/>
                <w:sz w:val="28"/>
                <w:szCs w:val="28"/>
              </w:rPr>
              <w:t xml:space="preserve">Hạng mục số </w:t>
            </w:r>
          </w:p>
        </w:tc>
        <w:tc>
          <w:tcPr>
            <w:tcW w:w="1608" w:type="dxa"/>
            <w:vMerge w:val="restart"/>
            <w:shd w:val="clear" w:color="auto" w:fill="E2EFD9" w:themeFill="accent6" w:themeFillTint="33"/>
            <w:vAlign w:val="center"/>
          </w:tcPr>
          <w:p w14:paraId="5808F283" w14:textId="77777777" w:rsidR="00F971E6" w:rsidRPr="00F971E6" w:rsidRDefault="00F971E6" w:rsidP="008D13E7">
            <w:pPr>
              <w:suppressAutoHyphens/>
              <w:jc w:val="center"/>
              <w:rPr>
                <w:b/>
                <w:bCs/>
                <w:sz w:val="28"/>
                <w:szCs w:val="28"/>
                <w:vertAlign w:val="superscript"/>
              </w:rPr>
            </w:pPr>
            <w:r w:rsidRPr="00F971E6">
              <w:rPr>
                <w:b/>
                <w:iCs/>
                <w:sz w:val="28"/>
                <w:szCs w:val="28"/>
              </w:rPr>
              <w:t>Tên hàng hóa/dịch vụ liên quan</w:t>
            </w:r>
          </w:p>
        </w:tc>
        <w:tc>
          <w:tcPr>
            <w:tcW w:w="5367" w:type="dxa"/>
            <w:vMerge w:val="restart"/>
            <w:shd w:val="clear" w:color="auto" w:fill="E2EFD9" w:themeFill="accent6" w:themeFillTint="33"/>
            <w:vAlign w:val="center"/>
          </w:tcPr>
          <w:p w14:paraId="6A4C7935" w14:textId="77777777" w:rsidR="00F971E6" w:rsidRPr="00F971E6" w:rsidRDefault="00F971E6" w:rsidP="008D13E7">
            <w:pPr>
              <w:suppressAutoHyphens/>
              <w:ind w:left="-29"/>
              <w:jc w:val="center"/>
              <w:rPr>
                <w:b/>
                <w:bCs/>
                <w:sz w:val="28"/>
                <w:szCs w:val="28"/>
                <w:vertAlign w:val="superscript"/>
              </w:rPr>
            </w:pPr>
            <w:r w:rsidRPr="00F971E6">
              <w:rPr>
                <w:b/>
                <w:iCs/>
                <w:sz w:val="28"/>
                <w:szCs w:val="28"/>
              </w:rPr>
              <w:t>Thông số kỹ thuật và các tiêu chuẩn</w:t>
            </w:r>
          </w:p>
        </w:tc>
        <w:tc>
          <w:tcPr>
            <w:tcW w:w="1445" w:type="dxa"/>
            <w:vMerge w:val="restart"/>
            <w:shd w:val="clear" w:color="auto" w:fill="E2EFD9" w:themeFill="accent6" w:themeFillTint="33"/>
            <w:vAlign w:val="center"/>
          </w:tcPr>
          <w:p w14:paraId="12D2DC7E" w14:textId="77777777" w:rsidR="00F971E6" w:rsidRPr="00F971E6" w:rsidRDefault="00F971E6" w:rsidP="008D13E7">
            <w:pPr>
              <w:jc w:val="center"/>
              <w:rPr>
                <w:b/>
                <w:bCs/>
                <w:sz w:val="28"/>
                <w:szCs w:val="28"/>
              </w:rPr>
            </w:pPr>
            <w:r w:rsidRPr="00F971E6">
              <w:rPr>
                <w:b/>
                <w:bCs/>
                <w:sz w:val="28"/>
                <w:szCs w:val="28"/>
              </w:rPr>
              <w:t>Yêu cầu về xuất xứ hàng hóa (nếu có)</w:t>
            </w:r>
            <w:r w:rsidRPr="00F971E6">
              <w:rPr>
                <w:b/>
                <w:bCs/>
                <w:sz w:val="28"/>
                <w:szCs w:val="28"/>
                <w:vertAlign w:val="superscript"/>
              </w:rPr>
              <w:t>(3)</w:t>
            </w:r>
          </w:p>
        </w:tc>
      </w:tr>
      <w:tr w:rsidR="00F971E6" w:rsidRPr="00F971E6" w14:paraId="62ABC520" w14:textId="77777777" w:rsidTr="008D13E7">
        <w:trPr>
          <w:cantSplit/>
          <w:trHeight w:val="322"/>
          <w:jc w:val="center"/>
        </w:trPr>
        <w:tc>
          <w:tcPr>
            <w:tcW w:w="1051" w:type="dxa"/>
            <w:vMerge/>
            <w:shd w:val="clear" w:color="auto" w:fill="E2EFD9" w:themeFill="accent6" w:themeFillTint="33"/>
            <w:vAlign w:val="center"/>
          </w:tcPr>
          <w:p w14:paraId="4145DC47" w14:textId="77777777" w:rsidR="00F971E6" w:rsidRPr="00F971E6" w:rsidRDefault="00F971E6" w:rsidP="008D13E7">
            <w:pPr>
              <w:suppressAutoHyphens/>
              <w:jc w:val="center"/>
              <w:rPr>
                <w:sz w:val="28"/>
                <w:szCs w:val="28"/>
              </w:rPr>
            </w:pPr>
          </w:p>
        </w:tc>
        <w:tc>
          <w:tcPr>
            <w:tcW w:w="1608" w:type="dxa"/>
            <w:vMerge/>
            <w:shd w:val="clear" w:color="auto" w:fill="E2EFD9" w:themeFill="accent6" w:themeFillTint="33"/>
            <w:vAlign w:val="center"/>
          </w:tcPr>
          <w:p w14:paraId="302078EB" w14:textId="77777777" w:rsidR="00F971E6" w:rsidRPr="00F971E6" w:rsidRDefault="00F971E6" w:rsidP="008D13E7">
            <w:pPr>
              <w:suppressAutoHyphens/>
              <w:jc w:val="center"/>
              <w:rPr>
                <w:sz w:val="28"/>
                <w:szCs w:val="28"/>
              </w:rPr>
            </w:pPr>
          </w:p>
        </w:tc>
        <w:tc>
          <w:tcPr>
            <w:tcW w:w="5367" w:type="dxa"/>
            <w:vMerge/>
            <w:shd w:val="clear" w:color="auto" w:fill="E2EFD9" w:themeFill="accent6" w:themeFillTint="33"/>
            <w:vAlign w:val="center"/>
          </w:tcPr>
          <w:p w14:paraId="68CBA324" w14:textId="77777777" w:rsidR="00F971E6" w:rsidRPr="00F971E6" w:rsidRDefault="00F971E6" w:rsidP="008D13E7">
            <w:pPr>
              <w:jc w:val="center"/>
              <w:rPr>
                <w:sz w:val="28"/>
                <w:szCs w:val="28"/>
              </w:rPr>
            </w:pPr>
          </w:p>
        </w:tc>
        <w:tc>
          <w:tcPr>
            <w:tcW w:w="1445" w:type="dxa"/>
            <w:vMerge/>
            <w:shd w:val="clear" w:color="auto" w:fill="E2EFD9" w:themeFill="accent6" w:themeFillTint="33"/>
          </w:tcPr>
          <w:p w14:paraId="673E78C3" w14:textId="77777777" w:rsidR="00F971E6" w:rsidRPr="00F971E6" w:rsidRDefault="00F971E6" w:rsidP="008D13E7">
            <w:pPr>
              <w:jc w:val="center"/>
              <w:rPr>
                <w:sz w:val="28"/>
                <w:szCs w:val="28"/>
              </w:rPr>
            </w:pPr>
          </w:p>
        </w:tc>
      </w:tr>
      <w:tr w:rsidR="00F971E6" w:rsidRPr="00F971E6" w14:paraId="188113B7" w14:textId="77777777" w:rsidTr="008D13E7">
        <w:trPr>
          <w:cantSplit/>
          <w:trHeight w:val="511"/>
          <w:jc w:val="center"/>
        </w:trPr>
        <w:tc>
          <w:tcPr>
            <w:tcW w:w="1051" w:type="dxa"/>
            <w:vAlign w:val="center"/>
          </w:tcPr>
          <w:p w14:paraId="72B6593A" w14:textId="77777777" w:rsidR="00F971E6" w:rsidRPr="00F971E6" w:rsidRDefault="00F971E6" w:rsidP="008D13E7">
            <w:pPr>
              <w:jc w:val="center"/>
              <w:rPr>
                <w:sz w:val="28"/>
                <w:szCs w:val="28"/>
              </w:rPr>
            </w:pPr>
            <w:r w:rsidRPr="00F971E6">
              <w:rPr>
                <w:sz w:val="28"/>
                <w:szCs w:val="28"/>
              </w:rPr>
              <w:t>1</w:t>
            </w:r>
          </w:p>
        </w:tc>
        <w:tc>
          <w:tcPr>
            <w:tcW w:w="1608" w:type="dxa"/>
            <w:vAlign w:val="center"/>
          </w:tcPr>
          <w:p w14:paraId="588A08E5" w14:textId="77777777" w:rsidR="00F971E6" w:rsidRPr="00F971E6" w:rsidRDefault="00F971E6" w:rsidP="008D13E7">
            <w:pPr>
              <w:jc w:val="center"/>
              <w:rPr>
                <w:sz w:val="28"/>
                <w:szCs w:val="28"/>
              </w:rPr>
            </w:pPr>
            <w:r w:rsidRPr="00F971E6">
              <w:rPr>
                <w:color w:val="000000" w:themeColor="text1"/>
                <w:sz w:val="28"/>
                <w:szCs w:val="28"/>
              </w:rPr>
              <w:t xml:space="preserve">Máy phát điện chạy xăng  </w:t>
            </w:r>
          </w:p>
        </w:tc>
        <w:tc>
          <w:tcPr>
            <w:tcW w:w="5367" w:type="dxa"/>
            <w:vAlign w:val="center"/>
          </w:tcPr>
          <w:p w14:paraId="428418BA" w14:textId="77777777" w:rsidR="00F971E6" w:rsidRPr="00F971E6" w:rsidRDefault="00F971E6" w:rsidP="008D13E7">
            <w:pPr>
              <w:pStyle w:val="ListParagraph"/>
              <w:numPr>
                <w:ilvl w:val="0"/>
                <w:numId w:val="35"/>
              </w:numPr>
              <w:jc w:val="center"/>
              <w:rPr>
                <w:sz w:val="28"/>
                <w:szCs w:val="28"/>
              </w:rPr>
            </w:pPr>
            <w:r w:rsidRPr="00F971E6">
              <w:rPr>
                <w:sz w:val="28"/>
                <w:szCs w:val="28"/>
              </w:rPr>
              <w:t>Công suất max: 5,5 kw</w:t>
            </w:r>
          </w:p>
          <w:p w14:paraId="60B561BF" w14:textId="77777777" w:rsidR="00F971E6" w:rsidRPr="00F971E6" w:rsidRDefault="00F971E6" w:rsidP="008D13E7">
            <w:pPr>
              <w:pStyle w:val="ListParagraph"/>
              <w:numPr>
                <w:ilvl w:val="0"/>
                <w:numId w:val="35"/>
              </w:numPr>
              <w:jc w:val="center"/>
              <w:rPr>
                <w:sz w:val="28"/>
                <w:szCs w:val="28"/>
              </w:rPr>
            </w:pPr>
            <w:r w:rsidRPr="00F971E6">
              <w:rPr>
                <w:sz w:val="28"/>
                <w:szCs w:val="28"/>
              </w:rPr>
              <w:t>Công suất min: 5,0 kw</w:t>
            </w:r>
          </w:p>
          <w:p w14:paraId="2973D5D9" w14:textId="77777777" w:rsidR="00F971E6" w:rsidRPr="00F971E6" w:rsidRDefault="00F971E6" w:rsidP="008D13E7">
            <w:pPr>
              <w:pStyle w:val="ListParagraph"/>
              <w:numPr>
                <w:ilvl w:val="0"/>
                <w:numId w:val="35"/>
              </w:numPr>
              <w:jc w:val="center"/>
              <w:rPr>
                <w:sz w:val="28"/>
                <w:szCs w:val="28"/>
              </w:rPr>
            </w:pPr>
            <w:r w:rsidRPr="00F971E6">
              <w:rPr>
                <w:sz w:val="28"/>
                <w:szCs w:val="28"/>
              </w:rPr>
              <w:t>Động cơ chạy xăng loại 4 thì.</w:t>
            </w:r>
          </w:p>
          <w:p w14:paraId="5BDFAA2A" w14:textId="77777777" w:rsidR="00F971E6" w:rsidRPr="00F971E6" w:rsidRDefault="00F971E6" w:rsidP="008D13E7">
            <w:pPr>
              <w:pStyle w:val="ListParagraph"/>
              <w:numPr>
                <w:ilvl w:val="0"/>
                <w:numId w:val="35"/>
              </w:numPr>
              <w:jc w:val="center"/>
              <w:rPr>
                <w:sz w:val="28"/>
                <w:szCs w:val="28"/>
              </w:rPr>
            </w:pPr>
            <w:r w:rsidRPr="00F971E6">
              <w:rPr>
                <w:sz w:val="28"/>
                <w:szCs w:val="28"/>
              </w:rPr>
              <w:t>Dung tích bình nhiên liệu: 25 lít</w:t>
            </w:r>
          </w:p>
          <w:p w14:paraId="2E900046" w14:textId="77777777" w:rsidR="00F971E6" w:rsidRPr="00F971E6" w:rsidRDefault="00F971E6" w:rsidP="008D13E7">
            <w:pPr>
              <w:pStyle w:val="ListParagraph"/>
              <w:numPr>
                <w:ilvl w:val="0"/>
                <w:numId w:val="35"/>
              </w:numPr>
              <w:jc w:val="center"/>
              <w:rPr>
                <w:sz w:val="28"/>
                <w:szCs w:val="28"/>
              </w:rPr>
            </w:pPr>
            <w:r w:rsidRPr="00F971E6">
              <w:rPr>
                <w:sz w:val="28"/>
                <w:szCs w:val="28"/>
              </w:rPr>
              <w:t>Điện áp định mức: 230V</w:t>
            </w:r>
          </w:p>
          <w:p w14:paraId="6567504C" w14:textId="77777777" w:rsidR="00F971E6" w:rsidRPr="00F971E6" w:rsidRDefault="00F971E6" w:rsidP="008D13E7">
            <w:pPr>
              <w:pStyle w:val="ListParagraph"/>
              <w:numPr>
                <w:ilvl w:val="0"/>
                <w:numId w:val="35"/>
              </w:numPr>
              <w:jc w:val="center"/>
              <w:rPr>
                <w:sz w:val="28"/>
                <w:szCs w:val="28"/>
              </w:rPr>
            </w:pPr>
            <w:r w:rsidRPr="00F971E6">
              <w:rPr>
                <w:sz w:val="28"/>
                <w:szCs w:val="28"/>
              </w:rPr>
              <w:t>Khởi động: Đề + giật tay</w:t>
            </w:r>
          </w:p>
          <w:p w14:paraId="47806FC4" w14:textId="77777777" w:rsidR="00F971E6" w:rsidRPr="00F971E6" w:rsidRDefault="00F971E6" w:rsidP="008D13E7">
            <w:pPr>
              <w:pStyle w:val="ListParagraph"/>
              <w:numPr>
                <w:ilvl w:val="0"/>
                <w:numId w:val="35"/>
              </w:numPr>
              <w:jc w:val="center"/>
              <w:rPr>
                <w:sz w:val="28"/>
                <w:szCs w:val="28"/>
              </w:rPr>
            </w:pPr>
            <w:r w:rsidRPr="00F971E6">
              <w:rPr>
                <w:sz w:val="28"/>
                <w:szCs w:val="28"/>
              </w:rPr>
              <w:t>Bình điện đề 12V</w:t>
            </w:r>
          </w:p>
          <w:p w14:paraId="254C8B38" w14:textId="77777777" w:rsidR="00F971E6" w:rsidRPr="00F971E6" w:rsidRDefault="00F971E6" w:rsidP="008D13E7">
            <w:pPr>
              <w:pStyle w:val="ListParagraph"/>
              <w:numPr>
                <w:ilvl w:val="0"/>
                <w:numId w:val="35"/>
              </w:numPr>
              <w:jc w:val="center"/>
              <w:rPr>
                <w:sz w:val="28"/>
                <w:szCs w:val="28"/>
              </w:rPr>
            </w:pPr>
            <w:r w:rsidRPr="00F971E6">
              <w:rPr>
                <w:sz w:val="28"/>
                <w:szCs w:val="28"/>
              </w:rPr>
              <w:t>Bảo hành 24 tháng</w:t>
            </w:r>
          </w:p>
        </w:tc>
        <w:tc>
          <w:tcPr>
            <w:tcW w:w="1445" w:type="dxa"/>
            <w:vAlign w:val="center"/>
          </w:tcPr>
          <w:p w14:paraId="0485B518" w14:textId="77777777" w:rsidR="00F971E6" w:rsidRPr="00F971E6" w:rsidRDefault="00F971E6" w:rsidP="008D13E7">
            <w:pPr>
              <w:jc w:val="center"/>
              <w:rPr>
                <w:sz w:val="28"/>
                <w:szCs w:val="28"/>
              </w:rPr>
            </w:pPr>
          </w:p>
        </w:tc>
      </w:tr>
    </w:tbl>
    <w:p w14:paraId="2ADE1D96" w14:textId="77777777" w:rsidR="00F971E6" w:rsidRPr="00F971E6" w:rsidRDefault="00F971E6" w:rsidP="00F971E6">
      <w:pPr>
        <w:widowControl w:val="0"/>
        <w:ind w:firstLine="709"/>
        <w:rPr>
          <w:rFonts w:eastAsia="Calibri"/>
          <w:i/>
          <w:color w:val="000000" w:themeColor="text1"/>
          <w:sz w:val="28"/>
          <w:szCs w:val="28"/>
          <w:lang w:val="nl-NL"/>
        </w:rPr>
      </w:pPr>
      <w:r w:rsidRPr="00F971E6">
        <w:rPr>
          <w:rFonts w:eastAsia="Calibri"/>
          <w:b/>
          <w:i/>
          <w:color w:val="000000" w:themeColor="text1"/>
          <w:sz w:val="28"/>
          <w:szCs w:val="28"/>
          <w:lang w:val="nl-NL"/>
        </w:rPr>
        <w:t>Ghi chú:</w:t>
      </w:r>
      <w:r w:rsidRPr="00F971E6">
        <w:rPr>
          <w:rFonts w:eastAsia="Calibri"/>
          <w:i/>
          <w:color w:val="000000" w:themeColor="text1"/>
          <w:sz w:val="28"/>
          <w:szCs w:val="28"/>
          <w:lang w:val="nl-NL"/>
        </w:rPr>
        <w:t xml:space="preserve">  </w:t>
      </w:r>
    </w:p>
    <w:p w14:paraId="2621CF9F" w14:textId="77777777" w:rsidR="00F971E6" w:rsidRPr="00F971E6" w:rsidRDefault="00F971E6" w:rsidP="00F971E6">
      <w:pPr>
        <w:widowControl w:val="0"/>
        <w:ind w:firstLine="709"/>
        <w:rPr>
          <w:color w:val="000000" w:themeColor="text1"/>
          <w:spacing w:val="-2"/>
          <w:sz w:val="28"/>
          <w:szCs w:val="28"/>
          <w:lang w:val="fr-FR"/>
        </w:rPr>
      </w:pPr>
      <w:r w:rsidRPr="00F971E6">
        <w:rPr>
          <w:color w:val="000000" w:themeColor="text1"/>
          <w:spacing w:val="-2"/>
          <w:sz w:val="28"/>
          <w:szCs w:val="28"/>
          <w:lang w:val="fr-FR"/>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7A26CF37" w14:textId="77777777" w:rsidR="00F971E6" w:rsidRPr="00F971E6" w:rsidRDefault="00F971E6" w:rsidP="00F971E6">
      <w:pPr>
        <w:widowControl w:val="0"/>
        <w:ind w:firstLine="709"/>
        <w:rPr>
          <w:color w:val="000000" w:themeColor="text1"/>
          <w:spacing w:val="-2"/>
          <w:sz w:val="28"/>
          <w:szCs w:val="28"/>
          <w:lang w:val="fr-FR"/>
        </w:rPr>
      </w:pPr>
      <w:r w:rsidRPr="00F971E6">
        <w:rPr>
          <w:color w:val="000000" w:themeColor="text1"/>
          <w:spacing w:val="-2"/>
          <w:sz w:val="28"/>
          <w:szCs w:val="28"/>
          <w:lang w:val="fr-FR"/>
        </w:rPr>
        <w:t>- Thông số kỹ thuật trong E-HSMT có một số nội dung là Tiếng Anh, viết tắt chuyên ngành kỹ thuật, khi dịch sang Tiếng Việt dễ bị sai lệch ý nghĩa gây khó hiểu, do đó Bên mời thầu giữ nguyên.</w:t>
      </w:r>
    </w:p>
    <w:p w14:paraId="3DE8639F" w14:textId="77777777" w:rsidR="00F971E6" w:rsidRPr="00F971E6" w:rsidRDefault="00F971E6" w:rsidP="00F971E6">
      <w:pPr>
        <w:ind w:firstLine="567"/>
        <w:rPr>
          <w:b/>
          <w:i/>
          <w:color w:val="000000" w:themeColor="text1"/>
          <w:sz w:val="28"/>
          <w:szCs w:val="28"/>
          <w:lang w:val="nl-NL"/>
        </w:rPr>
      </w:pPr>
      <w:r w:rsidRPr="00F971E6">
        <w:rPr>
          <w:b/>
          <w:i/>
          <w:color w:val="000000" w:themeColor="text1"/>
          <w:sz w:val="28"/>
          <w:szCs w:val="28"/>
          <w:lang w:val="nl-NL"/>
        </w:rPr>
        <w:lastRenderedPageBreak/>
        <w:t>1.3. Các yêu cầu khác</w:t>
      </w:r>
    </w:p>
    <w:p w14:paraId="1742A14F" w14:textId="77777777" w:rsidR="00F971E6" w:rsidRPr="00F971E6" w:rsidRDefault="00F971E6" w:rsidP="00F971E6">
      <w:pPr>
        <w:pStyle w:val="SectionVIHeader0"/>
        <w:spacing w:before="0" w:after="0"/>
        <w:ind w:firstLine="709"/>
        <w:jc w:val="both"/>
        <w:rPr>
          <w:b w:val="0"/>
          <w:iCs/>
          <w:color w:val="000000" w:themeColor="text1"/>
          <w:sz w:val="28"/>
          <w:szCs w:val="28"/>
          <w:lang w:val="nl-NL"/>
        </w:rPr>
      </w:pPr>
      <w:r w:rsidRPr="00F971E6">
        <w:rPr>
          <w:b w:val="0"/>
          <w:iCs/>
          <w:color w:val="000000" w:themeColor="text1"/>
          <w:sz w:val="28"/>
          <w:szCs w:val="28"/>
          <w:lang w:val="nl-NL"/>
        </w:rPr>
        <w:t>- Nộp cam kết và thực hiện theo yêu cầu khi có yêu cầu các nội dung sau:</w:t>
      </w:r>
    </w:p>
    <w:p w14:paraId="7232FF4E" w14:textId="77777777" w:rsidR="00F971E6" w:rsidRPr="00F971E6" w:rsidRDefault="00F971E6" w:rsidP="00F971E6">
      <w:pPr>
        <w:pStyle w:val="SectionVIHeader0"/>
        <w:spacing w:before="0" w:after="0"/>
        <w:ind w:firstLine="709"/>
        <w:jc w:val="both"/>
        <w:rPr>
          <w:b w:val="0"/>
          <w:i/>
          <w:iCs/>
          <w:color w:val="000000" w:themeColor="text1"/>
          <w:sz w:val="28"/>
          <w:szCs w:val="28"/>
          <w:lang w:val="nl-NL"/>
        </w:rPr>
      </w:pPr>
      <w:r w:rsidRPr="00F971E6">
        <w:rPr>
          <w:b w:val="0"/>
          <w:i/>
          <w:iCs/>
          <w:color w:val="000000" w:themeColor="text1"/>
          <w:sz w:val="28"/>
          <w:szCs w:val="28"/>
          <w:lang w:val="nl-NL"/>
        </w:rPr>
        <w:t>+ Tất cả các hàng hóa và dịch vụ liên quan có xuất xứ rõ ràng, hợp pháp;</w:t>
      </w:r>
    </w:p>
    <w:p w14:paraId="2979489A" w14:textId="77777777" w:rsidR="00F971E6" w:rsidRPr="00F971E6" w:rsidRDefault="00F971E6" w:rsidP="00F971E6">
      <w:pPr>
        <w:pStyle w:val="SectionVIHeader0"/>
        <w:spacing w:before="0" w:after="0"/>
        <w:ind w:firstLine="709"/>
        <w:jc w:val="both"/>
        <w:rPr>
          <w:b w:val="0"/>
          <w:i/>
          <w:iCs/>
          <w:color w:val="000000" w:themeColor="text1"/>
          <w:sz w:val="28"/>
          <w:szCs w:val="28"/>
          <w:lang w:val="nl-NL"/>
        </w:rPr>
      </w:pPr>
      <w:r w:rsidRPr="00F971E6">
        <w:rPr>
          <w:b w:val="0"/>
          <w:i/>
          <w:iCs/>
          <w:color w:val="000000" w:themeColor="text1"/>
          <w:sz w:val="28"/>
          <w:szCs w:val="28"/>
          <w:lang w:val="nl-NL"/>
        </w:rPr>
        <w:t>+ Hàng hóa cung cấp phải mới 100%, thời gian bảo hành tối thiểu 24 tháng  kể từ khi nghiệm thu bàn giao, đưa hàng hóa vào sử dụng và bảo hành theo tiêu chuẩn của nhà sản xuất;</w:t>
      </w:r>
    </w:p>
    <w:p w14:paraId="2CE2F9C3" w14:textId="77777777" w:rsidR="00F971E6" w:rsidRPr="00F971E6" w:rsidRDefault="00F971E6" w:rsidP="00F971E6">
      <w:pPr>
        <w:pStyle w:val="SectionVIHeader0"/>
        <w:spacing w:before="0" w:after="0"/>
        <w:ind w:firstLine="709"/>
        <w:jc w:val="both"/>
        <w:rPr>
          <w:b w:val="0"/>
          <w:i/>
          <w:iCs/>
          <w:color w:val="000000" w:themeColor="text1"/>
          <w:sz w:val="28"/>
          <w:szCs w:val="28"/>
          <w:lang w:val="nl-NL"/>
        </w:rPr>
      </w:pPr>
      <w:r w:rsidRPr="00F971E6">
        <w:rPr>
          <w:b w:val="0"/>
          <w:i/>
          <w:iCs/>
          <w:color w:val="000000" w:themeColor="text1"/>
          <w:sz w:val="28"/>
          <w:szCs w:val="28"/>
          <w:lang w:val="nl-NL"/>
        </w:rPr>
        <w:t>+ Cung cấp Giấy chứng nhận xuất xứ hàng hóa (C/O), Giấy chứng nhận chất lượng hàng hóa (C/Q) và các tài liệu liên quan cần có theo Luật định đối với các thiết bị nhập khẩu; Tài liệu chứng nhận chất lượng sản phẩm hoặc tương đương đối với các thiết bị sản xuất trong nước khi giao hàng;</w:t>
      </w:r>
    </w:p>
    <w:p w14:paraId="1A948210" w14:textId="77777777" w:rsidR="00F971E6" w:rsidRPr="00F971E6" w:rsidRDefault="00F971E6" w:rsidP="00F971E6">
      <w:pPr>
        <w:pStyle w:val="SectionVIHeader0"/>
        <w:spacing w:before="0" w:after="0"/>
        <w:ind w:firstLine="709"/>
        <w:jc w:val="both"/>
        <w:rPr>
          <w:b w:val="0"/>
          <w:i/>
          <w:iCs/>
          <w:color w:val="000000" w:themeColor="text1"/>
          <w:sz w:val="28"/>
          <w:szCs w:val="28"/>
          <w:lang w:val="nl-NL"/>
        </w:rPr>
      </w:pPr>
      <w:r w:rsidRPr="00F971E6">
        <w:rPr>
          <w:b w:val="0"/>
          <w:i/>
          <w:iCs/>
          <w:color w:val="000000" w:themeColor="text1"/>
          <w:sz w:val="28"/>
          <w:szCs w:val="28"/>
          <w:lang w:val="nl-NL"/>
        </w:rPr>
        <w:t>+ Thời gian khắc phục các hư hỏng, sai sót trong vòng 24 giờ kể từ khi nhận được yêu cầu của Chủ đầu tư/Bên mời thầu.</w:t>
      </w:r>
    </w:p>
    <w:p w14:paraId="4E4E5995" w14:textId="77777777" w:rsidR="00F971E6" w:rsidRPr="00F971E6" w:rsidRDefault="00F971E6" w:rsidP="00F971E6">
      <w:pPr>
        <w:pStyle w:val="SectionVIHeader0"/>
        <w:spacing w:before="0" w:after="0"/>
        <w:ind w:firstLine="709"/>
        <w:jc w:val="both"/>
        <w:rPr>
          <w:b w:val="0"/>
          <w:i/>
          <w:iCs/>
          <w:color w:val="000000" w:themeColor="text1"/>
          <w:sz w:val="28"/>
          <w:szCs w:val="28"/>
          <w:lang w:val="nl-NL"/>
        </w:rPr>
      </w:pPr>
      <w:r w:rsidRPr="00F971E6">
        <w:rPr>
          <w:b w:val="0"/>
          <w:i/>
          <w:iCs/>
          <w:color w:val="000000" w:themeColor="text1"/>
          <w:sz w:val="28"/>
          <w:szCs w:val="28"/>
          <w:lang w:val="nl-NL"/>
        </w:rPr>
        <w:t>+ Cung cấp phụ tùng thay thế và vật liệu tiêu hao theo tiêu chuẩn của nhà sản xuất;</w:t>
      </w:r>
    </w:p>
    <w:p w14:paraId="2ECF84B1" w14:textId="77777777" w:rsidR="00F971E6" w:rsidRPr="00F971E6" w:rsidRDefault="00F971E6" w:rsidP="00F971E6">
      <w:pPr>
        <w:pStyle w:val="SectionVIHeader0"/>
        <w:spacing w:before="0" w:after="0"/>
        <w:ind w:firstLine="709"/>
        <w:jc w:val="both"/>
        <w:rPr>
          <w:b w:val="0"/>
          <w:i/>
          <w:iCs/>
          <w:color w:val="000000" w:themeColor="text1"/>
          <w:sz w:val="28"/>
          <w:szCs w:val="28"/>
          <w:lang w:val="nl-NL"/>
        </w:rPr>
      </w:pPr>
      <w:r w:rsidRPr="00F971E6">
        <w:rPr>
          <w:b w:val="0"/>
          <w:i/>
          <w:iCs/>
          <w:color w:val="000000" w:themeColor="text1"/>
          <w:sz w:val="28"/>
          <w:szCs w:val="28"/>
          <w:lang w:val="nl-NL"/>
        </w:rPr>
        <w:t>+ Nhà thầu phải chịu hoàn toàn trách nhiệm về chất lượng công việc cung cấp, chạy thử, bàn giao, hướng dẫn vận hành, hướng dẫn sử dụng do mình đảm nhận trước Pháp luật và Chủ đầu tư.</w:t>
      </w:r>
    </w:p>
    <w:p w14:paraId="6A2252CA" w14:textId="77777777" w:rsidR="00F971E6" w:rsidRPr="00F971E6" w:rsidRDefault="00F971E6" w:rsidP="00F971E6">
      <w:pPr>
        <w:pStyle w:val="SectionVIHeader0"/>
        <w:spacing w:before="0" w:after="0"/>
        <w:ind w:firstLine="709"/>
        <w:jc w:val="both"/>
        <w:rPr>
          <w:b w:val="0"/>
          <w:i/>
          <w:iCs/>
          <w:color w:val="000000" w:themeColor="text1"/>
          <w:sz w:val="28"/>
          <w:szCs w:val="28"/>
          <w:lang w:val="nl-NL"/>
        </w:rPr>
      </w:pPr>
      <w:r w:rsidRPr="00F971E6">
        <w:rPr>
          <w:b w:val="0"/>
          <w:i/>
          <w:iCs/>
          <w:color w:val="000000" w:themeColor="text1"/>
          <w:sz w:val="28"/>
          <w:szCs w:val="28"/>
          <w:lang w:val="nl-NL"/>
        </w:rPr>
        <w:t>+ Có năng lực tự thực hiện các nghĩa vụ bảo hành, cung cấp phụ tùng thay thế hoặc cung cấp các dịch vụ sau bán hàng theo yêu cầu của E-HSMT hoặc ký hợp đồng nguyên tắc với đơn vị có đủ khả năng thực hiện nghĩa vụ bảo hành, cung cấp phụ tùng thay thế hoặc cung cấp các dịch vụ sau bán hàng theo yêu cầu của E-HSMT;</w:t>
      </w:r>
    </w:p>
    <w:p w14:paraId="41CEFD14" w14:textId="77777777" w:rsidR="00F971E6" w:rsidRPr="00F971E6" w:rsidRDefault="00F971E6" w:rsidP="00F971E6">
      <w:pPr>
        <w:pStyle w:val="SectionVIHeader0"/>
        <w:spacing w:before="0" w:after="0"/>
        <w:ind w:firstLine="709"/>
        <w:jc w:val="both"/>
        <w:rPr>
          <w:b w:val="0"/>
          <w:i/>
          <w:iCs/>
          <w:color w:val="000000" w:themeColor="text1"/>
          <w:sz w:val="28"/>
          <w:szCs w:val="28"/>
          <w:lang w:val="nl-NL"/>
        </w:rPr>
      </w:pPr>
      <w:r w:rsidRPr="00F971E6">
        <w:rPr>
          <w:b w:val="0"/>
          <w:i/>
          <w:iCs/>
          <w:color w:val="000000" w:themeColor="text1"/>
          <w:sz w:val="28"/>
          <w:szCs w:val="28"/>
          <w:lang w:val="nl-NL"/>
        </w:rPr>
        <w:t>+ Thông báo bằng văn bản đến chủ đầu tư trong trường hợp hàng hóa có bất kỳ thay đổi từ nhà sản xuất.</w:t>
      </w:r>
    </w:p>
    <w:p w14:paraId="3CCFBF1C" w14:textId="77777777" w:rsidR="00F971E6" w:rsidRPr="00F971E6" w:rsidRDefault="00F971E6" w:rsidP="00F971E6">
      <w:pPr>
        <w:ind w:firstLine="567"/>
        <w:rPr>
          <w:b/>
          <w:color w:val="000000" w:themeColor="text1"/>
          <w:sz w:val="28"/>
          <w:szCs w:val="28"/>
          <w:lang w:val="nl-NL"/>
        </w:rPr>
      </w:pPr>
      <w:r w:rsidRPr="00F971E6">
        <w:rPr>
          <w:b/>
          <w:color w:val="000000" w:themeColor="text1"/>
          <w:sz w:val="28"/>
          <w:szCs w:val="28"/>
          <w:lang w:val="nl-NL"/>
        </w:rPr>
        <w:t xml:space="preserve">  Mục 2. Bản vẽ: Không yêu cầu</w:t>
      </w:r>
    </w:p>
    <w:p w14:paraId="08E35CA8" w14:textId="77777777" w:rsidR="00F971E6" w:rsidRPr="00F971E6" w:rsidRDefault="00F971E6" w:rsidP="00F971E6">
      <w:pPr>
        <w:pStyle w:val="SectionVIHeader0"/>
        <w:widowControl w:val="0"/>
        <w:spacing w:before="0" w:after="0"/>
        <w:ind w:firstLine="709"/>
        <w:jc w:val="left"/>
        <w:rPr>
          <w:color w:val="000000" w:themeColor="text1"/>
          <w:sz w:val="28"/>
          <w:szCs w:val="28"/>
          <w:lang w:val="nl-NL"/>
        </w:rPr>
      </w:pPr>
      <w:r w:rsidRPr="00F971E6">
        <w:rPr>
          <w:color w:val="000000" w:themeColor="text1"/>
          <w:sz w:val="28"/>
          <w:szCs w:val="28"/>
          <w:lang w:val="nl-NL"/>
        </w:rPr>
        <w:t>Mục 3. Kiểm tra và thử nghiệm</w:t>
      </w:r>
    </w:p>
    <w:p w14:paraId="15665773" w14:textId="77777777" w:rsidR="00F971E6" w:rsidRPr="00F971E6" w:rsidRDefault="00F971E6" w:rsidP="00F971E6">
      <w:pPr>
        <w:ind w:firstLine="720"/>
        <w:rPr>
          <w:rFonts w:eastAsia="Calibri"/>
          <w:iCs/>
          <w:color w:val="000000" w:themeColor="text1"/>
          <w:sz w:val="28"/>
          <w:szCs w:val="28"/>
          <w:lang w:val="nl-NL"/>
        </w:rPr>
      </w:pPr>
      <w:r w:rsidRPr="00F971E6">
        <w:rPr>
          <w:rFonts w:eastAsia="Calibri"/>
          <w:iCs/>
          <w:color w:val="000000" w:themeColor="text1"/>
          <w:sz w:val="28"/>
          <w:szCs w:val="28"/>
          <w:lang w:val="nl-NL"/>
        </w:rPr>
        <w:t>Trong trường hợp cần thiết Chủ đầu tư, Bên mời thầu hoặc đại diện Chủ đầu tư thực hiện kiểm tra, thử nghiệm hàng hóa trong các trường hợp sau:</w:t>
      </w:r>
    </w:p>
    <w:p w14:paraId="12359605" w14:textId="77777777" w:rsidR="00F971E6" w:rsidRPr="00F971E6" w:rsidRDefault="00F971E6" w:rsidP="00F971E6">
      <w:pPr>
        <w:ind w:firstLine="720"/>
        <w:rPr>
          <w:rFonts w:eastAsia="Calibri"/>
          <w:iCs/>
          <w:color w:val="000000" w:themeColor="text1"/>
          <w:sz w:val="28"/>
          <w:szCs w:val="28"/>
          <w:lang w:val="nl-NL"/>
        </w:rPr>
      </w:pPr>
      <w:r w:rsidRPr="00F971E6">
        <w:rPr>
          <w:rFonts w:eastAsia="Calibri"/>
          <w:iCs/>
          <w:color w:val="000000" w:themeColor="text1"/>
          <w:sz w:val="28"/>
          <w:szCs w:val="28"/>
          <w:lang w:val="nl-NL"/>
        </w:rPr>
        <w:t>- Hàng hóa cung cấp trước khi vận hành.</w:t>
      </w:r>
    </w:p>
    <w:p w14:paraId="2CC8FCFC" w14:textId="77777777" w:rsidR="00F971E6" w:rsidRPr="00F971E6" w:rsidRDefault="00F971E6" w:rsidP="00F971E6">
      <w:pPr>
        <w:ind w:firstLine="720"/>
        <w:rPr>
          <w:rFonts w:eastAsia="Calibri"/>
          <w:iCs/>
          <w:color w:val="000000" w:themeColor="text1"/>
          <w:sz w:val="28"/>
          <w:szCs w:val="28"/>
          <w:lang w:val="nl-NL"/>
        </w:rPr>
      </w:pPr>
      <w:r w:rsidRPr="00F971E6">
        <w:rPr>
          <w:rFonts w:eastAsia="Calibri"/>
          <w:iCs/>
          <w:color w:val="000000" w:themeColor="text1"/>
          <w:sz w:val="28"/>
          <w:szCs w:val="28"/>
          <w:lang w:val="nl-NL"/>
        </w:rPr>
        <w:t>- Khi có nghi ngờ về chất lượng hàng hóa cung cấp được vận hành</w:t>
      </w:r>
    </w:p>
    <w:p w14:paraId="359E07BE" w14:textId="77777777" w:rsidR="00F971E6" w:rsidRPr="00F971E6" w:rsidRDefault="00F971E6" w:rsidP="00F971E6">
      <w:pPr>
        <w:ind w:firstLine="720"/>
        <w:rPr>
          <w:rFonts w:eastAsia="Calibri"/>
          <w:iCs/>
          <w:color w:val="000000" w:themeColor="text1"/>
          <w:sz w:val="28"/>
          <w:szCs w:val="28"/>
          <w:lang w:val="nl-NL"/>
        </w:rPr>
      </w:pPr>
      <w:r w:rsidRPr="00F971E6">
        <w:rPr>
          <w:rFonts w:eastAsia="Calibri"/>
          <w:iCs/>
          <w:color w:val="000000" w:themeColor="text1"/>
          <w:sz w:val="28"/>
          <w:szCs w:val="28"/>
          <w:lang w:val="nl-NL"/>
        </w:rPr>
        <w:t>- Trước khi nghiệm thu hoàn thành đưa vào sử dụng, vận hành.</w:t>
      </w:r>
    </w:p>
    <w:p w14:paraId="0A9BE6B5" w14:textId="77777777" w:rsidR="00F971E6" w:rsidRPr="00F971E6" w:rsidRDefault="00F971E6" w:rsidP="00F971E6">
      <w:pPr>
        <w:ind w:firstLine="720"/>
        <w:rPr>
          <w:rFonts w:eastAsia="Calibri"/>
          <w:iCs/>
          <w:color w:val="000000" w:themeColor="text1"/>
          <w:spacing w:val="-2"/>
          <w:sz w:val="28"/>
          <w:szCs w:val="28"/>
          <w:lang w:val="nl-NL"/>
        </w:rPr>
      </w:pPr>
      <w:r w:rsidRPr="00F971E6">
        <w:rPr>
          <w:rFonts w:eastAsia="Calibri"/>
          <w:iCs/>
          <w:color w:val="000000" w:themeColor="text1"/>
          <w:spacing w:val="-2"/>
          <w:sz w:val="28"/>
          <w:szCs w:val="28"/>
          <w:lang w:val="nl-NL"/>
        </w:rPr>
        <w:t>- Đối với những hàng hóa được thay thế khi thực hiện bảo hành của nhà thầu.</w:t>
      </w:r>
    </w:p>
    <w:p w14:paraId="19EE69B3" w14:textId="77777777" w:rsidR="00F971E6" w:rsidRPr="00180F17" w:rsidRDefault="00F971E6" w:rsidP="00F971E6">
      <w:pPr>
        <w:ind w:firstLine="709"/>
        <w:jc w:val="left"/>
        <w:rPr>
          <w:i/>
          <w:iCs/>
          <w:sz w:val="28"/>
        </w:rPr>
      </w:pPr>
      <w:r w:rsidRPr="00F971E6">
        <w:rPr>
          <w:rFonts w:eastAsia="Calibri"/>
          <w:b/>
          <w:iCs/>
          <w:color w:val="000000" w:themeColor="text1"/>
          <w:sz w:val="28"/>
          <w:szCs w:val="28"/>
          <w:lang w:val="nl-NL"/>
        </w:rPr>
        <w:t>Lưu ý:</w:t>
      </w:r>
      <w:r w:rsidRPr="00F971E6">
        <w:rPr>
          <w:rFonts w:eastAsia="Calibri"/>
          <w:iCs/>
          <w:color w:val="000000" w:themeColor="text1"/>
          <w:sz w:val="28"/>
          <w:szCs w:val="28"/>
          <w:lang w:val="nl-NL"/>
        </w:rPr>
        <w:t xml:space="preserve"> Khi cần thiết, chủ đầu tư có thể yêu cầu kiểm định độc lập về chất lượng hàng hóa. Mọi chi phí kiểm định sẽ do nhà thầu chịu</w:t>
      </w:r>
      <w:r w:rsidRPr="00F971E6">
        <w:rPr>
          <w:sz w:val="28"/>
        </w:rPr>
        <w:t>.</w:t>
      </w:r>
    </w:p>
    <w:p w14:paraId="6A59B77D" w14:textId="77777777" w:rsidR="00F971E6" w:rsidRPr="00180F17" w:rsidRDefault="00F971E6" w:rsidP="00F971E6">
      <w:pPr>
        <w:ind w:firstLine="709"/>
        <w:jc w:val="left"/>
        <w:rPr>
          <w:i/>
          <w:iCs/>
          <w:sz w:val="28"/>
        </w:rPr>
      </w:pPr>
    </w:p>
    <w:p w14:paraId="0EE130D9" w14:textId="77777777" w:rsidR="00F971E6" w:rsidRDefault="00F971E6" w:rsidP="00F971E6">
      <w:pPr>
        <w:ind w:firstLine="709"/>
        <w:jc w:val="left"/>
        <w:rPr>
          <w:i/>
          <w:iCs/>
          <w:sz w:val="28"/>
        </w:rPr>
      </w:pPr>
    </w:p>
    <w:p w14:paraId="60B9DF02" w14:textId="77777777" w:rsidR="00A33153" w:rsidRPr="00F971E6" w:rsidRDefault="00A33153" w:rsidP="00F971E6"/>
    <w:sectPr w:rsidR="00A33153" w:rsidRPr="00F971E6" w:rsidSect="00AA10F7">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66D6F" w14:textId="77777777" w:rsidR="00627DA1" w:rsidRDefault="00627DA1" w:rsidP="0005772F">
      <w:r>
        <w:separator/>
      </w:r>
    </w:p>
  </w:endnote>
  <w:endnote w:type="continuationSeparator" w:id="0">
    <w:p w14:paraId="153D9C99" w14:textId="77777777" w:rsidR="00627DA1" w:rsidRDefault="00627DA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C54C4A" w:rsidRDefault="00C54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052BD" w14:textId="77777777" w:rsidR="00627DA1" w:rsidRDefault="00627DA1" w:rsidP="0005772F">
      <w:r>
        <w:separator/>
      </w:r>
    </w:p>
  </w:footnote>
  <w:footnote w:type="continuationSeparator" w:id="0">
    <w:p w14:paraId="317B2019" w14:textId="77777777" w:rsidR="00627DA1" w:rsidRDefault="00627DA1"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56673E6"/>
    <w:multiLevelType w:val="hybridMultilevel"/>
    <w:tmpl w:val="60343D4E"/>
    <w:lvl w:ilvl="0" w:tplc="9DD0DA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4"/>
  </w:num>
  <w:num w:numId="4">
    <w:abstractNumId w:val="6"/>
  </w:num>
  <w:num w:numId="5">
    <w:abstractNumId w:val="18"/>
  </w:num>
  <w:num w:numId="6">
    <w:abstractNumId w:val="26"/>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1"/>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6"/>
  </w:num>
  <w:num w:numId="24">
    <w:abstractNumId w:val="30"/>
  </w:num>
  <w:num w:numId="25">
    <w:abstractNumId w:val="14"/>
  </w:num>
  <w:num w:numId="26">
    <w:abstractNumId w:val="36"/>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9"/>
  </w:num>
  <w:num w:numId="34">
    <w:abstractNumId w:val="35"/>
  </w:num>
  <w:num w:numId="35">
    <w:abstractNumId w:val="10"/>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37E"/>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5D5B"/>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A16"/>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6D71"/>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2C49"/>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759"/>
    <w:rsid w:val="001E481C"/>
    <w:rsid w:val="001E4D46"/>
    <w:rsid w:val="001E506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72E"/>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6E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3AC8"/>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4B2B"/>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87BE9"/>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672"/>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06FB0"/>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27D4"/>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1DA0"/>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02A5"/>
    <w:rsid w:val="0062190B"/>
    <w:rsid w:val="00622CE0"/>
    <w:rsid w:val="006233BF"/>
    <w:rsid w:val="00623635"/>
    <w:rsid w:val="00624812"/>
    <w:rsid w:val="00624B7F"/>
    <w:rsid w:val="0062573A"/>
    <w:rsid w:val="0062608D"/>
    <w:rsid w:val="00626412"/>
    <w:rsid w:val="0062777C"/>
    <w:rsid w:val="00627DA1"/>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33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7CF"/>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72C"/>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0FB"/>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7AC"/>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21D"/>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42B9"/>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576D"/>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6E3"/>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899"/>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74FA"/>
    <w:rsid w:val="00AC05A6"/>
    <w:rsid w:val="00AC14E9"/>
    <w:rsid w:val="00AC2283"/>
    <w:rsid w:val="00AC2A25"/>
    <w:rsid w:val="00AC2B06"/>
    <w:rsid w:val="00AC361B"/>
    <w:rsid w:val="00AC3A04"/>
    <w:rsid w:val="00AC53C8"/>
    <w:rsid w:val="00AC565B"/>
    <w:rsid w:val="00AC6CF5"/>
    <w:rsid w:val="00AC6EE0"/>
    <w:rsid w:val="00AC715D"/>
    <w:rsid w:val="00AC71E2"/>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12B"/>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0A4"/>
    <w:rsid w:val="00BA5D57"/>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69E"/>
    <w:rsid w:val="00BF79E3"/>
    <w:rsid w:val="00BF7D0D"/>
    <w:rsid w:val="00C00E91"/>
    <w:rsid w:val="00C0260B"/>
    <w:rsid w:val="00C02698"/>
    <w:rsid w:val="00C02F0B"/>
    <w:rsid w:val="00C02F2C"/>
    <w:rsid w:val="00C0332E"/>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4C4A"/>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120"/>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6A20"/>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06A"/>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25AF"/>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024"/>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2E7"/>
    <w:rsid w:val="00DB09C8"/>
    <w:rsid w:val="00DB10F7"/>
    <w:rsid w:val="00DB1F59"/>
    <w:rsid w:val="00DB267E"/>
    <w:rsid w:val="00DB3372"/>
    <w:rsid w:val="00DB4073"/>
    <w:rsid w:val="00DB40B9"/>
    <w:rsid w:val="00DB4758"/>
    <w:rsid w:val="00DB4BF5"/>
    <w:rsid w:val="00DB583A"/>
    <w:rsid w:val="00DB58F6"/>
    <w:rsid w:val="00DB69D9"/>
    <w:rsid w:val="00DB6BDE"/>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8F0"/>
    <w:rsid w:val="00DE0DDB"/>
    <w:rsid w:val="00DE12E2"/>
    <w:rsid w:val="00DE14BE"/>
    <w:rsid w:val="00DE2BE1"/>
    <w:rsid w:val="00DE4D91"/>
    <w:rsid w:val="00DE4E61"/>
    <w:rsid w:val="00DE4FCD"/>
    <w:rsid w:val="00DE5B99"/>
    <w:rsid w:val="00DE6B74"/>
    <w:rsid w:val="00DE72B1"/>
    <w:rsid w:val="00DF0064"/>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268A"/>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0F6"/>
    <w:rsid w:val="00F33CB2"/>
    <w:rsid w:val="00F33CE1"/>
    <w:rsid w:val="00F33D7D"/>
    <w:rsid w:val="00F3446E"/>
    <w:rsid w:val="00F34AD7"/>
    <w:rsid w:val="00F35409"/>
    <w:rsid w:val="00F361A6"/>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5E9F"/>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1E6"/>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D5D5B"/>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0D5D5B"/>
    <w:pPr>
      <w:widowControl w:val="0"/>
      <w:autoSpaceDE w:val="0"/>
      <w:autoSpaceDN w:val="0"/>
      <w:jc w:val="left"/>
    </w:pPr>
    <w:rPr>
      <w:sz w:val="22"/>
      <w:szCs w:val="22"/>
    </w:rPr>
  </w:style>
  <w:style w:type="character" w:customStyle="1" w:styleId="fontstyle21">
    <w:name w:val="fontstyle21"/>
    <w:basedOn w:val="DefaultParagraphFont"/>
    <w:rsid w:val="00A70899"/>
    <w:rPr>
      <w:rFonts w:ascii="TimesNewRomanPS-ItalicMT" w:hAnsi="TimesNewRomanPS-ItalicMT" w:hint="default"/>
      <w:b w:val="0"/>
      <w:bCs w:val="0"/>
      <w:i/>
      <w:i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D5D5B"/>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0D5D5B"/>
    <w:pPr>
      <w:widowControl w:val="0"/>
      <w:autoSpaceDE w:val="0"/>
      <w:autoSpaceDN w:val="0"/>
      <w:jc w:val="left"/>
    </w:pPr>
    <w:rPr>
      <w:sz w:val="22"/>
      <w:szCs w:val="22"/>
    </w:rPr>
  </w:style>
  <w:style w:type="character" w:customStyle="1" w:styleId="fontstyle21">
    <w:name w:val="fontstyle21"/>
    <w:basedOn w:val="DefaultParagraphFont"/>
    <w:rsid w:val="00A70899"/>
    <w:rPr>
      <w:rFonts w:ascii="TimesNewRomanPS-ItalicMT" w:hAnsi="TimesNewRomanPS-ItalicMT"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81937724">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45566632">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B0F59-CD0B-4B14-AE87-A00C8DB7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NGOC BAO</cp:lastModifiedBy>
  <cp:revision>77</cp:revision>
  <cp:lastPrinted>2025-08-04T12:40:00Z</cp:lastPrinted>
  <dcterms:created xsi:type="dcterms:W3CDTF">2025-07-15T08:35:00Z</dcterms:created>
  <dcterms:modified xsi:type="dcterms:W3CDTF">2026-04-03T09:39:00Z</dcterms:modified>
</cp:coreProperties>
</file>