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58E4B" w14:textId="77777777" w:rsidR="00A25FDD" w:rsidRPr="00155BBB" w:rsidRDefault="00A25FDD" w:rsidP="00155BBB">
      <w:pPr>
        <w:pStyle w:val="TOC1"/>
        <w:rPr>
          <w:rFonts w:ascii="Times New Roman" w:hAnsi="Times New Roman" w:cs="Times New Roman"/>
        </w:rPr>
      </w:pPr>
      <w:r w:rsidRPr="00155BBB">
        <w:rPr>
          <w:rFonts w:ascii="Times New Roman" w:hAnsi="Times New Roman" w:cs="Times New Roman"/>
        </w:rPr>
        <w:t xml:space="preserve">Mục </w:t>
      </w:r>
      <w:r w:rsidRPr="00155BBB">
        <w:rPr>
          <w:rFonts w:ascii="Times New Roman" w:hAnsi="Times New Roman" w:cs="Times New Roman"/>
          <w:lang w:val="pl-PL"/>
        </w:rPr>
        <w:t>3</w:t>
      </w:r>
      <w:r w:rsidRPr="00155BBB">
        <w:rPr>
          <w:rFonts w:ascii="Times New Roman" w:hAnsi="Times New Roman" w:cs="Times New Roman"/>
        </w:rPr>
        <w:t>. Tiêu chuẩn đánh giá về kỹ thuật</w:t>
      </w:r>
    </w:p>
    <w:p w14:paraId="19C08513" w14:textId="77777777" w:rsidR="00A25FDD" w:rsidRPr="00155BBB" w:rsidRDefault="00A25FDD" w:rsidP="00A25FDD">
      <w:pPr>
        <w:spacing w:before="80" w:after="120" w:line="264" w:lineRule="auto"/>
        <w:ind w:firstLine="709"/>
        <w:rPr>
          <w:sz w:val="28"/>
          <w:szCs w:val="28"/>
        </w:rPr>
      </w:pPr>
      <w:r w:rsidRPr="00155BBB">
        <w:rPr>
          <w:sz w:val="28"/>
          <w:szCs w:val="28"/>
          <w:lang w:val="vi-VN"/>
        </w:rPr>
        <w:t xml:space="preserve">Sử dụng tiêu chí đạt/không đạt để </w:t>
      </w:r>
      <w:r w:rsidRPr="00155BBB">
        <w:rPr>
          <w:sz w:val="28"/>
          <w:szCs w:val="28"/>
          <w:lang w:val="nl-NL"/>
        </w:rPr>
        <w:t>đánh giá</w:t>
      </w:r>
      <w:r w:rsidRPr="00155BBB">
        <w:rPr>
          <w:sz w:val="28"/>
          <w:szCs w:val="28"/>
          <w:lang w:val="vi-VN"/>
        </w:rPr>
        <w:t xml:space="preserve"> tiêu chuẩn đánh giá về kỹ thuật.</w:t>
      </w:r>
      <w:r w:rsidRPr="00155BBB">
        <w:rPr>
          <w:sz w:val="28"/>
          <w:szCs w:val="28"/>
          <w:lang w:val="nl-NL"/>
        </w:rPr>
        <w:t xml:space="preserve"> </w:t>
      </w:r>
      <w:r w:rsidRPr="00155BBB">
        <w:rPr>
          <w:sz w:val="28"/>
          <w:szCs w:val="28"/>
        </w:rPr>
        <w:t>Cụ thể như sau:</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164"/>
        <w:gridCol w:w="4056"/>
        <w:gridCol w:w="2048"/>
      </w:tblGrid>
      <w:tr w:rsidR="00A25FDD" w:rsidRPr="00155BBB" w14:paraId="2E1C80C1" w14:textId="77777777" w:rsidTr="00863780">
        <w:trPr>
          <w:trHeight w:val="377"/>
          <w:tblHeader/>
        </w:trPr>
        <w:tc>
          <w:tcPr>
            <w:tcW w:w="3895" w:type="pct"/>
            <w:gridSpan w:val="2"/>
            <w:vAlign w:val="center"/>
          </w:tcPr>
          <w:p w14:paraId="09BDFBBA" w14:textId="77777777" w:rsidR="00A25FDD" w:rsidRPr="00155BBB" w:rsidRDefault="00A25FDD" w:rsidP="00863780">
            <w:pPr>
              <w:spacing w:line="288" w:lineRule="auto"/>
              <w:jc w:val="center"/>
              <w:rPr>
                <w:b/>
                <w:sz w:val="28"/>
                <w:szCs w:val="28"/>
              </w:rPr>
            </w:pPr>
            <w:r w:rsidRPr="00155BBB">
              <w:rPr>
                <w:b/>
                <w:sz w:val="28"/>
                <w:szCs w:val="28"/>
              </w:rPr>
              <w:t>Nội dung đánh giá</w:t>
            </w:r>
          </w:p>
        </w:tc>
        <w:tc>
          <w:tcPr>
            <w:tcW w:w="1105" w:type="pct"/>
            <w:vAlign w:val="center"/>
          </w:tcPr>
          <w:p w14:paraId="586ECF88" w14:textId="77777777" w:rsidR="00A25FDD" w:rsidRPr="00155BBB" w:rsidRDefault="00A25FDD" w:rsidP="00863780">
            <w:pPr>
              <w:spacing w:line="288" w:lineRule="auto"/>
              <w:jc w:val="center"/>
              <w:rPr>
                <w:b/>
                <w:sz w:val="28"/>
                <w:szCs w:val="28"/>
              </w:rPr>
            </w:pPr>
            <w:r w:rsidRPr="00155BBB">
              <w:rPr>
                <w:b/>
                <w:sz w:val="28"/>
                <w:szCs w:val="28"/>
              </w:rPr>
              <w:t>Sử dụng tiêu chí đạt/ không đạt</w:t>
            </w:r>
          </w:p>
        </w:tc>
      </w:tr>
      <w:tr w:rsidR="00A25FDD" w:rsidRPr="00155BBB" w14:paraId="697CCA55" w14:textId="77777777" w:rsidTr="00863780">
        <w:tc>
          <w:tcPr>
            <w:tcW w:w="5000" w:type="pct"/>
            <w:gridSpan w:val="3"/>
            <w:vAlign w:val="center"/>
          </w:tcPr>
          <w:p w14:paraId="1684389E" w14:textId="77777777" w:rsidR="00A25FDD" w:rsidRPr="00155BBB" w:rsidRDefault="00A25FDD" w:rsidP="00A25FDD">
            <w:pPr>
              <w:numPr>
                <w:ilvl w:val="0"/>
                <w:numId w:val="1"/>
              </w:numPr>
              <w:spacing w:line="288" w:lineRule="auto"/>
              <w:jc w:val="left"/>
              <w:rPr>
                <w:b/>
                <w:sz w:val="28"/>
                <w:szCs w:val="28"/>
              </w:rPr>
            </w:pPr>
            <w:r w:rsidRPr="00155BBB">
              <w:rPr>
                <w:b/>
                <w:sz w:val="28"/>
                <w:szCs w:val="28"/>
              </w:rPr>
              <w:t>Phạm vi cung cấp hàng hóa</w:t>
            </w:r>
          </w:p>
        </w:tc>
      </w:tr>
      <w:tr w:rsidR="00A25FDD" w:rsidRPr="00155BBB" w14:paraId="6777555C" w14:textId="77777777" w:rsidTr="00863780">
        <w:tc>
          <w:tcPr>
            <w:tcW w:w="1707" w:type="pct"/>
            <w:vMerge w:val="restart"/>
            <w:vAlign w:val="center"/>
          </w:tcPr>
          <w:p w14:paraId="736AFCE9" w14:textId="77777777" w:rsidR="00A25FDD" w:rsidRPr="00155BBB" w:rsidRDefault="00A25FDD" w:rsidP="00863780">
            <w:pPr>
              <w:spacing w:line="288" w:lineRule="auto"/>
              <w:ind w:left="289" w:right="142"/>
              <w:rPr>
                <w:sz w:val="28"/>
                <w:szCs w:val="28"/>
              </w:rPr>
            </w:pPr>
            <w:r w:rsidRPr="00155BBB">
              <w:rPr>
                <w:sz w:val="28"/>
                <w:szCs w:val="28"/>
              </w:rPr>
              <w:t>Đáp ứng về số lượng, chủng loại hàng hóa</w:t>
            </w:r>
          </w:p>
          <w:p w14:paraId="6A757545" w14:textId="77777777" w:rsidR="00A25FDD" w:rsidRPr="00155BBB" w:rsidRDefault="00A25FDD" w:rsidP="00863780">
            <w:pPr>
              <w:spacing w:line="288" w:lineRule="auto"/>
              <w:ind w:left="289" w:right="142"/>
              <w:rPr>
                <w:sz w:val="28"/>
                <w:szCs w:val="28"/>
              </w:rPr>
            </w:pPr>
          </w:p>
        </w:tc>
        <w:tc>
          <w:tcPr>
            <w:tcW w:w="2188" w:type="pct"/>
            <w:vAlign w:val="center"/>
          </w:tcPr>
          <w:p w14:paraId="3720D75F" w14:textId="77777777" w:rsidR="00A25FDD" w:rsidRPr="00155BBB" w:rsidRDefault="00A25FDD" w:rsidP="00863780">
            <w:pPr>
              <w:ind w:left="95" w:right="142"/>
              <w:rPr>
                <w:sz w:val="28"/>
                <w:szCs w:val="28"/>
              </w:rPr>
            </w:pPr>
            <w:r w:rsidRPr="00155BBB">
              <w:rPr>
                <w:sz w:val="28"/>
                <w:szCs w:val="28"/>
              </w:rPr>
              <w:t>Đáp ứng số lượng, chủng loại hàng hóa như yêu cầu của E-HSMT</w:t>
            </w:r>
          </w:p>
        </w:tc>
        <w:tc>
          <w:tcPr>
            <w:tcW w:w="1105" w:type="pct"/>
            <w:vAlign w:val="center"/>
          </w:tcPr>
          <w:p w14:paraId="01F3224B" w14:textId="77777777" w:rsidR="00A25FDD" w:rsidRPr="00155BBB" w:rsidRDefault="00A25FDD" w:rsidP="00863780">
            <w:pPr>
              <w:spacing w:line="288" w:lineRule="auto"/>
              <w:jc w:val="center"/>
              <w:rPr>
                <w:b/>
                <w:sz w:val="28"/>
                <w:szCs w:val="28"/>
              </w:rPr>
            </w:pPr>
            <w:r w:rsidRPr="00155BBB">
              <w:rPr>
                <w:b/>
                <w:sz w:val="28"/>
                <w:szCs w:val="28"/>
              </w:rPr>
              <w:t>Đạt</w:t>
            </w:r>
          </w:p>
        </w:tc>
      </w:tr>
      <w:tr w:rsidR="00A25FDD" w:rsidRPr="00155BBB" w14:paraId="0F113191" w14:textId="77777777" w:rsidTr="00863780">
        <w:trPr>
          <w:trHeight w:val="56"/>
        </w:trPr>
        <w:tc>
          <w:tcPr>
            <w:tcW w:w="0" w:type="auto"/>
            <w:vMerge/>
            <w:vAlign w:val="center"/>
          </w:tcPr>
          <w:p w14:paraId="68129A84" w14:textId="77777777" w:rsidR="00A25FDD" w:rsidRPr="00155BBB" w:rsidRDefault="00A25FDD" w:rsidP="00863780">
            <w:pPr>
              <w:rPr>
                <w:sz w:val="28"/>
                <w:szCs w:val="28"/>
              </w:rPr>
            </w:pPr>
          </w:p>
        </w:tc>
        <w:tc>
          <w:tcPr>
            <w:tcW w:w="2188" w:type="pct"/>
            <w:vAlign w:val="center"/>
          </w:tcPr>
          <w:p w14:paraId="2CBEA09B" w14:textId="77777777" w:rsidR="00A25FDD" w:rsidRPr="00155BBB" w:rsidRDefault="00A25FDD" w:rsidP="00863780">
            <w:pPr>
              <w:ind w:left="142" w:right="142"/>
              <w:rPr>
                <w:sz w:val="28"/>
                <w:szCs w:val="28"/>
              </w:rPr>
            </w:pPr>
            <w:r w:rsidRPr="00155BBB">
              <w:rPr>
                <w:sz w:val="28"/>
                <w:szCs w:val="28"/>
              </w:rPr>
              <w:t>Không đáp ứng số lượng hàng hóa như yêu cầu của E-HSMT</w:t>
            </w:r>
          </w:p>
        </w:tc>
        <w:tc>
          <w:tcPr>
            <w:tcW w:w="1105" w:type="pct"/>
            <w:vAlign w:val="center"/>
          </w:tcPr>
          <w:p w14:paraId="28242E4E" w14:textId="77777777" w:rsidR="00A25FDD" w:rsidRPr="00155BBB" w:rsidRDefault="00A25FDD" w:rsidP="00863780">
            <w:pPr>
              <w:spacing w:line="288" w:lineRule="auto"/>
              <w:jc w:val="center"/>
              <w:rPr>
                <w:b/>
                <w:sz w:val="28"/>
                <w:szCs w:val="28"/>
              </w:rPr>
            </w:pPr>
            <w:r w:rsidRPr="00155BBB">
              <w:rPr>
                <w:b/>
                <w:sz w:val="28"/>
                <w:szCs w:val="28"/>
              </w:rPr>
              <w:t>Không đạt</w:t>
            </w:r>
          </w:p>
        </w:tc>
      </w:tr>
      <w:tr w:rsidR="00A25FDD" w:rsidRPr="00155BBB" w14:paraId="29B18087" w14:textId="77777777" w:rsidTr="00863780">
        <w:tc>
          <w:tcPr>
            <w:tcW w:w="5000" w:type="pct"/>
            <w:gridSpan w:val="3"/>
          </w:tcPr>
          <w:p w14:paraId="21A7493D" w14:textId="77777777" w:rsidR="00A25FDD" w:rsidRPr="00155BBB" w:rsidRDefault="00A25FDD" w:rsidP="00A25FDD">
            <w:pPr>
              <w:numPr>
                <w:ilvl w:val="0"/>
                <w:numId w:val="1"/>
              </w:numPr>
              <w:spacing w:line="288" w:lineRule="auto"/>
              <w:jc w:val="left"/>
              <w:rPr>
                <w:b/>
                <w:sz w:val="28"/>
                <w:szCs w:val="28"/>
              </w:rPr>
            </w:pPr>
            <w:r w:rsidRPr="00155BBB">
              <w:rPr>
                <w:b/>
                <w:sz w:val="28"/>
                <w:szCs w:val="28"/>
              </w:rPr>
              <w:t>Đặc tính kỹ thuật của hàng hóa</w:t>
            </w:r>
          </w:p>
        </w:tc>
      </w:tr>
      <w:tr w:rsidR="00A25FDD" w:rsidRPr="00155BBB" w14:paraId="1B397E86" w14:textId="77777777" w:rsidTr="00863780">
        <w:trPr>
          <w:trHeight w:val="56"/>
        </w:trPr>
        <w:tc>
          <w:tcPr>
            <w:tcW w:w="1707" w:type="pct"/>
            <w:vMerge w:val="restart"/>
            <w:vAlign w:val="center"/>
          </w:tcPr>
          <w:p w14:paraId="199C8CF1" w14:textId="77777777" w:rsidR="00A25FDD" w:rsidRPr="00155BBB" w:rsidRDefault="00A25FDD" w:rsidP="00863780">
            <w:pPr>
              <w:ind w:right="83" w:firstLine="142"/>
              <w:rPr>
                <w:sz w:val="28"/>
                <w:szCs w:val="28"/>
              </w:rPr>
            </w:pPr>
            <w:r w:rsidRPr="00155BBB">
              <w:rPr>
                <w:rStyle w:val="fontstyle01"/>
                <w:rFonts w:ascii="Times New Roman" w:hAnsi="Times New Roman"/>
              </w:rPr>
              <w:t>Tính hợp lệ của hàng</w:t>
            </w:r>
            <w:r w:rsidRPr="00155BBB">
              <w:rPr>
                <w:color w:val="00B050"/>
                <w:sz w:val="28"/>
                <w:szCs w:val="28"/>
              </w:rPr>
              <w:br/>
            </w:r>
            <w:r w:rsidRPr="00155BBB">
              <w:rPr>
                <w:rStyle w:val="fontstyle01"/>
                <w:rFonts w:ascii="Times New Roman" w:hAnsi="Times New Roman"/>
              </w:rPr>
              <w:t>hóa</w:t>
            </w:r>
          </w:p>
        </w:tc>
        <w:tc>
          <w:tcPr>
            <w:tcW w:w="2188" w:type="pct"/>
            <w:vAlign w:val="center"/>
          </w:tcPr>
          <w:p w14:paraId="25D7C17C" w14:textId="77777777" w:rsidR="00A25FDD" w:rsidRPr="00155BBB" w:rsidRDefault="00A25FDD" w:rsidP="00863780">
            <w:pPr>
              <w:ind w:left="142" w:right="142"/>
              <w:rPr>
                <w:color w:val="000000"/>
                <w:sz w:val="28"/>
                <w:szCs w:val="28"/>
              </w:rPr>
            </w:pPr>
            <w:r w:rsidRPr="00155BBB">
              <w:rPr>
                <w:rStyle w:val="fontstyle01"/>
                <w:rFonts w:ascii="Times New Roman" w:hAnsi="Times New Roman"/>
              </w:rPr>
              <w:t>Các hàng hóa chào thầu phải nêu rõ tên, hãng sản xuất, xuất xứ, thông số kỹ thuật. Hàng hóa được thể hiện rõ ràng trong catalogue hoặc được đăng tải rõ ràng trên Website chính thức của nhà sản xuất hoặc giấy tờ khác có giá trị tương đương.</w:t>
            </w:r>
          </w:p>
        </w:tc>
        <w:tc>
          <w:tcPr>
            <w:tcW w:w="1105" w:type="pct"/>
            <w:vAlign w:val="center"/>
          </w:tcPr>
          <w:p w14:paraId="612673E8" w14:textId="77777777" w:rsidR="00A25FDD" w:rsidRPr="00155BBB" w:rsidRDefault="00A25FDD" w:rsidP="00863780">
            <w:pPr>
              <w:spacing w:line="288" w:lineRule="auto"/>
              <w:jc w:val="center"/>
              <w:rPr>
                <w:b/>
                <w:sz w:val="28"/>
                <w:szCs w:val="28"/>
              </w:rPr>
            </w:pPr>
            <w:r w:rsidRPr="00155BBB">
              <w:rPr>
                <w:rStyle w:val="fontstyle21"/>
              </w:rPr>
              <w:t>Đạt</w:t>
            </w:r>
          </w:p>
        </w:tc>
      </w:tr>
      <w:tr w:rsidR="00A25FDD" w:rsidRPr="00155BBB" w14:paraId="543C8818" w14:textId="77777777" w:rsidTr="00863780">
        <w:trPr>
          <w:trHeight w:val="56"/>
        </w:trPr>
        <w:tc>
          <w:tcPr>
            <w:tcW w:w="1707" w:type="pct"/>
            <w:vMerge/>
            <w:vAlign w:val="center"/>
          </w:tcPr>
          <w:p w14:paraId="07B79C19" w14:textId="77777777" w:rsidR="00A25FDD" w:rsidRPr="00155BBB" w:rsidRDefault="00A25FDD" w:rsidP="00863780">
            <w:pPr>
              <w:ind w:left="147"/>
              <w:rPr>
                <w:sz w:val="28"/>
                <w:szCs w:val="28"/>
              </w:rPr>
            </w:pPr>
          </w:p>
        </w:tc>
        <w:tc>
          <w:tcPr>
            <w:tcW w:w="2188" w:type="pct"/>
            <w:vAlign w:val="center"/>
          </w:tcPr>
          <w:p w14:paraId="29EC0E26" w14:textId="77777777" w:rsidR="00A25FDD" w:rsidRPr="00155BBB" w:rsidRDefault="00A25FDD" w:rsidP="00863780">
            <w:pPr>
              <w:ind w:left="142" w:right="142"/>
              <w:rPr>
                <w:sz w:val="28"/>
                <w:szCs w:val="28"/>
              </w:rPr>
            </w:pPr>
            <w:r w:rsidRPr="00155BBB">
              <w:rPr>
                <w:rStyle w:val="fontstyle01"/>
                <w:rFonts w:ascii="Times New Roman" w:hAnsi="Times New Roman"/>
              </w:rPr>
              <w:t>Một trong các hàng hoá chào thầu không đáp ứng yêu cầu nêu trên.</w:t>
            </w:r>
          </w:p>
        </w:tc>
        <w:tc>
          <w:tcPr>
            <w:tcW w:w="1105" w:type="pct"/>
            <w:vAlign w:val="center"/>
          </w:tcPr>
          <w:p w14:paraId="5FE7A1F1" w14:textId="77777777" w:rsidR="00A25FDD" w:rsidRPr="00155BBB" w:rsidRDefault="00A25FDD" w:rsidP="00863780">
            <w:pPr>
              <w:spacing w:line="288" w:lineRule="auto"/>
              <w:jc w:val="center"/>
              <w:rPr>
                <w:b/>
                <w:sz w:val="28"/>
                <w:szCs w:val="28"/>
              </w:rPr>
            </w:pPr>
            <w:r w:rsidRPr="00155BBB">
              <w:rPr>
                <w:b/>
                <w:sz w:val="28"/>
                <w:szCs w:val="28"/>
              </w:rPr>
              <w:t>Không đạt</w:t>
            </w:r>
          </w:p>
        </w:tc>
      </w:tr>
      <w:tr w:rsidR="00A25FDD" w:rsidRPr="00155BBB" w14:paraId="2640D263" w14:textId="77777777" w:rsidTr="00863780">
        <w:trPr>
          <w:trHeight w:val="56"/>
        </w:trPr>
        <w:tc>
          <w:tcPr>
            <w:tcW w:w="1707" w:type="pct"/>
            <w:vMerge w:val="restart"/>
            <w:vAlign w:val="center"/>
          </w:tcPr>
          <w:p w14:paraId="313DEFFD" w14:textId="77777777" w:rsidR="00A25FDD" w:rsidRPr="00155BBB" w:rsidRDefault="00A25FDD" w:rsidP="00863780">
            <w:pPr>
              <w:ind w:left="147"/>
              <w:rPr>
                <w:sz w:val="28"/>
                <w:szCs w:val="28"/>
              </w:rPr>
            </w:pPr>
            <w:r w:rsidRPr="00155BBB">
              <w:rPr>
                <w:sz w:val="28"/>
                <w:szCs w:val="28"/>
              </w:rPr>
              <w:t>Đặc tính, thông số kỹ thuật của hàng hóa, tiêu chuẩn sản xuất, tiêu chuẩn chế tạo và công nghệ</w:t>
            </w:r>
          </w:p>
        </w:tc>
        <w:tc>
          <w:tcPr>
            <w:tcW w:w="2188" w:type="pct"/>
            <w:vAlign w:val="center"/>
          </w:tcPr>
          <w:p w14:paraId="302C8CA3" w14:textId="77777777" w:rsidR="00A25FDD" w:rsidRPr="00155BBB" w:rsidRDefault="00A25FDD" w:rsidP="00863780">
            <w:pPr>
              <w:ind w:left="142" w:right="142"/>
              <w:rPr>
                <w:sz w:val="28"/>
                <w:szCs w:val="28"/>
              </w:rPr>
            </w:pPr>
            <w:r w:rsidRPr="00155BBB">
              <w:rPr>
                <w:sz w:val="28"/>
                <w:szCs w:val="28"/>
              </w:rPr>
              <w:t xml:space="preserve">Có đặc tính, thông số kỹ thuật của hàng hóa, tiêu chuẩn sản xuất và công nghệ hoàn toàn phù hợp đáp ứng yêu cầu tại </w:t>
            </w:r>
            <w:r w:rsidRPr="00155BBB">
              <w:rPr>
                <w:rStyle w:val="fontstyle01"/>
                <w:rFonts w:ascii="Times New Roman" w:hAnsi="Times New Roman"/>
              </w:rPr>
              <w:t>Mục 1.2 chương V của E-HSMT</w:t>
            </w:r>
          </w:p>
        </w:tc>
        <w:tc>
          <w:tcPr>
            <w:tcW w:w="1105" w:type="pct"/>
            <w:vAlign w:val="center"/>
          </w:tcPr>
          <w:p w14:paraId="381C06E2" w14:textId="77777777" w:rsidR="00A25FDD" w:rsidRPr="00155BBB" w:rsidRDefault="00A25FDD" w:rsidP="00863780">
            <w:pPr>
              <w:spacing w:line="288" w:lineRule="auto"/>
              <w:jc w:val="center"/>
              <w:rPr>
                <w:b/>
                <w:sz w:val="28"/>
                <w:szCs w:val="28"/>
              </w:rPr>
            </w:pPr>
            <w:r w:rsidRPr="00155BBB">
              <w:rPr>
                <w:b/>
                <w:sz w:val="28"/>
                <w:szCs w:val="28"/>
              </w:rPr>
              <w:t>Đạt</w:t>
            </w:r>
          </w:p>
        </w:tc>
      </w:tr>
      <w:tr w:rsidR="00A25FDD" w:rsidRPr="00155BBB" w14:paraId="04786C26" w14:textId="77777777" w:rsidTr="00863780">
        <w:tc>
          <w:tcPr>
            <w:tcW w:w="0" w:type="auto"/>
            <w:vMerge/>
            <w:vAlign w:val="center"/>
          </w:tcPr>
          <w:p w14:paraId="1FD3E1FB" w14:textId="77777777" w:rsidR="00A25FDD" w:rsidRPr="00155BBB" w:rsidRDefault="00A25FDD" w:rsidP="00863780">
            <w:pPr>
              <w:rPr>
                <w:sz w:val="28"/>
                <w:szCs w:val="28"/>
              </w:rPr>
            </w:pPr>
          </w:p>
        </w:tc>
        <w:tc>
          <w:tcPr>
            <w:tcW w:w="2188" w:type="pct"/>
            <w:vAlign w:val="center"/>
          </w:tcPr>
          <w:p w14:paraId="1E910EA3" w14:textId="77777777" w:rsidR="00A25FDD" w:rsidRPr="00155BBB" w:rsidRDefault="00A25FDD" w:rsidP="00863780">
            <w:pPr>
              <w:ind w:left="57" w:right="57" w:firstLine="193"/>
              <w:rPr>
                <w:sz w:val="28"/>
                <w:szCs w:val="28"/>
              </w:rPr>
            </w:pPr>
            <w:r w:rsidRPr="00155BBB">
              <w:rPr>
                <w:rStyle w:val="fontstyle01"/>
                <w:rFonts w:ascii="Times New Roman" w:hAnsi="Times New Roman"/>
              </w:rPr>
              <w:t>Một trong các hàng hóa chào thầu có đặc tính và thông số kỹ thuật, tiêu chuẩn sản xuất và công nghệ không đáp ứng một trong các yêu cầu tại Mục 1.2 chương V của E-HSMT</w:t>
            </w:r>
          </w:p>
        </w:tc>
        <w:tc>
          <w:tcPr>
            <w:tcW w:w="1105" w:type="pct"/>
            <w:vAlign w:val="center"/>
          </w:tcPr>
          <w:p w14:paraId="3DEB3C63" w14:textId="77777777" w:rsidR="00A25FDD" w:rsidRPr="00155BBB" w:rsidRDefault="00A25FDD" w:rsidP="00863780">
            <w:pPr>
              <w:spacing w:line="288" w:lineRule="auto"/>
              <w:jc w:val="center"/>
              <w:rPr>
                <w:b/>
                <w:sz w:val="28"/>
                <w:szCs w:val="28"/>
              </w:rPr>
            </w:pPr>
            <w:r w:rsidRPr="00155BBB">
              <w:rPr>
                <w:b/>
                <w:sz w:val="28"/>
                <w:szCs w:val="28"/>
              </w:rPr>
              <w:t>Không đạt</w:t>
            </w:r>
          </w:p>
        </w:tc>
      </w:tr>
      <w:tr w:rsidR="00A25FDD" w:rsidRPr="00155BBB" w14:paraId="290A6478" w14:textId="77777777" w:rsidTr="00863780">
        <w:tc>
          <w:tcPr>
            <w:tcW w:w="5000" w:type="pct"/>
            <w:gridSpan w:val="3"/>
          </w:tcPr>
          <w:p w14:paraId="1AD99A8A" w14:textId="77777777" w:rsidR="00A25FDD" w:rsidRPr="00155BBB" w:rsidRDefault="00A25FDD" w:rsidP="00863780">
            <w:pPr>
              <w:ind w:left="431"/>
              <w:rPr>
                <w:b/>
                <w:sz w:val="28"/>
                <w:szCs w:val="28"/>
                <w:highlight w:val="yellow"/>
              </w:rPr>
            </w:pPr>
            <w:r w:rsidRPr="00155BBB">
              <w:rPr>
                <w:b/>
                <w:sz w:val="28"/>
                <w:szCs w:val="28"/>
              </w:rPr>
              <w:t>3. Giải pháp kỹ thuật, biện pháp tổ chức cung cấp hàng hóa</w:t>
            </w:r>
          </w:p>
        </w:tc>
      </w:tr>
      <w:tr w:rsidR="00A25FDD" w:rsidRPr="00155BBB" w14:paraId="7E439F14" w14:textId="77777777" w:rsidTr="00863780">
        <w:tc>
          <w:tcPr>
            <w:tcW w:w="1707" w:type="pct"/>
            <w:vMerge w:val="restart"/>
            <w:vAlign w:val="center"/>
          </w:tcPr>
          <w:p w14:paraId="0EBD1C40" w14:textId="77777777" w:rsidR="00A25FDD" w:rsidRPr="00155BBB" w:rsidRDefault="00A25FDD" w:rsidP="00863780">
            <w:pPr>
              <w:spacing w:line="288" w:lineRule="auto"/>
              <w:ind w:left="147"/>
              <w:rPr>
                <w:sz w:val="28"/>
                <w:szCs w:val="28"/>
              </w:rPr>
            </w:pPr>
            <w:r w:rsidRPr="00155BBB">
              <w:rPr>
                <w:sz w:val="28"/>
                <w:szCs w:val="28"/>
              </w:rPr>
              <w:t>Tính hợp lý và hiệu quả kinh tế của các giải pháp kỹ thuật, biện pháp tổ chức cung cấp hàng hóa.</w:t>
            </w:r>
          </w:p>
        </w:tc>
        <w:tc>
          <w:tcPr>
            <w:tcW w:w="2188" w:type="pct"/>
            <w:vAlign w:val="center"/>
          </w:tcPr>
          <w:p w14:paraId="07F16FC3" w14:textId="77777777" w:rsidR="00A25FDD" w:rsidRPr="00155BBB" w:rsidRDefault="00A25FDD" w:rsidP="00863780">
            <w:pPr>
              <w:ind w:left="142" w:right="142"/>
              <w:rPr>
                <w:spacing w:val="-4"/>
                <w:sz w:val="28"/>
                <w:szCs w:val="28"/>
              </w:rPr>
            </w:pPr>
            <w:r w:rsidRPr="00155BBB">
              <w:rPr>
                <w:spacing w:val="-4"/>
                <w:sz w:val="28"/>
                <w:szCs w:val="28"/>
              </w:rPr>
              <w:t>Có các giải pháp kỹ thuật, biện pháp tổ chức cung cấp hàng hóa hợp lý và hiệu quả kinh tế.</w:t>
            </w:r>
          </w:p>
        </w:tc>
        <w:tc>
          <w:tcPr>
            <w:tcW w:w="1105" w:type="pct"/>
            <w:vAlign w:val="center"/>
          </w:tcPr>
          <w:p w14:paraId="54593B45" w14:textId="77777777" w:rsidR="00A25FDD" w:rsidRPr="00155BBB" w:rsidRDefault="00A25FDD" w:rsidP="00863780">
            <w:pPr>
              <w:spacing w:line="288" w:lineRule="auto"/>
              <w:jc w:val="center"/>
              <w:rPr>
                <w:b/>
                <w:sz w:val="28"/>
                <w:szCs w:val="28"/>
              </w:rPr>
            </w:pPr>
            <w:r w:rsidRPr="00155BBB">
              <w:rPr>
                <w:b/>
                <w:sz w:val="28"/>
                <w:szCs w:val="28"/>
              </w:rPr>
              <w:t>Đạt</w:t>
            </w:r>
          </w:p>
        </w:tc>
      </w:tr>
      <w:tr w:rsidR="00A25FDD" w:rsidRPr="00155BBB" w14:paraId="413D7304" w14:textId="77777777" w:rsidTr="00863780">
        <w:tc>
          <w:tcPr>
            <w:tcW w:w="0" w:type="auto"/>
            <w:vMerge/>
            <w:vAlign w:val="center"/>
          </w:tcPr>
          <w:p w14:paraId="033ABA61" w14:textId="77777777" w:rsidR="00A25FDD" w:rsidRPr="00155BBB" w:rsidRDefault="00A25FDD" w:rsidP="00863780">
            <w:pPr>
              <w:rPr>
                <w:sz w:val="28"/>
                <w:szCs w:val="28"/>
              </w:rPr>
            </w:pPr>
          </w:p>
        </w:tc>
        <w:tc>
          <w:tcPr>
            <w:tcW w:w="2188" w:type="pct"/>
            <w:vAlign w:val="center"/>
          </w:tcPr>
          <w:p w14:paraId="7F0CD54E" w14:textId="77777777" w:rsidR="00A25FDD" w:rsidRPr="00155BBB" w:rsidRDefault="00A25FDD" w:rsidP="00863780">
            <w:pPr>
              <w:ind w:left="142" w:right="142"/>
              <w:rPr>
                <w:spacing w:val="-6"/>
                <w:sz w:val="28"/>
                <w:szCs w:val="28"/>
              </w:rPr>
            </w:pPr>
            <w:r w:rsidRPr="00155BBB">
              <w:rPr>
                <w:spacing w:val="-6"/>
                <w:sz w:val="28"/>
                <w:szCs w:val="28"/>
              </w:rPr>
              <w:t>Không có các giải pháp kỹ thuật, biện pháp tổ chức cung cấp hàng hóa hợp lý và hiệu quả kinh tế.</w:t>
            </w:r>
          </w:p>
        </w:tc>
        <w:tc>
          <w:tcPr>
            <w:tcW w:w="1105" w:type="pct"/>
            <w:vAlign w:val="center"/>
          </w:tcPr>
          <w:p w14:paraId="2A6008C7" w14:textId="77777777" w:rsidR="00A25FDD" w:rsidRPr="00155BBB" w:rsidRDefault="00A25FDD" w:rsidP="00863780">
            <w:pPr>
              <w:spacing w:line="288" w:lineRule="auto"/>
              <w:jc w:val="center"/>
              <w:rPr>
                <w:b/>
                <w:sz w:val="28"/>
                <w:szCs w:val="28"/>
              </w:rPr>
            </w:pPr>
            <w:r w:rsidRPr="00155BBB">
              <w:rPr>
                <w:b/>
                <w:sz w:val="28"/>
                <w:szCs w:val="28"/>
              </w:rPr>
              <w:t>Không đạt</w:t>
            </w:r>
          </w:p>
        </w:tc>
      </w:tr>
      <w:tr w:rsidR="00A25FDD" w:rsidRPr="00155BBB" w14:paraId="4F5621E5" w14:textId="77777777" w:rsidTr="00863780">
        <w:tc>
          <w:tcPr>
            <w:tcW w:w="5000" w:type="pct"/>
            <w:gridSpan w:val="3"/>
            <w:vAlign w:val="center"/>
          </w:tcPr>
          <w:p w14:paraId="6D72272F" w14:textId="77777777" w:rsidR="00A25FDD" w:rsidRPr="00155BBB" w:rsidRDefault="00A25FDD" w:rsidP="00863780">
            <w:pPr>
              <w:ind w:left="431"/>
              <w:rPr>
                <w:b/>
                <w:sz w:val="28"/>
                <w:szCs w:val="28"/>
              </w:rPr>
            </w:pPr>
            <w:r w:rsidRPr="00155BBB">
              <w:rPr>
                <w:b/>
                <w:sz w:val="28"/>
                <w:szCs w:val="28"/>
              </w:rPr>
              <w:t>4. Tiến độ cung cấp hàng hóa</w:t>
            </w:r>
          </w:p>
        </w:tc>
      </w:tr>
      <w:tr w:rsidR="00A25FDD" w:rsidRPr="00155BBB" w14:paraId="2254AB93" w14:textId="77777777" w:rsidTr="00863780">
        <w:tc>
          <w:tcPr>
            <w:tcW w:w="1707" w:type="pct"/>
            <w:vMerge w:val="restart"/>
            <w:vAlign w:val="center"/>
          </w:tcPr>
          <w:p w14:paraId="365F36B8" w14:textId="77777777" w:rsidR="00A25FDD" w:rsidRPr="00155BBB" w:rsidRDefault="00A25FDD" w:rsidP="00863780">
            <w:pPr>
              <w:spacing w:line="288" w:lineRule="auto"/>
              <w:ind w:left="147" w:right="142"/>
              <w:rPr>
                <w:sz w:val="28"/>
                <w:szCs w:val="28"/>
              </w:rPr>
            </w:pPr>
            <w:r w:rsidRPr="00155BBB">
              <w:rPr>
                <w:sz w:val="28"/>
                <w:szCs w:val="28"/>
              </w:rPr>
              <w:lastRenderedPageBreak/>
              <w:t>Bảng tiến độ cung cấp hàng hóa hợp lý, khả thi phù hợp với đề xuất kỹ thuật và đáp ứng yêu cầu của HSMT.</w:t>
            </w:r>
          </w:p>
        </w:tc>
        <w:tc>
          <w:tcPr>
            <w:tcW w:w="2188" w:type="pct"/>
          </w:tcPr>
          <w:p w14:paraId="7DC2F33A" w14:textId="77777777" w:rsidR="00A25FDD" w:rsidRPr="00155BBB" w:rsidRDefault="00A25FDD" w:rsidP="00863780">
            <w:pPr>
              <w:ind w:left="142"/>
              <w:rPr>
                <w:sz w:val="28"/>
                <w:szCs w:val="28"/>
              </w:rPr>
            </w:pPr>
            <w:r w:rsidRPr="00155BBB">
              <w:rPr>
                <w:sz w:val="28"/>
                <w:szCs w:val="28"/>
              </w:rPr>
              <w:t xml:space="preserve">Có Bảng tiến độ cung cấp hàng hóa hợp lý, khả thi và phù hợp với đề xuất kỹ thuật và đáp ứng yêu cầu của E-HSMT </w:t>
            </w:r>
            <w:proofErr w:type="gramStart"/>
            <w:r w:rsidRPr="00155BBB">
              <w:rPr>
                <w:sz w:val="28"/>
                <w:szCs w:val="28"/>
              </w:rPr>
              <w:t>( ≤</w:t>
            </w:r>
            <w:proofErr w:type="gramEnd"/>
            <w:r w:rsidRPr="00155BBB">
              <w:rPr>
                <w:sz w:val="28"/>
                <w:szCs w:val="28"/>
              </w:rPr>
              <w:t xml:space="preserve"> 10 ngày)</w:t>
            </w:r>
          </w:p>
        </w:tc>
        <w:tc>
          <w:tcPr>
            <w:tcW w:w="1105" w:type="pct"/>
            <w:vAlign w:val="center"/>
          </w:tcPr>
          <w:p w14:paraId="3AF9F5BA" w14:textId="77777777" w:rsidR="00A25FDD" w:rsidRPr="00155BBB" w:rsidRDefault="00A25FDD" w:rsidP="00863780">
            <w:pPr>
              <w:spacing w:line="288" w:lineRule="auto"/>
              <w:jc w:val="center"/>
              <w:rPr>
                <w:b/>
                <w:sz w:val="28"/>
                <w:szCs w:val="28"/>
              </w:rPr>
            </w:pPr>
            <w:r w:rsidRPr="00155BBB">
              <w:rPr>
                <w:b/>
                <w:sz w:val="28"/>
                <w:szCs w:val="28"/>
              </w:rPr>
              <w:t>Đạt</w:t>
            </w:r>
          </w:p>
        </w:tc>
      </w:tr>
      <w:tr w:rsidR="00A25FDD" w:rsidRPr="00155BBB" w14:paraId="77BA2A5B" w14:textId="77777777" w:rsidTr="00863780">
        <w:tc>
          <w:tcPr>
            <w:tcW w:w="0" w:type="auto"/>
            <w:vMerge/>
            <w:vAlign w:val="center"/>
          </w:tcPr>
          <w:p w14:paraId="2546F96D" w14:textId="77777777" w:rsidR="00A25FDD" w:rsidRPr="00155BBB" w:rsidRDefault="00A25FDD" w:rsidP="00863780">
            <w:pPr>
              <w:rPr>
                <w:sz w:val="28"/>
                <w:szCs w:val="28"/>
              </w:rPr>
            </w:pPr>
          </w:p>
        </w:tc>
        <w:tc>
          <w:tcPr>
            <w:tcW w:w="2188" w:type="pct"/>
          </w:tcPr>
          <w:p w14:paraId="2EDB87F7" w14:textId="77777777" w:rsidR="00A25FDD" w:rsidRPr="00155BBB" w:rsidRDefault="00A25FDD" w:rsidP="00863780">
            <w:pPr>
              <w:ind w:left="142"/>
              <w:rPr>
                <w:spacing w:val="-4"/>
                <w:sz w:val="28"/>
                <w:szCs w:val="28"/>
              </w:rPr>
            </w:pPr>
            <w:r w:rsidRPr="00155BBB">
              <w:rPr>
                <w:spacing w:val="-4"/>
                <w:sz w:val="28"/>
                <w:szCs w:val="28"/>
              </w:rPr>
              <w:t xml:space="preserve">Không có Bảng tiến độ cung cấp hàng hóa hoặc có Bảng tiến độ cung cấp hàng hóa nhưng không hợp lý, không khả thi, không phù hợp với đề xuất kỹ thuật </w:t>
            </w:r>
            <w:proofErr w:type="gramStart"/>
            <w:r w:rsidRPr="00155BBB">
              <w:rPr>
                <w:spacing w:val="-4"/>
                <w:sz w:val="28"/>
                <w:szCs w:val="28"/>
              </w:rPr>
              <w:t>( &gt;</w:t>
            </w:r>
            <w:proofErr w:type="gramEnd"/>
            <w:r w:rsidRPr="00155BBB">
              <w:rPr>
                <w:spacing w:val="-4"/>
                <w:sz w:val="28"/>
                <w:szCs w:val="28"/>
              </w:rPr>
              <w:t>10 ngày)</w:t>
            </w:r>
          </w:p>
        </w:tc>
        <w:tc>
          <w:tcPr>
            <w:tcW w:w="1105" w:type="pct"/>
            <w:vAlign w:val="center"/>
          </w:tcPr>
          <w:p w14:paraId="36FBDF81" w14:textId="77777777" w:rsidR="00A25FDD" w:rsidRPr="00155BBB" w:rsidRDefault="00A25FDD" w:rsidP="00863780">
            <w:pPr>
              <w:spacing w:line="288" w:lineRule="auto"/>
              <w:jc w:val="center"/>
              <w:rPr>
                <w:b/>
                <w:sz w:val="28"/>
                <w:szCs w:val="28"/>
              </w:rPr>
            </w:pPr>
            <w:r w:rsidRPr="00155BBB">
              <w:rPr>
                <w:b/>
                <w:sz w:val="28"/>
                <w:szCs w:val="28"/>
              </w:rPr>
              <w:t>Không đạt</w:t>
            </w:r>
          </w:p>
        </w:tc>
      </w:tr>
      <w:tr w:rsidR="00A25FDD" w:rsidRPr="00155BBB" w14:paraId="300EEDEB" w14:textId="77777777" w:rsidTr="00863780">
        <w:tc>
          <w:tcPr>
            <w:tcW w:w="5000" w:type="pct"/>
            <w:gridSpan w:val="3"/>
          </w:tcPr>
          <w:p w14:paraId="3BF7E4BD" w14:textId="77777777" w:rsidR="00A25FDD" w:rsidRPr="00155BBB" w:rsidRDefault="00A25FDD" w:rsidP="00863780">
            <w:pPr>
              <w:rPr>
                <w:b/>
                <w:sz w:val="28"/>
                <w:szCs w:val="28"/>
              </w:rPr>
            </w:pPr>
            <w:r w:rsidRPr="00155BBB">
              <w:rPr>
                <w:b/>
                <w:sz w:val="28"/>
                <w:szCs w:val="28"/>
              </w:rPr>
              <w:t xml:space="preserve">      5. Bảo hành</w:t>
            </w:r>
          </w:p>
        </w:tc>
      </w:tr>
      <w:tr w:rsidR="00A25FDD" w:rsidRPr="00155BBB" w14:paraId="49F693B0" w14:textId="77777777" w:rsidTr="00863780">
        <w:tc>
          <w:tcPr>
            <w:tcW w:w="1707" w:type="pct"/>
            <w:vMerge w:val="restart"/>
            <w:vAlign w:val="center"/>
          </w:tcPr>
          <w:p w14:paraId="47CA203F" w14:textId="77777777" w:rsidR="00A25FDD" w:rsidRPr="00155BBB" w:rsidRDefault="00A25FDD" w:rsidP="00863780">
            <w:pPr>
              <w:spacing w:line="288" w:lineRule="auto"/>
              <w:ind w:left="147"/>
              <w:rPr>
                <w:sz w:val="28"/>
                <w:szCs w:val="28"/>
              </w:rPr>
            </w:pPr>
            <w:r w:rsidRPr="00155BBB">
              <w:rPr>
                <w:sz w:val="28"/>
                <w:szCs w:val="28"/>
              </w:rPr>
              <w:t xml:space="preserve">Thời gian bảo hành </w:t>
            </w:r>
          </w:p>
        </w:tc>
        <w:tc>
          <w:tcPr>
            <w:tcW w:w="2188" w:type="pct"/>
          </w:tcPr>
          <w:p w14:paraId="3043DC7E" w14:textId="77777777" w:rsidR="00A25FDD" w:rsidRPr="00155BBB" w:rsidRDefault="00A25FDD" w:rsidP="00863780">
            <w:pPr>
              <w:spacing w:before="60"/>
              <w:ind w:left="95"/>
              <w:rPr>
                <w:sz w:val="28"/>
                <w:szCs w:val="28"/>
              </w:rPr>
            </w:pPr>
            <w:r w:rsidRPr="00155BBB">
              <w:rPr>
                <w:sz w:val="28"/>
                <w:szCs w:val="28"/>
              </w:rPr>
              <w:t xml:space="preserve">Thời gian bảo hành </w:t>
            </w:r>
            <w:r w:rsidRPr="00155BBB">
              <w:rPr>
                <w:spacing w:val="-4"/>
                <w:sz w:val="28"/>
                <w:szCs w:val="28"/>
              </w:rPr>
              <w:t>≥ 12 tháng</w:t>
            </w:r>
          </w:p>
        </w:tc>
        <w:tc>
          <w:tcPr>
            <w:tcW w:w="1105" w:type="pct"/>
            <w:vAlign w:val="center"/>
          </w:tcPr>
          <w:p w14:paraId="366E8BD1" w14:textId="77777777" w:rsidR="00A25FDD" w:rsidRPr="00155BBB" w:rsidRDefault="00A25FDD" w:rsidP="00863780">
            <w:pPr>
              <w:spacing w:line="288" w:lineRule="auto"/>
              <w:jc w:val="center"/>
              <w:rPr>
                <w:b/>
                <w:sz w:val="28"/>
                <w:szCs w:val="28"/>
              </w:rPr>
            </w:pPr>
            <w:r w:rsidRPr="00155BBB">
              <w:rPr>
                <w:b/>
                <w:sz w:val="28"/>
                <w:szCs w:val="28"/>
              </w:rPr>
              <w:t>Đạt</w:t>
            </w:r>
          </w:p>
        </w:tc>
      </w:tr>
      <w:tr w:rsidR="00A25FDD" w:rsidRPr="00155BBB" w14:paraId="62677710" w14:textId="77777777" w:rsidTr="00863780">
        <w:tc>
          <w:tcPr>
            <w:tcW w:w="0" w:type="auto"/>
            <w:vMerge/>
            <w:vAlign w:val="center"/>
          </w:tcPr>
          <w:p w14:paraId="138C9AB6" w14:textId="77777777" w:rsidR="00A25FDD" w:rsidRPr="00155BBB" w:rsidRDefault="00A25FDD" w:rsidP="00863780">
            <w:pPr>
              <w:rPr>
                <w:sz w:val="28"/>
                <w:szCs w:val="28"/>
              </w:rPr>
            </w:pPr>
          </w:p>
        </w:tc>
        <w:tc>
          <w:tcPr>
            <w:tcW w:w="2188" w:type="pct"/>
          </w:tcPr>
          <w:p w14:paraId="1417EE71" w14:textId="77777777" w:rsidR="00A25FDD" w:rsidRPr="00155BBB" w:rsidRDefault="00A25FDD" w:rsidP="00863780">
            <w:pPr>
              <w:spacing w:before="60"/>
              <w:ind w:left="95"/>
              <w:rPr>
                <w:sz w:val="28"/>
                <w:szCs w:val="28"/>
              </w:rPr>
            </w:pPr>
            <w:r w:rsidRPr="00155BBB">
              <w:rPr>
                <w:sz w:val="28"/>
                <w:szCs w:val="28"/>
              </w:rPr>
              <w:t>Thời gian bảo hành dưới 12 tháng</w:t>
            </w:r>
          </w:p>
        </w:tc>
        <w:tc>
          <w:tcPr>
            <w:tcW w:w="1105" w:type="pct"/>
            <w:vAlign w:val="center"/>
          </w:tcPr>
          <w:p w14:paraId="752332F9" w14:textId="77777777" w:rsidR="00A25FDD" w:rsidRPr="00155BBB" w:rsidRDefault="00A25FDD" w:rsidP="00863780">
            <w:pPr>
              <w:spacing w:line="288" w:lineRule="auto"/>
              <w:jc w:val="center"/>
              <w:rPr>
                <w:b/>
                <w:sz w:val="28"/>
                <w:szCs w:val="28"/>
              </w:rPr>
            </w:pPr>
            <w:r w:rsidRPr="00155BBB">
              <w:rPr>
                <w:b/>
                <w:sz w:val="28"/>
                <w:szCs w:val="28"/>
              </w:rPr>
              <w:t>Không đạt</w:t>
            </w:r>
          </w:p>
        </w:tc>
      </w:tr>
      <w:tr w:rsidR="00A25FDD" w:rsidRPr="00155BBB" w14:paraId="5FED6029" w14:textId="77777777" w:rsidTr="00863780">
        <w:tc>
          <w:tcPr>
            <w:tcW w:w="1707" w:type="pct"/>
            <w:vMerge w:val="restart"/>
            <w:vAlign w:val="center"/>
          </w:tcPr>
          <w:p w14:paraId="364F7D5A" w14:textId="77777777" w:rsidR="00A25FDD" w:rsidRPr="00155BBB" w:rsidRDefault="00A25FDD" w:rsidP="00863780">
            <w:pPr>
              <w:spacing w:line="288" w:lineRule="auto"/>
              <w:ind w:left="147"/>
              <w:rPr>
                <w:sz w:val="28"/>
                <w:szCs w:val="28"/>
              </w:rPr>
            </w:pPr>
            <w:r w:rsidRPr="00155BBB">
              <w:rPr>
                <w:sz w:val="28"/>
                <w:szCs w:val="28"/>
              </w:rPr>
              <w:t>Xử lý khắc phục sự cố hư hỏng</w:t>
            </w:r>
          </w:p>
        </w:tc>
        <w:tc>
          <w:tcPr>
            <w:tcW w:w="2188" w:type="pct"/>
          </w:tcPr>
          <w:p w14:paraId="2288A5B0" w14:textId="77777777" w:rsidR="00A25FDD" w:rsidRPr="00155BBB" w:rsidRDefault="00A25FDD" w:rsidP="00863780">
            <w:pPr>
              <w:spacing w:before="60"/>
              <w:ind w:left="95" w:right="77"/>
              <w:rPr>
                <w:sz w:val="28"/>
                <w:szCs w:val="28"/>
              </w:rPr>
            </w:pPr>
            <w:r w:rsidRPr="00155BBB">
              <w:rPr>
                <w:sz w:val="28"/>
                <w:szCs w:val="28"/>
              </w:rPr>
              <w:t>Có mặt để khắc phục sự cố hư hỏng trong vòng 48 giờ kể từ khi nhận được thông báo của chủ đầu tư về khắc phục sự cố hư hỏng.</w:t>
            </w:r>
          </w:p>
        </w:tc>
        <w:tc>
          <w:tcPr>
            <w:tcW w:w="1105" w:type="pct"/>
            <w:vAlign w:val="center"/>
          </w:tcPr>
          <w:p w14:paraId="6F49090E" w14:textId="77777777" w:rsidR="00A25FDD" w:rsidRPr="00155BBB" w:rsidRDefault="00A25FDD" w:rsidP="00863780">
            <w:pPr>
              <w:spacing w:line="288" w:lineRule="auto"/>
              <w:jc w:val="center"/>
              <w:rPr>
                <w:b/>
                <w:sz w:val="28"/>
                <w:szCs w:val="28"/>
              </w:rPr>
            </w:pPr>
            <w:r w:rsidRPr="00155BBB">
              <w:rPr>
                <w:b/>
                <w:sz w:val="28"/>
                <w:szCs w:val="28"/>
              </w:rPr>
              <w:t>Đạt</w:t>
            </w:r>
          </w:p>
        </w:tc>
      </w:tr>
      <w:tr w:rsidR="00A25FDD" w:rsidRPr="00155BBB" w14:paraId="76031769" w14:textId="77777777" w:rsidTr="00863780">
        <w:tc>
          <w:tcPr>
            <w:tcW w:w="0" w:type="auto"/>
            <w:vMerge/>
            <w:vAlign w:val="center"/>
          </w:tcPr>
          <w:p w14:paraId="308EEB53" w14:textId="77777777" w:rsidR="00A25FDD" w:rsidRPr="00155BBB" w:rsidRDefault="00A25FDD" w:rsidP="00863780">
            <w:pPr>
              <w:rPr>
                <w:sz w:val="28"/>
                <w:szCs w:val="28"/>
              </w:rPr>
            </w:pPr>
          </w:p>
        </w:tc>
        <w:tc>
          <w:tcPr>
            <w:tcW w:w="2188" w:type="pct"/>
          </w:tcPr>
          <w:p w14:paraId="75E68E3D" w14:textId="77777777" w:rsidR="00A25FDD" w:rsidRPr="00155BBB" w:rsidRDefault="00A25FDD" w:rsidP="00863780">
            <w:pPr>
              <w:spacing w:before="60"/>
              <w:ind w:left="95" w:right="77"/>
              <w:rPr>
                <w:spacing w:val="4"/>
                <w:sz w:val="28"/>
                <w:szCs w:val="28"/>
              </w:rPr>
            </w:pPr>
            <w:r w:rsidRPr="00155BBB">
              <w:rPr>
                <w:spacing w:val="4"/>
                <w:sz w:val="28"/>
                <w:szCs w:val="28"/>
              </w:rPr>
              <w:t>Không có mặt trong vòng 48 giờ kể từ khi nhận được thông báo của chủ đầu tư về khắc phục sự cố hư hỏng.</w:t>
            </w:r>
          </w:p>
        </w:tc>
        <w:tc>
          <w:tcPr>
            <w:tcW w:w="1105" w:type="pct"/>
            <w:vAlign w:val="center"/>
          </w:tcPr>
          <w:p w14:paraId="28EBB81E" w14:textId="77777777" w:rsidR="00A25FDD" w:rsidRPr="00155BBB" w:rsidRDefault="00A25FDD" w:rsidP="00863780">
            <w:pPr>
              <w:spacing w:line="288" w:lineRule="auto"/>
              <w:jc w:val="center"/>
              <w:rPr>
                <w:b/>
                <w:sz w:val="28"/>
                <w:szCs w:val="28"/>
              </w:rPr>
            </w:pPr>
            <w:r w:rsidRPr="00155BBB">
              <w:rPr>
                <w:b/>
                <w:sz w:val="28"/>
                <w:szCs w:val="28"/>
              </w:rPr>
              <w:t>Không đạt</w:t>
            </w:r>
          </w:p>
        </w:tc>
      </w:tr>
      <w:tr w:rsidR="00A25FDD" w:rsidRPr="00155BBB" w14:paraId="4E5C8B39" w14:textId="77777777" w:rsidTr="00863780">
        <w:tc>
          <w:tcPr>
            <w:tcW w:w="5000" w:type="pct"/>
            <w:gridSpan w:val="3"/>
          </w:tcPr>
          <w:p w14:paraId="6FA6000B" w14:textId="77777777" w:rsidR="00A25FDD" w:rsidRPr="00155BBB" w:rsidRDefault="00A25FDD" w:rsidP="00863780">
            <w:pPr>
              <w:spacing w:line="288" w:lineRule="auto"/>
              <w:ind w:left="147"/>
              <w:rPr>
                <w:b/>
                <w:sz w:val="28"/>
                <w:szCs w:val="28"/>
              </w:rPr>
            </w:pPr>
            <w:r w:rsidRPr="00155BBB">
              <w:rPr>
                <w:b/>
                <w:sz w:val="28"/>
                <w:szCs w:val="28"/>
              </w:rPr>
              <w:t xml:space="preserve">  6. Uy tín của nhà thầu</w:t>
            </w:r>
          </w:p>
        </w:tc>
      </w:tr>
      <w:tr w:rsidR="00A25FDD" w:rsidRPr="00155BBB" w14:paraId="39D3F6B3" w14:textId="77777777" w:rsidTr="00863780">
        <w:tc>
          <w:tcPr>
            <w:tcW w:w="1707" w:type="pct"/>
            <w:vMerge w:val="restart"/>
            <w:vAlign w:val="center"/>
          </w:tcPr>
          <w:p w14:paraId="4F55F2D5" w14:textId="77777777" w:rsidR="00A25FDD" w:rsidRPr="00155BBB" w:rsidRDefault="00A25FDD" w:rsidP="00863780">
            <w:pPr>
              <w:spacing w:line="288" w:lineRule="auto"/>
              <w:ind w:left="147" w:right="189"/>
              <w:rPr>
                <w:sz w:val="28"/>
                <w:szCs w:val="28"/>
              </w:rPr>
            </w:pPr>
            <w:r w:rsidRPr="00155BBB">
              <w:rPr>
                <w:sz w:val="28"/>
                <w:szCs w:val="28"/>
              </w:rPr>
              <w:t>Uy tín của nhà thầu thông qua việc thực hiện các hợp đồng tương tự trước đó trong thời gian 03 năm gần đây, tính đến thời điểm đóng thầu.</w:t>
            </w:r>
          </w:p>
        </w:tc>
        <w:tc>
          <w:tcPr>
            <w:tcW w:w="2188" w:type="pct"/>
          </w:tcPr>
          <w:p w14:paraId="2F51A926" w14:textId="77777777" w:rsidR="00A25FDD" w:rsidRPr="00155BBB" w:rsidRDefault="00A25FDD" w:rsidP="00863780">
            <w:pPr>
              <w:spacing w:line="288" w:lineRule="auto"/>
              <w:ind w:left="142" w:right="77"/>
              <w:rPr>
                <w:sz w:val="28"/>
                <w:szCs w:val="28"/>
              </w:rPr>
            </w:pPr>
            <w:r w:rsidRPr="00155BBB">
              <w:rPr>
                <w:sz w:val="28"/>
                <w:szCs w:val="28"/>
              </w:rPr>
              <w:t>Không có từ 02 hợp đồng tương tự chậm tiến độ hoặc bỏ dở hợp đồng do lỗi của nhà thầu.</w:t>
            </w:r>
          </w:p>
        </w:tc>
        <w:tc>
          <w:tcPr>
            <w:tcW w:w="1105" w:type="pct"/>
            <w:vAlign w:val="center"/>
          </w:tcPr>
          <w:p w14:paraId="6AD2F37D" w14:textId="77777777" w:rsidR="00A25FDD" w:rsidRPr="00155BBB" w:rsidRDefault="00A25FDD" w:rsidP="00863780">
            <w:pPr>
              <w:spacing w:line="288" w:lineRule="auto"/>
              <w:jc w:val="center"/>
              <w:rPr>
                <w:b/>
                <w:sz w:val="28"/>
                <w:szCs w:val="28"/>
              </w:rPr>
            </w:pPr>
            <w:r w:rsidRPr="00155BBB">
              <w:rPr>
                <w:b/>
                <w:sz w:val="28"/>
                <w:szCs w:val="28"/>
              </w:rPr>
              <w:t>Đạt</w:t>
            </w:r>
          </w:p>
        </w:tc>
      </w:tr>
      <w:tr w:rsidR="00A25FDD" w:rsidRPr="00155BBB" w14:paraId="5FB1D834" w14:textId="77777777" w:rsidTr="00863780">
        <w:tc>
          <w:tcPr>
            <w:tcW w:w="0" w:type="auto"/>
            <w:vMerge/>
            <w:vAlign w:val="center"/>
          </w:tcPr>
          <w:p w14:paraId="13AC0746" w14:textId="77777777" w:rsidR="00A25FDD" w:rsidRPr="00155BBB" w:rsidRDefault="00A25FDD" w:rsidP="00863780">
            <w:pPr>
              <w:rPr>
                <w:sz w:val="28"/>
                <w:szCs w:val="28"/>
              </w:rPr>
            </w:pPr>
          </w:p>
        </w:tc>
        <w:tc>
          <w:tcPr>
            <w:tcW w:w="2188" w:type="pct"/>
          </w:tcPr>
          <w:p w14:paraId="499FBE87" w14:textId="77777777" w:rsidR="00A25FDD" w:rsidRPr="00155BBB" w:rsidRDefault="00A25FDD" w:rsidP="00863780">
            <w:pPr>
              <w:spacing w:line="288" w:lineRule="auto"/>
              <w:ind w:left="142"/>
              <w:rPr>
                <w:sz w:val="28"/>
                <w:szCs w:val="28"/>
              </w:rPr>
            </w:pPr>
            <w:r w:rsidRPr="00155BBB">
              <w:rPr>
                <w:sz w:val="28"/>
                <w:szCs w:val="28"/>
              </w:rPr>
              <w:t>Có 02 hợp đồng tương tự chậm tiến độ hoặc bỏ dở hợp đồng tương tự do lỗi của nhà thầu.</w:t>
            </w:r>
          </w:p>
        </w:tc>
        <w:tc>
          <w:tcPr>
            <w:tcW w:w="1105" w:type="pct"/>
            <w:vAlign w:val="center"/>
          </w:tcPr>
          <w:p w14:paraId="105D206E" w14:textId="77777777" w:rsidR="00A25FDD" w:rsidRPr="00155BBB" w:rsidRDefault="00A25FDD" w:rsidP="00863780">
            <w:pPr>
              <w:spacing w:line="288" w:lineRule="auto"/>
              <w:jc w:val="center"/>
              <w:rPr>
                <w:b/>
                <w:sz w:val="28"/>
                <w:szCs w:val="28"/>
              </w:rPr>
            </w:pPr>
            <w:r w:rsidRPr="00155BBB">
              <w:rPr>
                <w:b/>
                <w:sz w:val="28"/>
                <w:szCs w:val="28"/>
              </w:rPr>
              <w:t>Không đạt</w:t>
            </w:r>
          </w:p>
        </w:tc>
      </w:tr>
      <w:tr w:rsidR="00A25FDD" w:rsidRPr="00155BBB" w14:paraId="19548106" w14:textId="77777777" w:rsidTr="00863780">
        <w:tc>
          <w:tcPr>
            <w:tcW w:w="5000" w:type="pct"/>
            <w:gridSpan w:val="3"/>
          </w:tcPr>
          <w:p w14:paraId="44C01E3A" w14:textId="77777777" w:rsidR="00A25FDD" w:rsidRPr="00155BBB" w:rsidRDefault="00A25FDD" w:rsidP="00863780">
            <w:pPr>
              <w:spacing w:line="288" w:lineRule="auto"/>
              <w:ind w:left="289"/>
              <w:rPr>
                <w:b/>
                <w:spacing w:val="-8"/>
                <w:sz w:val="28"/>
                <w:szCs w:val="28"/>
              </w:rPr>
            </w:pPr>
            <w:r w:rsidRPr="00155BBB">
              <w:rPr>
                <w:b/>
                <w:spacing w:val="-8"/>
                <w:sz w:val="28"/>
                <w:szCs w:val="28"/>
              </w:rPr>
              <w:t>7. Các yếu tố về điều kiện thương mại, thời gian thực hiện, đào tạo, chuyển giao công nghệ</w:t>
            </w:r>
          </w:p>
        </w:tc>
      </w:tr>
      <w:tr w:rsidR="00A25FDD" w:rsidRPr="00155BBB" w14:paraId="42671C54" w14:textId="77777777" w:rsidTr="00863780">
        <w:tc>
          <w:tcPr>
            <w:tcW w:w="1707" w:type="pct"/>
            <w:vMerge w:val="restart"/>
            <w:vAlign w:val="center"/>
          </w:tcPr>
          <w:p w14:paraId="59E67083" w14:textId="77777777" w:rsidR="00A25FDD" w:rsidRPr="00155BBB" w:rsidRDefault="00A25FDD" w:rsidP="00863780">
            <w:pPr>
              <w:ind w:left="289" w:right="142"/>
              <w:rPr>
                <w:sz w:val="28"/>
                <w:szCs w:val="28"/>
              </w:rPr>
            </w:pPr>
            <w:r w:rsidRPr="00155BBB">
              <w:rPr>
                <w:sz w:val="28"/>
                <w:szCs w:val="28"/>
              </w:rPr>
              <w:t>Điều kiện thương mại, thời gian thực hiện, công nghệ hợp lý, khả thi, phù hợp với đề xuất về tiến độ cung cấp</w:t>
            </w:r>
          </w:p>
        </w:tc>
        <w:tc>
          <w:tcPr>
            <w:tcW w:w="2188" w:type="pct"/>
          </w:tcPr>
          <w:p w14:paraId="7877274E" w14:textId="77777777" w:rsidR="00A25FDD" w:rsidRPr="00155BBB" w:rsidRDefault="00A25FDD" w:rsidP="00863780">
            <w:pPr>
              <w:ind w:left="142" w:right="77" w:firstLine="142"/>
              <w:rPr>
                <w:sz w:val="28"/>
                <w:szCs w:val="28"/>
              </w:rPr>
            </w:pPr>
            <w:r w:rsidRPr="00155BBB">
              <w:rPr>
                <w:spacing w:val="-4"/>
                <w:sz w:val="28"/>
                <w:szCs w:val="28"/>
              </w:rPr>
              <w:t>Có điều kiện thương mại, thời gian thực hiện, công nghệ hợp lý, khả thi, phù hợp với đề xuất về tiến độ cung cấp.</w:t>
            </w:r>
          </w:p>
        </w:tc>
        <w:tc>
          <w:tcPr>
            <w:tcW w:w="1105" w:type="pct"/>
            <w:vAlign w:val="center"/>
          </w:tcPr>
          <w:p w14:paraId="0E2BD3C0" w14:textId="77777777" w:rsidR="00A25FDD" w:rsidRPr="00155BBB" w:rsidRDefault="00A25FDD" w:rsidP="00863780">
            <w:pPr>
              <w:spacing w:line="288" w:lineRule="auto"/>
              <w:jc w:val="center"/>
              <w:rPr>
                <w:b/>
                <w:sz w:val="28"/>
                <w:szCs w:val="28"/>
              </w:rPr>
            </w:pPr>
            <w:r w:rsidRPr="00155BBB">
              <w:rPr>
                <w:b/>
                <w:sz w:val="28"/>
                <w:szCs w:val="28"/>
              </w:rPr>
              <w:t>Đạt</w:t>
            </w:r>
          </w:p>
        </w:tc>
      </w:tr>
      <w:tr w:rsidR="00A25FDD" w:rsidRPr="00155BBB" w14:paraId="101134DD" w14:textId="77777777" w:rsidTr="00863780">
        <w:tc>
          <w:tcPr>
            <w:tcW w:w="0" w:type="auto"/>
            <w:vMerge/>
            <w:vAlign w:val="center"/>
          </w:tcPr>
          <w:p w14:paraId="08B6A979" w14:textId="77777777" w:rsidR="00A25FDD" w:rsidRPr="00155BBB" w:rsidRDefault="00A25FDD" w:rsidP="00863780">
            <w:pPr>
              <w:rPr>
                <w:sz w:val="28"/>
                <w:szCs w:val="28"/>
              </w:rPr>
            </w:pPr>
          </w:p>
        </w:tc>
        <w:tc>
          <w:tcPr>
            <w:tcW w:w="2188" w:type="pct"/>
          </w:tcPr>
          <w:p w14:paraId="62902A19" w14:textId="77777777" w:rsidR="00A25FDD" w:rsidRPr="00155BBB" w:rsidRDefault="00A25FDD" w:rsidP="00863780">
            <w:pPr>
              <w:ind w:left="142" w:right="142" w:firstLine="142"/>
              <w:rPr>
                <w:sz w:val="28"/>
                <w:szCs w:val="28"/>
              </w:rPr>
            </w:pPr>
            <w:r w:rsidRPr="00155BBB">
              <w:rPr>
                <w:sz w:val="28"/>
                <w:szCs w:val="28"/>
              </w:rPr>
              <w:t>Điều kiện thương mại, thời gian thực hiện, công nghệ không hợp lý, khả thi, không phù hợp với đề xuất về tiến độ cung cấp.</w:t>
            </w:r>
          </w:p>
        </w:tc>
        <w:tc>
          <w:tcPr>
            <w:tcW w:w="1105" w:type="pct"/>
            <w:vAlign w:val="center"/>
          </w:tcPr>
          <w:p w14:paraId="4FABE230" w14:textId="77777777" w:rsidR="00A25FDD" w:rsidRPr="00155BBB" w:rsidRDefault="00A25FDD" w:rsidP="00863780">
            <w:pPr>
              <w:spacing w:line="288" w:lineRule="auto"/>
              <w:jc w:val="center"/>
              <w:rPr>
                <w:b/>
                <w:sz w:val="28"/>
                <w:szCs w:val="28"/>
              </w:rPr>
            </w:pPr>
            <w:r w:rsidRPr="00155BBB">
              <w:rPr>
                <w:b/>
                <w:sz w:val="28"/>
                <w:szCs w:val="28"/>
              </w:rPr>
              <w:t>Không đạt</w:t>
            </w:r>
          </w:p>
        </w:tc>
      </w:tr>
      <w:tr w:rsidR="00A25FDD" w:rsidRPr="00155BBB" w14:paraId="4728983D" w14:textId="77777777" w:rsidTr="00863780">
        <w:tc>
          <w:tcPr>
            <w:tcW w:w="3895" w:type="pct"/>
            <w:gridSpan w:val="2"/>
          </w:tcPr>
          <w:p w14:paraId="7F25CB90" w14:textId="77777777" w:rsidR="00A25FDD" w:rsidRPr="00155BBB" w:rsidRDefault="00A25FDD" w:rsidP="00863780">
            <w:pPr>
              <w:spacing w:line="288" w:lineRule="auto"/>
              <w:jc w:val="center"/>
              <w:rPr>
                <w:b/>
                <w:sz w:val="28"/>
                <w:szCs w:val="28"/>
              </w:rPr>
            </w:pPr>
            <w:r w:rsidRPr="00155BBB">
              <w:rPr>
                <w:b/>
                <w:sz w:val="28"/>
                <w:szCs w:val="28"/>
              </w:rPr>
              <w:t>Kết luận</w:t>
            </w:r>
          </w:p>
        </w:tc>
        <w:tc>
          <w:tcPr>
            <w:tcW w:w="1105" w:type="pct"/>
          </w:tcPr>
          <w:p w14:paraId="67FF45E0" w14:textId="77777777" w:rsidR="00A25FDD" w:rsidRPr="00155BBB" w:rsidRDefault="00A25FDD" w:rsidP="00863780">
            <w:pPr>
              <w:spacing w:line="288" w:lineRule="auto"/>
              <w:jc w:val="center"/>
              <w:rPr>
                <w:b/>
                <w:sz w:val="28"/>
                <w:szCs w:val="28"/>
              </w:rPr>
            </w:pPr>
            <w:r w:rsidRPr="00155BBB">
              <w:rPr>
                <w:b/>
                <w:sz w:val="28"/>
                <w:szCs w:val="28"/>
              </w:rPr>
              <w:t>_____</w:t>
            </w:r>
          </w:p>
        </w:tc>
      </w:tr>
    </w:tbl>
    <w:p w14:paraId="7B652B48" w14:textId="77777777" w:rsidR="00A25FDD" w:rsidRPr="00155BBB" w:rsidRDefault="00A25FDD" w:rsidP="00A25FDD">
      <w:pPr>
        <w:spacing w:before="80" w:after="80" w:line="264" w:lineRule="auto"/>
        <w:ind w:firstLine="709"/>
        <w:rPr>
          <w:b/>
          <w:iCs/>
          <w:sz w:val="28"/>
          <w:szCs w:val="28"/>
        </w:rPr>
      </w:pPr>
      <w:r w:rsidRPr="00155BBB">
        <w:rPr>
          <w:b/>
          <w:sz w:val="28"/>
          <w:szCs w:val="28"/>
          <w:lang w:val="es-ES"/>
        </w:rPr>
        <w:lastRenderedPageBreak/>
        <w:t xml:space="preserve">3.1. Đánh giá theo </w:t>
      </w:r>
      <w:r w:rsidRPr="00155BBB">
        <w:rPr>
          <w:b/>
          <w:iCs/>
          <w:sz w:val="28"/>
          <w:szCs w:val="28"/>
          <w:lang w:val="vi-VN"/>
        </w:rPr>
        <w:t>phương pháp chấm điểm</w:t>
      </w:r>
      <w:r w:rsidRPr="00155BBB">
        <w:rPr>
          <w:rStyle w:val="FootnoteReference"/>
          <w:b/>
          <w:iCs/>
          <w:sz w:val="28"/>
          <w:szCs w:val="28"/>
        </w:rPr>
        <w:footnoteReference w:id="1"/>
      </w:r>
      <w:r w:rsidRPr="00155BBB">
        <w:rPr>
          <w:b/>
          <w:iCs/>
          <w:sz w:val="28"/>
          <w:szCs w:val="28"/>
          <w:lang w:val="vi-VN"/>
        </w:rPr>
        <w:t>:</w:t>
      </w:r>
      <w:r w:rsidRPr="00155BBB">
        <w:rPr>
          <w:b/>
          <w:iCs/>
          <w:sz w:val="28"/>
          <w:szCs w:val="28"/>
        </w:rPr>
        <w:t xml:space="preserve"> Không áp dụng</w:t>
      </w:r>
    </w:p>
    <w:p w14:paraId="733A622A" w14:textId="77777777" w:rsidR="00A25FDD" w:rsidRPr="00155BBB" w:rsidRDefault="00A25FDD" w:rsidP="00A25FDD">
      <w:pPr>
        <w:spacing w:before="80" w:after="80" w:line="264" w:lineRule="auto"/>
        <w:ind w:firstLine="709"/>
        <w:rPr>
          <w:sz w:val="28"/>
          <w:szCs w:val="28"/>
          <w:lang w:val="es-ES"/>
        </w:rPr>
      </w:pPr>
      <w:r w:rsidRPr="00155BBB">
        <w:rPr>
          <w:b/>
          <w:iCs/>
          <w:sz w:val="28"/>
          <w:szCs w:val="28"/>
          <w:lang w:val="es-ES"/>
        </w:rPr>
        <w:t>3.2. Đánh giá theo phương pháp</w:t>
      </w:r>
      <w:r w:rsidRPr="00155BBB" w:rsidDel="00BE4476">
        <w:rPr>
          <w:b/>
          <w:iCs/>
          <w:sz w:val="28"/>
          <w:szCs w:val="28"/>
          <w:lang w:val="es-ES"/>
        </w:rPr>
        <w:t xml:space="preserve"> </w:t>
      </w:r>
      <w:r w:rsidRPr="00155BBB">
        <w:rPr>
          <w:b/>
          <w:iCs/>
          <w:sz w:val="28"/>
          <w:szCs w:val="28"/>
          <w:lang w:val="es-ES"/>
        </w:rPr>
        <w:t>đạt/không đạt</w:t>
      </w:r>
      <w:r w:rsidRPr="00155BBB">
        <w:rPr>
          <w:rStyle w:val="FootnoteReference"/>
          <w:b/>
          <w:iCs/>
          <w:sz w:val="28"/>
          <w:szCs w:val="28"/>
        </w:rPr>
        <w:footnoteReference w:id="2"/>
      </w:r>
      <w:r w:rsidRPr="00155BBB">
        <w:rPr>
          <w:b/>
          <w:sz w:val="28"/>
          <w:szCs w:val="28"/>
          <w:lang w:val="es-ES"/>
        </w:rPr>
        <w:t>:</w:t>
      </w:r>
    </w:p>
    <w:p w14:paraId="21D4CC96" w14:textId="77777777" w:rsidR="00A25FDD" w:rsidRPr="00155BBB" w:rsidRDefault="00A25FDD" w:rsidP="00A25FDD">
      <w:pPr>
        <w:spacing w:before="80" w:after="80" w:line="264" w:lineRule="auto"/>
        <w:ind w:firstLine="709"/>
        <w:rPr>
          <w:sz w:val="28"/>
          <w:szCs w:val="28"/>
          <w:lang w:val="es-ES"/>
        </w:rPr>
      </w:pPr>
      <w:r w:rsidRPr="00155BBB">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BB95C8C" w14:textId="77777777" w:rsidR="00A25FDD" w:rsidRPr="00155BBB" w:rsidRDefault="00A25FDD" w:rsidP="00A25FDD">
      <w:pPr>
        <w:spacing w:before="80" w:after="80" w:line="264" w:lineRule="auto"/>
        <w:ind w:firstLine="709"/>
        <w:rPr>
          <w:sz w:val="28"/>
          <w:szCs w:val="28"/>
          <w:lang w:val="es-ES"/>
        </w:rPr>
      </w:pPr>
      <w:r w:rsidRPr="00155BBB">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12060B2" w14:textId="77777777" w:rsidR="00A25FDD" w:rsidRPr="00155BBB" w:rsidRDefault="00A25FDD" w:rsidP="00A25FDD">
      <w:pPr>
        <w:spacing w:before="80" w:after="80" w:line="264" w:lineRule="auto"/>
        <w:ind w:firstLine="709"/>
        <w:rPr>
          <w:sz w:val="28"/>
          <w:szCs w:val="28"/>
          <w:lang w:val="es-ES"/>
        </w:rPr>
      </w:pPr>
      <w:r w:rsidRPr="00155BBB">
        <w:rPr>
          <w:sz w:val="28"/>
          <w:szCs w:val="28"/>
          <w:lang w:val="es-ES"/>
        </w:rPr>
        <w:t xml:space="preserve">E-HSDT được đánh giá là đáp ứng yêu cầu về kỹ thuật khi có tất cả các tiêu chí tổng quát đều được đánh giá là đạt. </w:t>
      </w:r>
    </w:p>
    <w:p w14:paraId="408C3764" w14:textId="77777777" w:rsidR="00017980" w:rsidRPr="00155BBB" w:rsidRDefault="00017980"/>
    <w:sectPr w:rsidR="00017980" w:rsidRPr="00155BBB" w:rsidSect="008E374A">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9CE4" w14:textId="77777777" w:rsidR="00593E42" w:rsidRDefault="00593E42" w:rsidP="00A25FDD">
      <w:r>
        <w:separator/>
      </w:r>
    </w:p>
  </w:endnote>
  <w:endnote w:type="continuationSeparator" w:id="0">
    <w:p w14:paraId="5E45ECC5" w14:textId="77777777" w:rsidR="00593E42" w:rsidRDefault="00593E42" w:rsidP="00A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B84F" w14:textId="77777777" w:rsidR="00593E42" w:rsidRDefault="00593E42" w:rsidP="00A25FDD">
      <w:r>
        <w:separator/>
      </w:r>
    </w:p>
  </w:footnote>
  <w:footnote w:type="continuationSeparator" w:id="0">
    <w:p w14:paraId="454877D7" w14:textId="77777777" w:rsidR="00593E42" w:rsidRDefault="00593E42" w:rsidP="00A25FDD">
      <w:r>
        <w:continuationSeparator/>
      </w:r>
    </w:p>
  </w:footnote>
  <w:footnote w:id="1">
    <w:p w14:paraId="222A4DA1" w14:textId="77777777" w:rsidR="00A25FDD" w:rsidRPr="00E951D2" w:rsidRDefault="00A25FDD" w:rsidP="00A25FDD">
      <w:pPr>
        <w:pStyle w:val="FootnoteText"/>
        <w:tabs>
          <w:tab w:val="clear" w:pos="360"/>
        </w:tabs>
        <w:ind w:left="0" w:right="49" w:firstLine="0"/>
        <w:rPr>
          <w:lang w:val="nl-NL"/>
        </w:rPr>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14:paraId="4BF0DF79" w14:textId="77777777" w:rsidR="00A25FDD" w:rsidRPr="00E951D2" w:rsidRDefault="00A25FDD" w:rsidP="00A25FDD">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704E"/>
    <w:multiLevelType w:val="hybridMultilevel"/>
    <w:tmpl w:val="ED70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0833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8B"/>
    <w:rsid w:val="00017980"/>
    <w:rsid w:val="000764BC"/>
    <w:rsid w:val="00155BBB"/>
    <w:rsid w:val="00236BC3"/>
    <w:rsid w:val="0035508B"/>
    <w:rsid w:val="00360B69"/>
    <w:rsid w:val="00593E42"/>
    <w:rsid w:val="008730FF"/>
    <w:rsid w:val="008E374A"/>
    <w:rsid w:val="009E385E"/>
    <w:rsid w:val="00A25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9BEC6-22FC-4B7F-923E-DC09CF3E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FDD"/>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55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0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0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50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50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50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50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50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08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0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50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50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50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50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50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5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0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508B"/>
    <w:pPr>
      <w:spacing w:before="160"/>
      <w:jc w:val="center"/>
    </w:pPr>
    <w:rPr>
      <w:i/>
      <w:iCs/>
      <w:color w:val="404040" w:themeColor="text1" w:themeTint="BF"/>
    </w:rPr>
  </w:style>
  <w:style w:type="character" w:customStyle="1" w:styleId="QuoteChar">
    <w:name w:val="Quote Char"/>
    <w:basedOn w:val="DefaultParagraphFont"/>
    <w:link w:val="Quote"/>
    <w:uiPriority w:val="29"/>
    <w:rsid w:val="0035508B"/>
    <w:rPr>
      <w:i/>
      <w:iCs/>
      <w:color w:val="404040" w:themeColor="text1" w:themeTint="BF"/>
    </w:rPr>
  </w:style>
  <w:style w:type="paragraph" w:styleId="ListParagraph">
    <w:name w:val="List Paragraph"/>
    <w:basedOn w:val="Normal"/>
    <w:uiPriority w:val="34"/>
    <w:qFormat/>
    <w:rsid w:val="0035508B"/>
    <w:pPr>
      <w:ind w:left="720"/>
      <w:contextualSpacing/>
    </w:pPr>
  </w:style>
  <w:style w:type="character" w:styleId="IntenseEmphasis">
    <w:name w:val="Intense Emphasis"/>
    <w:basedOn w:val="DefaultParagraphFont"/>
    <w:uiPriority w:val="21"/>
    <w:qFormat/>
    <w:rsid w:val="0035508B"/>
    <w:rPr>
      <w:i/>
      <w:iCs/>
      <w:color w:val="0F4761" w:themeColor="accent1" w:themeShade="BF"/>
    </w:rPr>
  </w:style>
  <w:style w:type="paragraph" w:styleId="IntenseQuote">
    <w:name w:val="Intense Quote"/>
    <w:basedOn w:val="Normal"/>
    <w:next w:val="Normal"/>
    <w:link w:val="IntenseQuoteChar"/>
    <w:uiPriority w:val="30"/>
    <w:qFormat/>
    <w:rsid w:val="00355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08B"/>
    <w:rPr>
      <w:i/>
      <w:iCs/>
      <w:color w:val="0F4761" w:themeColor="accent1" w:themeShade="BF"/>
    </w:rPr>
  </w:style>
  <w:style w:type="character" w:styleId="IntenseReference">
    <w:name w:val="Intense Reference"/>
    <w:basedOn w:val="DefaultParagraphFont"/>
    <w:uiPriority w:val="32"/>
    <w:qFormat/>
    <w:rsid w:val="0035508B"/>
    <w:rPr>
      <w:b/>
      <w:bCs/>
      <w:smallCaps/>
      <w:color w:val="0F4761" w:themeColor="accent1" w:themeShade="BF"/>
      <w:spacing w:val="5"/>
    </w:rPr>
  </w:style>
  <w:style w:type="paragraph" w:styleId="TOC1">
    <w:name w:val="toc 1"/>
    <w:basedOn w:val="Normal"/>
    <w:next w:val="Normal"/>
    <w:autoRedefine/>
    <w:uiPriority w:val="39"/>
    <w:qFormat/>
    <w:rsid w:val="00155BBB"/>
    <w:pPr>
      <w:tabs>
        <w:tab w:val="right" w:leader="dot" w:pos="9062"/>
      </w:tabs>
      <w:spacing w:before="80" w:after="80" w:line="264" w:lineRule="auto"/>
      <w:ind w:firstLine="709"/>
      <w:jc w:val="center"/>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A25FDD"/>
    <w:pPr>
      <w:tabs>
        <w:tab w:val="left" w:pos="360"/>
      </w:tabs>
      <w:ind w:left="360" w:hanging="360"/>
    </w:pPr>
    <w:rPr>
      <w:sz w:val="20"/>
    </w:rPr>
  </w:style>
  <w:style w:type="character" w:customStyle="1" w:styleId="FootnoteTextChar">
    <w:name w:val="Footnote Text Char"/>
    <w:basedOn w:val="DefaultParagraphFont"/>
    <w:link w:val="FootnoteText"/>
    <w:rsid w:val="00A25FDD"/>
    <w:rPr>
      <w:rFonts w:eastAsia="Times New Roman" w:cs="Times New Roman"/>
      <w:kern w:val="0"/>
      <w:sz w:val="20"/>
      <w:szCs w:val="20"/>
      <w14:ligatures w14:val="none"/>
    </w:rPr>
  </w:style>
  <w:style w:type="character" w:styleId="FootnoteReference">
    <w:name w:val="footnote reference"/>
    <w:aliases w:val="callout"/>
    <w:uiPriority w:val="99"/>
    <w:rsid w:val="00A25FDD"/>
    <w:rPr>
      <w:vertAlign w:val="superscript"/>
    </w:rPr>
  </w:style>
  <w:style w:type="character" w:customStyle="1" w:styleId="fontstyle01">
    <w:name w:val="fontstyle01"/>
    <w:basedOn w:val="DefaultParagraphFont"/>
    <w:rsid w:val="00A25FDD"/>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A25FDD"/>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2026-04-03T07:58:00Z</dcterms:created>
  <dcterms:modified xsi:type="dcterms:W3CDTF">2026-04-03T08:06:00Z</dcterms:modified>
</cp:coreProperties>
</file>