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D675" w14:textId="77777777" w:rsidR="0091096D" w:rsidRPr="004F53D5" w:rsidRDefault="0091096D" w:rsidP="0091096D">
      <w:pPr>
        <w:pStyle w:val="TOC1"/>
        <w:spacing w:line="264" w:lineRule="auto"/>
        <w:rPr>
          <w:rFonts w:ascii="Times New Roman" w:hAnsi="Times New Roman" w:cs="Times New Roman"/>
          <w:sz w:val="24"/>
          <w:szCs w:val="24"/>
        </w:rPr>
      </w:pPr>
      <w:r w:rsidRPr="004F53D5">
        <w:rPr>
          <w:rFonts w:ascii="Times New Roman" w:hAnsi="Times New Roman" w:cs="Times New Roman"/>
          <w:sz w:val="24"/>
          <w:szCs w:val="24"/>
        </w:rPr>
        <w:t xml:space="preserve">Mục </w:t>
      </w:r>
      <w:r w:rsidRPr="004F53D5">
        <w:rPr>
          <w:rFonts w:ascii="Times New Roman" w:hAnsi="Times New Roman" w:cs="Times New Roman"/>
          <w:sz w:val="24"/>
          <w:szCs w:val="24"/>
          <w:lang w:val="pl-PL"/>
        </w:rPr>
        <w:t>3</w:t>
      </w:r>
      <w:r w:rsidRPr="004F53D5">
        <w:rPr>
          <w:rFonts w:ascii="Times New Roman" w:hAnsi="Times New Roman" w:cs="Times New Roman"/>
          <w:sz w:val="24"/>
          <w:szCs w:val="24"/>
        </w:rPr>
        <w:t>. 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5895"/>
        <w:gridCol w:w="2129"/>
      </w:tblGrid>
      <w:tr w:rsidR="004F53D5" w:rsidRPr="004F53D5" w14:paraId="1C637CE8" w14:textId="77777777" w:rsidTr="004F53D5">
        <w:trPr>
          <w:trHeight w:val="113"/>
        </w:trPr>
        <w:tc>
          <w:tcPr>
            <w:tcW w:w="952" w:type="pct"/>
            <w:vAlign w:val="center"/>
          </w:tcPr>
          <w:p w14:paraId="35C4D18A" w14:textId="687ABA41" w:rsidR="0091096D" w:rsidRPr="004F53D5" w:rsidRDefault="0091096D">
            <w:pPr>
              <w:widowControl w:val="0"/>
              <w:tabs>
                <w:tab w:val="left" w:pos="851"/>
              </w:tabs>
              <w:spacing w:before="60" w:after="60"/>
              <w:jc w:val="center"/>
              <w:rPr>
                <w:rFonts w:eastAsia="Calibri"/>
                <w:szCs w:val="24"/>
                <w:lang w:val="vi-VN"/>
              </w:rPr>
            </w:pPr>
            <w:r w:rsidRPr="004F53D5">
              <w:rPr>
                <w:rFonts w:eastAsia="Calibri"/>
                <w:b/>
                <w:szCs w:val="24"/>
              </w:rPr>
              <w:t>ội dung yêu cầu</w:t>
            </w:r>
          </w:p>
        </w:tc>
        <w:tc>
          <w:tcPr>
            <w:tcW w:w="2974" w:type="pct"/>
            <w:vAlign w:val="center"/>
          </w:tcPr>
          <w:p w14:paraId="5AA76A55" w14:textId="77777777" w:rsidR="0091096D" w:rsidRPr="004F53D5" w:rsidRDefault="0091096D">
            <w:pPr>
              <w:widowControl w:val="0"/>
              <w:tabs>
                <w:tab w:val="left" w:pos="851"/>
              </w:tabs>
              <w:spacing w:before="60" w:after="60"/>
              <w:jc w:val="center"/>
              <w:rPr>
                <w:szCs w:val="24"/>
                <w:lang w:val="vi-VN"/>
              </w:rPr>
            </w:pPr>
            <w:r w:rsidRPr="004F53D5">
              <w:rPr>
                <w:rFonts w:eastAsia="Calibri"/>
                <w:b/>
                <w:szCs w:val="24"/>
              </w:rPr>
              <w:t>Mức độ đáp ứng</w:t>
            </w:r>
          </w:p>
        </w:tc>
        <w:tc>
          <w:tcPr>
            <w:tcW w:w="1074" w:type="pct"/>
            <w:vAlign w:val="center"/>
          </w:tcPr>
          <w:p w14:paraId="63A7187E" w14:textId="77777777" w:rsidR="0091096D" w:rsidRPr="004F53D5" w:rsidRDefault="0091096D">
            <w:pPr>
              <w:spacing w:before="60" w:after="60"/>
              <w:jc w:val="center"/>
              <w:rPr>
                <w:rFonts w:eastAsia="Calibri"/>
                <w:b/>
                <w:szCs w:val="24"/>
                <w:lang w:val="en-GB"/>
              </w:rPr>
            </w:pPr>
            <w:r w:rsidRPr="004F53D5">
              <w:rPr>
                <w:rFonts w:eastAsia="Calibri"/>
                <w:b/>
                <w:szCs w:val="24"/>
                <w:lang w:val="en-GB"/>
              </w:rPr>
              <w:t>Đánh giá</w:t>
            </w:r>
          </w:p>
        </w:tc>
      </w:tr>
      <w:tr w:rsidR="004F53D5" w:rsidRPr="004F53D5" w14:paraId="55CEFECF" w14:textId="77777777" w:rsidTr="004F53D5">
        <w:trPr>
          <w:trHeight w:val="113"/>
        </w:trPr>
        <w:tc>
          <w:tcPr>
            <w:tcW w:w="3926" w:type="pct"/>
            <w:gridSpan w:val="2"/>
            <w:vAlign w:val="center"/>
          </w:tcPr>
          <w:p w14:paraId="2FBB8FAC" w14:textId="77777777" w:rsidR="0091096D" w:rsidRPr="004F53D5" w:rsidRDefault="0091096D">
            <w:pPr>
              <w:widowControl w:val="0"/>
              <w:tabs>
                <w:tab w:val="left" w:pos="851"/>
              </w:tabs>
              <w:spacing w:before="60" w:after="60"/>
              <w:rPr>
                <w:szCs w:val="24"/>
                <w:lang w:val="vi-VN"/>
              </w:rPr>
            </w:pPr>
            <w:r w:rsidRPr="004F53D5">
              <w:rPr>
                <w:b/>
                <w:bCs/>
                <w:szCs w:val="24"/>
                <w:lang w:val="vi-VN"/>
              </w:rPr>
              <w:t>1. Đặc tính, thông số kỹ thuật của hàng hóa, dịch vụ</w:t>
            </w:r>
          </w:p>
        </w:tc>
        <w:tc>
          <w:tcPr>
            <w:tcW w:w="1074" w:type="pct"/>
            <w:vAlign w:val="center"/>
          </w:tcPr>
          <w:p w14:paraId="49838696" w14:textId="77777777" w:rsidR="0091096D" w:rsidRPr="004F53D5" w:rsidRDefault="0091096D">
            <w:pPr>
              <w:spacing w:before="60" w:after="60"/>
              <w:jc w:val="center"/>
              <w:rPr>
                <w:rFonts w:eastAsia="Calibri"/>
                <w:b/>
                <w:szCs w:val="24"/>
                <w:lang w:val="vi-VN"/>
              </w:rPr>
            </w:pPr>
          </w:p>
        </w:tc>
      </w:tr>
      <w:tr w:rsidR="004F53D5" w:rsidRPr="004F53D5" w14:paraId="7F84F114" w14:textId="77777777" w:rsidTr="004F53D5">
        <w:trPr>
          <w:trHeight w:val="113"/>
        </w:trPr>
        <w:tc>
          <w:tcPr>
            <w:tcW w:w="952" w:type="pct"/>
            <w:vMerge w:val="restart"/>
            <w:vAlign w:val="center"/>
          </w:tcPr>
          <w:p w14:paraId="01122EA2" w14:textId="77777777" w:rsidR="0091096D" w:rsidRPr="004F53D5" w:rsidRDefault="0091096D">
            <w:pPr>
              <w:widowControl w:val="0"/>
              <w:tabs>
                <w:tab w:val="left" w:pos="851"/>
              </w:tabs>
              <w:spacing w:before="60" w:after="60"/>
              <w:rPr>
                <w:rFonts w:eastAsia="Calibri"/>
                <w:iCs/>
                <w:szCs w:val="24"/>
                <w:lang w:val="en-GB"/>
              </w:rPr>
            </w:pPr>
            <w:r w:rsidRPr="004F53D5">
              <w:rPr>
                <w:szCs w:val="24"/>
                <w:lang w:eastAsia="vi-VN" w:bidi="vi-VN"/>
              </w:rPr>
              <w:t>Yêu cầu về thông số kỹ thuật, tính năng, chức năng</w:t>
            </w:r>
          </w:p>
        </w:tc>
        <w:tc>
          <w:tcPr>
            <w:tcW w:w="2974" w:type="pct"/>
            <w:vAlign w:val="center"/>
          </w:tcPr>
          <w:p w14:paraId="3193B1C1" w14:textId="77777777" w:rsidR="0091096D" w:rsidRPr="004F53D5" w:rsidRDefault="0091096D">
            <w:pPr>
              <w:widowControl w:val="0"/>
              <w:tabs>
                <w:tab w:val="left" w:pos="851"/>
              </w:tabs>
              <w:spacing w:before="60" w:after="60"/>
              <w:rPr>
                <w:szCs w:val="24"/>
                <w:lang w:val="vi-VN"/>
              </w:rPr>
            </w:pPr>
            <w:r w:rsidRPr="004F53D5">
              <w:rPr>
                <w:szCs w:val="24"/>
                <w:lang w:val="vi-VN"/>
              </w:rPr>
              <w:t>- Số lượng, chủng loại hàng hóa</w:t>
            </w:r>
            <w:r w:rsidRPr="004F53D5">
              <w:rPr>
                <w:szCs w:val="24"/>
                <w:lang w:val="en-GB"/>
              </w:rPr>
              <w:t>, dịch vụ</w:t>
            </w:r>
            <w:r w:rsidRPr="004F53D5">
              <w:rPr>
                <w:szCs w:val="24"/>
                <w:lang w:val="vi-VN"/>
              </w:rPr>
              <w:t xml:space="preserve"> cung cấp đáp ứng đầy đủ theo yêu cầu nêu tại bảng MẪU SỐ 01A – PHẠM VI CUNG CẤP HÀNG HÓA (webform trên Hệ thống)</w:t>
            </w:r>
          </w:p>
          <w:p w14:paraId="0A16F5BC" w14:textId="77777777" w:rsidR="0091096D" w:rsidRPr="004F53D5" w:rsidRDefault="0091096D">
            <w:pPr>
              <w:widowControl w:val="0"/>
              <w:tabs>
                <w:tab w:val="left" w:pos="851"/>
              </w:tabs>
              <w:spacing w:before="60" w:after="60"/>
              <w:rPr>
                <w:szCs w:val="24"/>
                <w:lang w:val="vi-VN"/>
              </w:rPr>
            </w:pPr>
            <w:r w:rsidRPr="004F53D5">
              <w:rPr>
                <w:szCs w:val="24"/>
                <w:lang w:val="vi-VN"/>
              </w:rPr>
              <w:t xml:space="preserve">- Hàng hóa, dịch vụ có đặc tính, thông số kỹ thuật, tiêu chuẩn sản xuất, tiêu chuẩn chế tạo và công nghệ hoàn toàn phù hợp đáp ứng yêu cầu cơ bản về kỹ thuật quy định tại Chương V. Yêu cầu kỹ thuật của E-HSMT. </w:t>
            </w:r>
          </w:p>
          <w:p w14:paraId="2DDDEA41" w14:textId="77777777" w:rsidR="0091096D" w:rsidRPr="004F53D5" w:rsidRDefault="0091096D">
            <w:pPr>
              <w:widowControl w:val="0"/>
              <w:tabs>
                <w:tab w:val="left" w:pos="851"/>
              </w:tabs>
              <w:spacing w:before="60" w:after="60"/>
              <w:rPr>
                <w:szCs w:val="24"/>
                <w:lang w:val="nl-NL"/>
              </w:rPr>
            </w:pPr>
            <w:r w:rsidRPr="004F53D5">
              <w:rPr>
                <w:szCs w:val="24"/>
                <w:lang w:val="nl-NL"/>
              </w:rPr>
              <w:t xml:space="preserve">- Bảng chào hàng hóa đáp ứng các yêu cầu sau: Ký mã hiệu, Nhãn hiệu, Hãng sản xuất, Nguồn gốc xuất xứ, Cấu hình, tính năng kỹ thuật của hàng hóa của E-HSMT </w:t>
            </w:r>
          </w:p>
          <w:p w14:paraId="35707D3E" w14:textId="77777777" w:rsidR="0091096D" w:rsidRPr="004F53D5" w:rsidRDefault="0091096D">
            <w:pPr>
              <w:widowControl w:val="0"/>
              <w:tabs>
                <w:tab w:val="left" w:pos="851"/>
              </w:tabs>
              <w:spacing w:before="60" w:after="60"/>
              <w:rPr>
                <w:szCs w:val="24"/>
                <w:lang w:val="nl-NL"/>
              </w:rPr>
            </w:pPr>
            <w:r w:rsidRPr="004F53D5">
              <w:rPr>
                <w:szCs w:val="24"/>
                <w:lang w:val="nl-NL"/>
              </w:rPr>
              <w:t xml:space="preserve">- E-HSDT phải đính kèm theo đầy đủ catalogue sản phẩm hoặc tài liệu xác nhận thông số kỹ thuật của nhà sản xuất hoặc catalogue được công bố chính thức trên Website chính hãng của nhà sản xuất có các chứng nhận tiêu chuẩn, chất lượng đối với hàng hóa dự thầu. Hình ảnh catalogue đảm bảo đúng sản phẩm mà nhà thầu chào dự thầu, chất lượng hình ảnh rõ nét, thể hiện chi tiết các thông số kỹ thuật; Catalogue phải chính xác với Catalogue được nhà sản xuất công bố chính thức (trên website chính hãng hoặc Catalogue được xác nhận bởi nhà sản xuất). </w:t>
            </w:r>
          </w:p>
        </w:tc>
        <w:tc>
          <w:tcPr>
            <w:tcW w:w="1074" w:type="pct"/>
            <w:vAlign w:val="center"/>
          </w:tcPr>
          <w:p w14:paraId="37818981" w14:textId="77777777" w:rsidR="0091096D" w:rsidRPr="004F53D5" w:rsidRDefault="0091096D">
            <w:pPr>
              <w:spacing w:before="60" w:after="60"/>
              <w:jc w:val="center"/>
              <w:rPr>
                <w:rFonts w:eastAsia="Calibri"/>
                <w:b/>
                <w:szCs w:val="24"/>
                <w:lang w:val="vi-VN"/>
              </w:rPr>
            </w:pPr>
            <w:r w:rsidRPr="004F53D5">
              <w:rPr>
                <w:rFonts w:eastAsia="Calibri"/>
                <w:b/>
                <w:szCs w:val="24"/>
                <w:lang w:val="vi-VN"/>
              </w:rPr>
              <w:t>Đạt</w:t>
            </w:r>
          </w:p>
        </w:tc>
      </w:tr>
      <w:tr w:rsidR="004F53D5" w:rsidRPr="004F53D5" w14:paraId="70B5A8A0" w14:textId="77777777" w:rsidTr="004F53D5">
        <w:trPr>
          <w:trHeight w:val="113"/>
        </w:trPr>
        <w:tc>
          <w:tcPr>
            <w:tcW w:w="952" w:type="pct"/>
            <w:vMerge/>
            <w:vAlign w:val="center"/>
          </w:tcPr>
          <w:p w14:paraId="2A217697" w14:textId="77777777" w:rsidR="0091096D" w:rsidRPr="004F53D5" w:rsidRDefault="0091096D">
            <w:pPr>
              <w:spacing w:before="60" w:after="60"/>
              <w:rPr>
                <w:rFonts w:eastAsia="Calibri"/>
                <w:szCs w:val="24"/>
                <w:lang w:val="vi-VN"/>
              </w:rPr>
            </w:pPr>
          </w:p>
        </w:tc>
        <w:tc>
          <w:tcPr>
            <w:tcW w:w="2974" w:type="pct"/>
            <w:vAlign w:val="center"/>
          </w:tcPr>
          <w:p w14:paraId="60CF4F1A" w14:textId="77777777" w:rsidR="0091096D" w:rsidRPr="004F53D5" w:rsidRDefault="0091096D">
            <w:pPr>
              <w:widowControl w:val="0"/>
              <w:tabs>
                <w:tab w:val="left" w:pos="851"/>
              </w:tabs>
              <w:spacing w:before="60" w:after="60"/>
              <w:rPr>
                <w:szCs w:val="24"/>
                <w:lang w:val="vi-VN"/>
              </w:rPr>
            </w:pPr>
            <w:r w:rsidRPr="004F53D5">
              <w:rPr>
                <w:szCs w:val="24"/>
                <w:lang w:val="vi-VN"/>
              </w:rPr>
              <w:t>Không đáp ứng yêu cầu trên</w:t>
            </w:r>
          </w:p>
        </w:tc>
        <w:tc>
          <w:tcPr>
            <w:tcW w:w="1074" w:type="pct"/>
            <w:vAlign w:val="center"/>
          </w:tcPr>
          <w:p w14:paraId="0C1A86E5"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0A4E55C6" w14:textId="77777777" w:rsidTr="004F53D5">
        <w:trPr>
          <w:trHeight w:val="113"/>
        </w:trPr>
        <w:tc>
          <w:tcPr>
            <w:tcW w:w="3926" w:type="pct"/>
            <w:gridSpan w:val="2"/>
            <w:vAlign w:val="center"/>
          </w:tcPr>
          <w:p w14:paraId="0412ED20" w14:textId="77777777" w:rsidR="0091096D" w:rsidRPr="004F53D5" w:rsidRDefault="0091096D">
            <w:pPr>
              <w:widowControl w:val="0"/>
              <w:tabs>
                <w:tab w:val="left" w:pos="851"/>
              </w:tabs>
              <w:spacing w:before="60" w:after="60"/>
              <w:rPr>
                <w:szCs w:val="24"/>
                <w:lang w:val="nl-NL"/>
              </w:rPr>
            </w:pPr>
            <w:r w:rsidRPr="004F53D5">
              <w:rPr>
                <w:b/>
                <w:bCs/>
                <w:szCs w:val="24"/>
                <w:lang w:val="en-GB"/>
              </w:rPr>
              <w:t>2. Bảo hành, duy trì dịch vụ</w:t>
            </w:r>
          </w:p>
        </w:tc>
        <w:tc>
          <w:tcPr>
            <w:tcW w:w="1074" w:type="pct"/>
            <w:vAlign w:val="center"/>
          </w:tcPr>
          <w:p w14:paraId="651FA6C9" w14:textId="77777777" w:rsidR="0091096D" w:rsidRPr="004F53D5" w:rsidRDefault="0091096D">
            <w:pPr>
              <w:spacing w:before="60" w:after="60"/>
              <w:jc w:val="center"/>
              <w:rPr>
                <w:rFonts w:eastAsia="Calibri"/>
                <w:b/>
                <w:szCs w:val="24"/>
              </w:rPr>
            </w:pPr>
          </w:p>
        </w:tc>
      </w:tr>
      <w:tr w:rsidR="004F53D5" w:rsidRPr="004F53D5" w14:paraId="194616BD" w14:textId="77777777" w:rsidTr="004F53D5">
        <w:trPr>
          <w:trHeight w:val="113"/>
        </w:trPr>
        <w:tc>
          <w:tcPr>
            <w:tcW w:w="952" w:type="pct"/>
            <w:vMerge w:val="restart"/>
            <w:vAlign w:val="center"/>
          </w:tcPr>
          <w:p w14:paraId="7A3D3DDB" w14:textId="77777777" w:rsidR="0091096D" w:rsidRPr="004F53D5" w:rsidRDefault="0091096D">
            <w:pPr>
              <w:spacing w:before="60" w:after="60"/>
              <w:rPr>
                <w:rFonts w:eastAsia="Calibri"/>
                <w:szCs w:val="24"/>
                <w:lang w:val="vi-VN"/>
              </w:rPr>
            </w:pPr>
            <w:r w:rsidRPr="004F53D5">
              <w:rPr>
                <w:rFonts w:eastAsia="Calibri"/>
                <w:szCs w:val="24"/>
                <w:lang w:val="vi-VN"/>
              </w:rPr>
              <w:t>Bảo hành, duy trì dịch vụ</w:t>
            </w:r>
          </w:p>
        </w:tc>
        <w:tc>
          <w:tcPr>
            <w:tcW w:w="2974" w:type="pct"/>
            <w:vAlign w:val="center"/>
          </w:tcPr>
          <w:p w14:paraId="1A7AEBDA" w14:textId="77777777" w:rsidR="0091096D" w:rsidRPr="004F53D5" w:rsidRDefault="0091096D">
            <w:pPr>
              <w:widowControl w:val="0"/>
              <w:tabs>
                <w:tab w:val="left" w:pos="851"/>
              </w:tabs>
              <w:spacing w:before="60" w:after="60"/>
              <w:rPr>
                <w:szCs w:val="24"/>
                <w:lang w:val="vi-VN"/>
              </w:rPr>
            </w:pPr>
            <w:r w:rsidRPr="004F53D5">
              <w:rPr>
                <w:szCs w:val="24"/>
                <w:lang w:val="vi-VN"/>
              </w:rPr>
              <w:t>Thời gian bảo hành, duy trì dịch vụ tối thiểu từ 12 tháng trở lên (Tùy vào chính sách mỗi loại hàng hóa)</w:t>
            </w:r>
          </w:p>
        </w:tc>
        <w:tc>
          <w:tcPr>
            <w:tcW w:w="1074" w:type="pct"/>
            <w:vAlign w:val="center"/>
          </w:tcPr>
          <w:p w14:paraId="78B6D63F" w14:textId="77777777" w:rsidR="0091096D" w:rsidRPr="004F53D5" w:rsidRDefault="0091096D">
            <w:pPr>
              <w:spacing w:before="60" w:after="60"/>
              <w:jc w:val="center"/>
              <w:rPr>
                <w:rFonts w:eastAsia="Calibri"/>
                <w:b/>
                <w:szCs w:val="24"/>
              </w:rPr>
            </w:pPr>
            <w:r w:rsidRPr="004F53D5">
              <w:rPr>
                <w:rFonts w:eastAsia="Calibri"/>
                <w:b/>
                <w:szCs w:val="24"/>
              </w:rPr>
              <w:t>Đạt</w:t>
            </w:r>
          </w:p>
        </w:tc>
      </w:tr>
      <w:tr w:rsidR="004F53D5" w:rsidRPr="004F53D5" w14:paraId="325A36F5" w14:textId="77777777" w:rsidTr="004F53D5">
        <w:trPr>
          <w:trHeight w:val="113"/>
        </w:trPr>
        <w:tc>
          <w:tcPr>
            <w:tcW w:w="952" w:type="pct"/>
            <w:vMerge/>
            <w:vAlign w:val="center"/>
          </w:tcPr>
          <w:p w14:paraId="30E32136" w14:textId="77777777" w:rsidR="0091096D" w:rsidRPr="004F53D5" w:rsidRDefault="0091096D">
            <w:pPr>
              <w:spacing w:before="60" w:after="60"/>
              <w:rPr>
                <w:rFonts w:eastAsia="Calibri"/>
                <w:szCs w:val="24"/>
                <w:lang w:val="vi-VN"/>
              </w:rPr>
            </w:pPr>
          </w:p>
        </w:tc>
        <w:tc>
          <w:tcPr>
            <w:tcW w:w="2974" w:type="pct"/>
            <w:vAlign w:val="center"/>
          </w:tcPr>
          <w:p w14:paraId="147DD236" w14:textId="77777777" w:rsidR="0091096D" w:rsidRPr="004F53D5" w:rsidRDefault="0091096D">
            <w:pPr>
              <w:widowControl w:val="0"/>
              <w:tabs>
                <w:tab w:val="left" w:pos="851"/>
              </w:tabs>
              <w:spacing w:before="60" w:after="60"/>
              <w:rPr>
                <w:szCs w:val="24"/>
                <w:lang w:val="nl-NL"/>
              </w:rPr>
            </w:pPr>
            <w:r w:rsidRPr="004F53D5">
              <w:rPr>
                <w:szCs w:val="24"/>
                <w:lang w:val="vi-VN"/>
              </w:rPr>
              <w:t>Thời gian bảo hành, duy trì dịch vụ dưới 12 tháng</w:t>
            </w:r>
          </w:p>
        </w:tc>
        <w:tc>
          <w:tcPr>
            <w:tcW w:w="1074" w:type="pct"/>
            <w:vAlign w:val="center"/>
          </w:tcPr>
          <w:p w14:paraId="39F620EF"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434F0A3A" w14:textId="77777777" w:rsidTr="004F53D5">
        <w:trPr>
          <w:trHeight w:val="113"/>
        </w:trPr>
        <w:tc>
          <w:tcPr>
            <w:tcW w:w="952" w:type="pct"/>
            <w:vMerge w:val="restart"/>
            <w:vAlign w:val="center"/>
          </w:tcPr>
          <w:p w14:paraId="49FB2F71" w14:textId="77777777" w:rsidR="0091096D" w:rsidRPr="004F53D5" w:rsidRDefault="0091096D">
            <w:pPr>
              <w:spacing w:before="60" w:after="60"/>
              <w:rPr>
                <w:rFonts w:eastAsia="Calibri"/>
                <w:szCs w:val="24"/>
                <w:lang w:val="vi-VN"/>
              </w:rPr>
            </w:pPr>
            <w:r w:rsidRPr="004F53D5">
              <w:rPr>
                <w:rFonts w:eastAsia="Calibri"/>
                <w:szCs w:val="24"/>
                <w:lang w:val="vi-VN"/>
              </w:rPr>
              <w:t xml:space="preserve">Phương thức bảo hành, </w:t>
            </w:r>
            <w:r w:rsidRPr="004F53D5">
              <w:rPr>
                <w:rFonts w:eastAsia="Calibri"/>
                <w:szCs w:val="24"/>
              </w:rPr>
              <w:t xml:space="preserve">ứng cứu, </w:t>
            </w:r>
            <w:r w:rsidRPr="004F53D5">
              <w:rPr>
                <w:rFonts w:eastAsia="Calibri"/>
                <w:szCs w:val="24"/>
                <w:lang w:val="vi-VN"/>
              </w:rPr>
              <w:t>xử lý sự c</w:t>
            </w:r>
            <w:r w:rsidRPr="004F53D5">
              <w:rPr>
                <w:rFonts w:eastAsia="Calibri"/>
                <w:szCs w:val="24"/>
              </w:rPr>
              <w:t>ố đảm bảo</w:t>
            </w:r>
          </w:p>
        </w:tc>
        <w:tc>
          <w:tcPr>
            <w:tcW w:w="2974" w:type="pct"/>
            <w:vAlign w:val="center"/>
          </w:tcPr>
          <w:p w14:paraId="4457E51B" w14:textId="77777777" w:rsidR="0091096D" w:rsidRPr="004F53D5" w:rsidRDefault="0091096D">
            <w:pPr>
              <w:spacing w:before="60" w:after="60"/>
              <w:rPr>
                <w:szCs w:val="24"/>
                <w:lang w:val="vi-VN"/>
              </w:rPr>
            </w:pPr>
            <w:r w:rsidRPr="004F53D5">
              <w:rPr>
                <w:szCs w:val="24"/>
                <w:lang w:val="vi-VN"/>
              </w:rPr>
              <w:t>- Cam kết trực tiếp ngay khi tiếp nhận thông tin về lỗi hoặc khó khăn trong quá trình sử dụng thông qua điện thoại, email, hoặc các phần mềm hỗ trợ trực tuyến từ xa hoặc sau khi tiếp nhận thiết bị.</w:t>
            </w:r>
          </w:p>
          <w:p w14:paraId="7AFD1B97" w14:textId="77777777" w:rsidR="0091096D" w:rsidRPr="004F53D5" w:rsidRDefault="0091096D">
            <w:pPr>
              <w:spacing w:before="60" w:after="60"/>
              <w:rPr>
                <w:szCs w:val="24"/>
                <w:lang w:val="vi-VN"/>
              </w:rPr>
            </w:pPr>
            <w:r w:rsidRPr="004F53D5">
              <w:rPr>
                <w:szCs w:val="24"/>
                <w:lang w:val="vi-VN"/>
              </w:rPr>
              <w:t>- Cam kết thời gian ứng cứu, khắc phục sự cố trong vòng 24 giờ kể từ khi nhận được yêu cầu của chủ đầu tư.</w:t>
            </w:r>
          </w:p>
          <w:p w14:paraId="5B186771" w14:textId="77777777" w:rsidR="0091096D" w:rsidRPr="004F53D5" w:rsidRDefault="0091096D">
            <w:pPr>
              <w:widowControl w:val="0"/>
              <w:tabs>
                <w:tab w:val="left" w:pos="851"/>
              </w:tabs>
              <w:spacing w:before="60" w:after="60"/>
              <w:rPr>
                <w:szCs w:val="24"/>
                <w:lang w:val="vi-VN"/>
              </w:rPr>
            </w:pPr>
            <w:r w:rsidRPr="004F53D5">
              <w:rPr>
                <w:szCs w:val="24"/>
                <w:lang w:val="vi-VN"/>
              </w:rPr>
              <w:t>- Nêu cụ thể phương án thực hiện ứng cứu, xử lý sự cố phù hợp với yêu cầu kỹ thuật hệ thống.</w:t>
            </w:r>
          </w:p>
        </w:tc>
        <w:tc>
          <w:tcPr>
            <w:tcW w:w="1074" w:type="pct"/>
            <w:vAlign w:val="center"/>
          </w:tcPr>
          <w:p w14:paraId="52452FFE" w14:textId="77777777" w:rsidR="0091096D" w:rsidRPr="004F53D5" w:rsidRDefault="0091096D">
            <w:pPr>
              <w:spacing w:before="60" w:after="60"/>
              <w:jc w:val="center"/>
              <w:rPr>
                <w:rFonts w:eastAsia="Calibri"/>
                <w:b/>
                <w:szCs w:val="24"/>
              </w:rPr>
            </w:pPr>
            <w:r w:rsidRPr="004F53D5">
              <w:rPr>
                <w:rFonts w:eastAsia="Calibri"/>
                <w:b/>
                <w:szCs w:val="24"/>
              </w:rPr>
              <w:t>Đạt</w:t>
            </w:r>
          </w:p>
        </w:tc>
      </w:tr>
      <w:tr w:rsidR="004F53D5" w:rsidRPr="004F53D5" w14:paraId="4DBAD7F3" w14:textId="77777777" w:rsidTr="004F53D5">
        <w:trPr>
          <w:trHeight w:val="113"/>
        </w:trPr>
        <w:tc>
          <w:tcPr>
            <w:tcW w:w="952" w:type="pct"/>
            <w:vMerge/>
            <w:vAlign w:val="center"/>
          </w:tcPr>
          <w:p w14:paraId="4A481C93" w14:textId="77777777" w:rsidR="0091096D" w:rsidRPr="004F53D5" w:rsidRDefault="0091096D">
            <w:pPr>
              <w:spacing w:before="60" w:after="60"/>
              <w:rPr>
                <w:rFonts w:eastAsia="Calibri"/>
                <w:szCs w:val="24"/>
                <w:lang w:val="vi-VN"/>
              </w:rPr>
            </w:pPr>
          </w:p>
        </w:tc>
        <w:tc>
          <w:tcPr>
            <w:tcW w:w="2974" w:type="pct"/>
            <w:vAlign w:val="center"/>
          </w:tcPr>
          <w:p w14:paraId="4B7D1482" w14:textId="77777777" w:rsidR="0091096D" w:rsidRPr="004F53D5" w:rsidRDefault="0091096D">
            <w:pPr>
              <w:widowControl w:val="0"/>
              <w:tabs>
                <w:tab w:val="left" w:pos="851"/>
              </w:tabs>
              <w:spacing w:before="60" w:after="60"/>
              <w:rPr>
                <w:szCs w:val="24"/>
                <w:lang w:val="nl-NL"/>
              </w:rPr>
            </w:pPr>
            <w:r w:rsidRPr="004F53D5">
              <w:rPr>
                <w:rFonts w:eastAsia="Calibri"/>
                <w:szCs w:val="24"/>
                <w:lang w:val="vi-VN"/>
              </w:rPr>
              <w:t xml:space="preserve">Không đáp ứng yêu cầu </w:t>
            </w:r>
          </w:p>
        </w:tc>
        <w:tc>
          <w:tcPr>
            <w:tcW w:w="1074" w:type="pct"/>
            <w:vAlign w:val="center"/>
          </w:tcPr>
          <w:p w14:paraId="1888A8A7"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42BE1954" w14:textId="77777777" w:rsidTr="004F53D5">
        <w:trPr>
          <w:trHeight w:val="113"/>
        </w:trPr>
        <w:tc>
          <w:tcPr>
            <w:tcW w:w="3926" w:type="pct"/>
            <w:gridSpan w:val="2"/>
            <w:vAlign w:val="center"/>
          </w:tcPr>
          <w:p w14:paraId="13FB517C" w14:textId="77777777" w:rsidR="0091096D" w:rsidRPr="004F53D5" w:rsidRDefault="0091096D">
            <w:pPr>
              <w:widowControl w:val="0"/>
              <w:tabs>
                <w:tab w:val="left" w:pos="851"/>
              </w:tabs>
              <w:spacing w:before="60" w:after="60"/>
              <w:rPr>
                <w:b/>
                <w:bCs/>
                <w:szCs w:val="24"/>
                <w:lang w:val="en-GB"/>
              </w:rPr>
            </w:pPr>
            <w:r w:rsidRPr="004F53D5">
              <w:rPr>
                <w:b/>
                <w:bCs/>
                <w:szCs w:val="24"/>
              </w:rPr>
              <w:t>3</w:t>
            </w:r>
            <w:r w:rsidRPr="004F53D5">
              <w:rPr>
                <w:b/>
                <w:bCs/>
                <w:szCs w:val="24"/>
                <w:lang w:val="vi-VN"/>
              </w:rPr>
              <w:t>. Tiến độ cung cấp</w:t>
            </w:r>
            <w:r w:rsidRPr="004F53D5">
              <w:rPr>
                <w:b/>
                <w:bCs/>
                <w:szCs w:val="24"/>
                <w:lang w:val="en-GB"/>
              </w:rPr>
              <w:t xml:space="preserve"> </w:t>
            </w:r>
            <w:r w:rsidRPr="004F53D5">
              <w:rPr>
                <w:b/>
                <w:bCs/>
                <w:szCs w:val="24"/>
                <w:lang w:val="vi-VN"/>
              </w:rPr>
              <w:t>hàng hóa</w:t>
            </w:r>
            <w:r w:rsidRPr="004F53D5">
              <w:rPr>
                <w:b/>
                <w:bCs/>
                <w:szCs w:val="24"/>
                <w:lang w:val="en-GB"/>
              </w:rPr>
              <w:t>, dịch vụ</w:t>
            </w:r>
          </w:p>
        </w:tc>
        <w:tc>
          <w:tcPr>
            <w:tcW w:w="1074" w:type="pct"/>
            <w:vAlign w:val="center"/>
          </w:tcPr>
          <w:p w14:paraId="2B71AB1C" w14:textId="77777777" w:rsidR="0091096D" w:rsidRPr="004F53D5" w:rsidRDefault="0091096D">
            <w:pPr>
              <w:spacing w:before="60" w:after="60"/>
              <w:jc w:val="center"/>
              <w:rPr>
                <w:rFonts w:eastAsia="Calibri"/>
                <w:b/>
                <w:szCs w:val="24"/>
              </w:rPr>
            </w:pPr>
          </w:p>
        </w:tc>
      </w:tr>
      <w:tr w:rsidR="004F53D5" w:rsidRPr="004F53D5" w14:paraId="0FC44CDD" w14:textId="77777777" w:rsidTr="004F53D5">
        <w:trPr>
          <w:trHeight w:val="113"/>
        </w:trPr>
        <w:tc>
          <w:tcPr>
            <w:tcW w:w="952" w:type="pct"/>
            <w:vMerge w:val="restart"/>
            <w:vAlign w:val="center"/>
          </w:tcPr>
          <w:p w14:paraId="11DE8249" w14:textId="77777777" w:rsidR="0091096D" w:rsidRPr="004F53D5" w:rsidRDefault="0091096D">
            <w:pPr>
              <w:spacing w:before="60" w:after="60"/>
              <w:rPr>
                <w:rFonts w:eastAsia="Calibri"/>
                <w:szCs w:val="24"/>
                <w:lang w:val="vi-VN"/>
              </w:rPr>
            </w:pPr>
            <w:r w:rsidRPr="004F53D5">
              <w:rPr>
                <w:rFonts w:eastAsia="Calibri"/>
                <w:szCs w:val="24"/>
              </w:rPr>
              <w:t>Tiến độ cung cấp hàng hóa, dịch vụ</w:t>
            </w:r>
          </w:p>
        </w:tc>
        <w:tc>
          <w:tcPr>
            <w:tcW w:w="2974" w:type="pct"/>
            <w:vAlign w:val="center"/>
          </w:tcPr>
          <w:p w14:paraId="2038EB09" w14:textId="77777777" w:rsidR="0091096D" w:rsidRPr="004F53D5" w:rsidRDefault="0091096D">
            <w:pPr>
              <w:spacing w:before="60" w:after="60"/>
              <w:rPr>
                <w:rFonts w:eastAsia="Calibri"/>
                <w:szCs w:val="24"/>
                <w:lang w:val="vi-VN"/>
              </w:rPr>
            </w:pPr>
            <w:r w:rsidRPr="004F53D5">
              <w:rPr>
                <w:rFonts w:eastAsia="Calibri"/>
                <w:szCs w:val="24"/>
                <w:lang w:val="vi-VN"/>
              </w:rPr>
              <w:t>- Có đề xuất thời gian cung cấp hàng hóa, dịch vụ không vượt quá 50 ngày (kể từ ngày ký hợp đồng).</w:t>
            </w:r>
          </w:p>
          <w:p w14:paraId="429D7ACE" w14:textId="77777777" w:rsidR="0091096D" w:rsidRPr="004F53D5" w:rsidRDefault="0091096D">
            <w:pPr>
              <w:spacing w:before="60" w:after="60"/>
              <w:rPr>
                <w:rFonts w:eastAsia="Calibri"/>
                <w:szCs w:val="24"/>
                <w:lang w:val="vi-VN"/>
              </w:rPr>
            </w:pPr>
            <w:r w:rsidRPr="004F53D5">
              <w:rPr>
                <w:rFonts w:eastAsia="Calibri"/>
                <w:szCs w:val="24"/>
                <w:lang w:val="vi-VN"/>
              </w:rPr>
              <w:t>- Có Bảng tiến độ cung cấp hàng hóa hợp lý, khả thi và phù hợp với đề xuất kỹ thuật và đáp ứng yêu cầu của E-HSMT.</w:t>
            </w:r>
          </w:p>
        </w:tc>
        <w:tc>
          <w:tcPr>
            <w:tcW w:w="1074" w:type="pct"/>
            <w:vAlign w:val="center"/>
          </w:tcPr>
          <w:p w14:paraId="2E7D1611" w14:textId="77777777" w:rsidR="0091096D" w:rsidRPr="004F53D5" w:rsidRDefault="0091096D">
            <w:pPr>
              <w:spacing w:before="60" w:after="60"/>
              <w:jc w:val="center"/>
              <w:rPr>
                <w:rFonts w:eastAsia="Calibri"/>
                <w:b/>
                <w:szCs w:val="24"/>
              </w:rPr>
            </w:pPr>
            <w:r w:rsidRPr="004F53D5">
              <w:rPr>
                <w:rFonts w:eastAsia="Calibri"/>
                <w:b/>
                <w:szCs w:val="24"/>
              </w:rPr>
              <w:t>Đạt</w:t>
            </w:r>
          </w:p>
        </w:tc>
      </w:tr>
      <w:tr w:rsidR="004F53D5" w:rsidRPr="004F53D5" w14:paraId="66439CF1" w14:textId="77777777" w:rsidTr="004F53D5">
        <w:trPr>
          <w:trHeight w:val="113"/>
        </w:trPr>
        <w:tc>
          <w:tcPr>
            <w:tcW w:w="952" w:type="pct"/>
            <w:vMerge/>
            <w:vAlign w:val="center"/>
          </w:tcPr>
          <w:p w14:paraId="78C58715" w14:textId="77777777" w:rsidR="0091096D" w:rsidRPr="004F53D5" w:rsidRDefault="0091096D">
            <w:pPr>
              <w:spacing w:before="60" w:after="60"/>
              <w:rPr>
                <w:rFonts w:eastAsia="Calibri"/>
                <w:szCs w:val="24"/>
                <w:lang w:val="vi-VN"/>
              </w:rPr>
            </w:pPr>
          </w:p>
        </w:tc>
        <w:tc>
          <w:tcPr>
            <w:tcW w:w="2974" w:type="pct"/>
            <w:vAlign w:val="center"/>
          </w:tcPr>
          <w:p w14:paraId="4CDC37CD" w14:textId="77777777" w:rsidR="0091096D" w:rsidRPr="004F53D5" w:rsidRDefault="0091096D">
            <w:pPr>
              <w:widowControl w:val="0"/>
              <w:tabs>
                <w:tab w:val="left" w:pos="851"/>
              </w:tabs>
              <w:spacing w:before="60" w:after="60"/>
              <w:rPr>
                <w:szCs w:val="24"/>
                <w:lang w:val="vi-VN"/>
              </w:rPr>
            </w:pPr>
            <w:r w:rsidRPr="004F53D5">
              <w:rPr>
                <w:rFonts w:eastAsia="Calibri"/>
                <w:szCs w:val="24"/>
                <w:lang w:val="vi-VN"/>
              </w:rPr>
              <w:t>Không đáp ứng yêu cầu</w:t>
            </w:r>
          </w:p>
        </w:tc>
        <w:tc>
          <w:tcPr>
            <w:tcW w:w="1074" w:type="pct"/>
            <w:vAlign w:val="center"/>
          </w:tcPr>
          <w:p w14:paraId="37558106"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4BFDE47F" w14:textId="77777777" w:rsidTr="004F53D5">
        <w:trPr>
          <w:trHeight w:val="113"/>
        </w:trPr>
        <w:tc>
          <w:tcPr>
            <w:tcW w:w="3926" w:type="pct"/>
            <w:gridSpan w:val="2"/>
            <w:vAlign w:val="center"/>
          </w:tcPr>
          <w:p w14:paraId="4AE8BA9E" w14:textId="77777777" w:rsidR="0091096D" w:rsidRPr="004F53D5" w:rsidRDefault="0091096D">
            <w:pPr>
              <w:widowControl w:val="0"/>
              <w:tabs>
                <w:tab w:val="left" w:pos="851"/>
              </w:tabs>
              <w:spacing w:before="60" w:after="60"/>
              <w:rPr>
                <w:rFonts w:eastAsia="Calibri"/>
                <w:szCs w:val="24"/>
                <w:lang w:val="en-GB"/>
              </w:rPr>
            </w:pPr>
            <w:r w:rsidRPr="004F53D5">
              <w:rPr>
                <w:b/>
                <w:bCs/>
                <w:szCs w:val="24"/>
                <w:lang w:val="en-GB"/>
              </w:rPr>
              <w:t>4. Uy tín của nhà thầu thông qua việc thực hiện các hợp đồng tương tự trước đó</w:t>
            </w:r>
          </w:p>
        </w:tc>
        <w:tc>
          <w:tcPr>
            <w:tcW w:w="1074" w:type="pct"/>
            <w:vAlign w:val="center"/>
          </w:tcPr>
          <w:p w14:paraId="5D4C1CE8" w14:textId="77777777" w:rsidR="0091096D" w:rsidRPr="004F53D5" w:rsidRDefault="0091096D">
            <w:pPr>
              <w:spacing w:before="60" w:after="60"/>
              <w:jc w:val="center"/>
              <w:rPr>
                <w:rFonts w:eastAsia="Calibri"/>
                <w:b/>
                <w:szCs w:val="24"/>
              </w:rPr>
            </w:pPr>
          </w:p>
        </w:tc>
      </w:tr>
      <w:tr w:rsidR="004F53D5" w:rsidRPr="004F53D5" w14:paraId="646CD6C5" w14:textId="77777777" w:rsidTr="004F53D5">
        <w:trPr>
          <w:trHeight w:val="113"/>
        </w:trPr>
        <w:tc>
          <w:tcPr>
            <w:tcW w:w="952" w:type="pct"/>
            <w:vMerge w:val="restart"/>
            <w:vAlign w:val="center"/>
          </w:tcPr>
          <w:p w14:paraId="6633AB69" w14:textId="77777777" w:rsidR="0091096D" w:rsidRPr="004F53D5" w:rsidRDefault="0091096D">
            <w:pPr>
              <w:spacing w:before="60" w:after="60"/>
              <w:rPr>
                <w:rFonts w:eastAsia="Calibri"/>
                <w:szCs w:val="24"/>
                <w:lang w:val="vi-VN"/>
              </w:rPr>
            </w:pPr>
            <w:r w:rsidRPr="004F53D5">
              <w:rPr>
                <w:rFonts w:eastAsia="Calibri"/>
                <w:szCs w:val="24"/>
                <w:lang w:val="vi-VN"/>
              </w:rPr>
              <w:t xml:space="preserve">Uy tín của nhà thầu </w:t>
            </w:r>
            <w:r w:rsidRPr="004F53D5">
              <w:rPr>
                <w:rFonts w:eastAsia="Calibri"/>
                <w:spacing w:val="2"/>
                <w:szCs w:val="24"/>
                <w:lang w:val="vi-VN"/>
              </w:rPr>
              <w:t xml:space="preserve">thông qua việc thực hiện các hợp đồng tương tự trước đó </w:t>
            </w:r>
            <w:r w:rsidRPr="004F53D5">
              <w:rPr>
                <w:rFonts w:eastAsia="Calibri"/>
                <w:spacing w:val="2"/>
                <w:szCs w:val="24"/>
                <w:lang w:val="nl-NL"/>
              </w:rPr>
              <w:t>từ năm 2021 đến thời điểm đóng thầu.</w:t>
            </w:r>
          </w:p>
        </w:tc>
        <w:tc>
          <w:tcPr>
            <w:tcW w:w="2974" w:type="pct"/>
            <w:vAlign w:val="center"/>
          </w:tcPr>
          <w:p w14:paraId="6743BBBA" w14:textId="77777777" w:rsidR="0091096D" w:rsidRPr="004F53D5" w:rsidRDefault="0091096D">
            <w:pPr>
              <w:widowControl w:val="0"/>
              <w:tabs>
                <w:tab w:val="left" w:pos="851"/>
              </w:tabs>
              <w:spacing w:before="60" w:after="60"/>
              <w:rPr>
                <w:szCs w:val="24"/>
                <w:lang w:val="vi-VN"/>
              </w:rPr>
            </w:pPr>
            <w:r w:rsidRPr="004F53D5">
              <w:rPr>
                <w:szCs w:val="24"/>
                <w:lang w:val="vi-VN"/>
              </w:rPr>
              <w:t xml:space="preserve">Nhà thầu cam kết Uy tín của nhà thầu thông qua việc tham </w:t>
            </w:r>
            <w:r w:rsidRPr="004F53D5">
              <w:rPr>
                <w:szCs w:val="24"/>
                <w:lang w:val="vi-VN"/>
              </w:rPr>
              <w:lastRenderedPageBreak/>
              <w:t>dự thầu, kết quả thực hiện hợp đồng của nhà thầu thực hiện theo quy định tại Điều 20 của Nghị định số 214/2025/NĐ-CP</w:t>
            </w:r>
          </w:p>
          <w:p w14:paraId="2C85AD95" w14:textId="77777777" w:rsidR="0091096D" w:rsidRPr="004F53D5" w:rsidRDefault="0091096D">
            <w:pPr>
              <w:widowControl w:val="0"/>
              <w:tabs>
                <w:tab w:val="left" w:pos="851"/>
              </w:tabs>
              <w:spacing w:before="60" w:after="60"/>
              <w:rPr>
                <w:szCs w:val="24"/>
                <w:lang w:val="vi-VN"/>
              </w:rPr>
            </w:pPr>
            <w:r w:rsidRPr="004F53D5">
              <w:rPr>
                <w:i/>
                <w:iCs/>
                <w:szCs w:val="24"/>
                <w:lang w:val="vi-VN"/>
              </w:rPr>
              <w:t>(</w:t>
            </w:r>
            <w:r w:rsidRPr="004F53D5">
              <w:rPr>
                <w:b/>
                <w:bCs/>
                <w:i/>
                <w:iCs/>
                <w:szCs w:val="24"/>
                <w:lang w:val="vi-VN"/>
              </w:rPr>
              <w:t>Nhà thầu liên danh:</w:t>
            </w:r>
            <w:r w:rsidRPr="004F53D5">
              <w:rPr>
                <w:i/>
                <w:iCs/>
                <w:szCs w:val="24"/>
                <w:lang w:val="vi-VN"/>
              </w:rPr>
              <w:t xml:space="preserve"> Từng thành viên liên danh phải thỏa mãn yêu cầu này)</w:t>
            </w:r>
          </w:p>
        </w:tc>
        <w:tc>
          <w:tcPr>
            <w:tcW w:w="1074" w:type="pct"/>
            <w:vAlign w:val="center"/>
          </w:tcPr>
          <w:p w14:paraId="1F60ECE5" w14:textId="77777777" w:rsidR="0091096D" w:rsidRPr="004F53D5" w:rsidRDefault="0091096D">
            <w:pPr>
              <w:spacing w:before="60" w:after="60"/>
              <w:jc w:val="center"/>
              <w:rPr>
                <w:rFonts w:eastAsia="Calibri"/>
                <w:b/>
                <w:szCs w:val="24"/>
              </w:rPr>
            </w:pPr>
            <w:r w:rsidRPr="004F53D5">
              <w:rPr>
                <w:rFonts w:eastAsia="Calibri"/>
                <w:b/>
                <w:szCs w:val="24"/>
              </w:rPr>
              <w:lastRenderedPageBreak/>
              <w:t>Đạt</w:t>
            </w:r>
          </w:p>
        </w:tc>
      </w:tr>
      <w:tr w:rsidR="004F53D5" w:rsidRPr="004F53D5" w14:paraId="74DA9527" w14:textId="77777777" w:rsidTr="004F53D5">
        <w:trPr>
          <w:trHeight w:val="113"/>
        </w:trPr>
        <w:tc>
          <w:tcPr>
            <w:tcW w:w="952" w:type="pct"/>
            <w:vMerge/>
            <w:vAlign w:val="center"/>
          </w:tcPr>
          <w:p w14:paraId="3E782BA4" w14:textId="77777777" w:rsidR="0091096D" w:rsidRPr="004F53D5" w:rsidRDefault="0091096D">
            <w:pPr>
              <w:spacing w:before="60" w:after="60"/>
              <w:rPr>
                <w:rFonts w:eastAsia="Calibri"/>
                <w:szCs w:val="24"/>
                <w:lang w:val="vi-VN"/>
              </w:rPr>
            </w:pPr>
          </w:p>
        </w:tc>
        <w:tc>
          <w:tcPr>
            <w:tcW w:w="2974" w:type="pct"/>
            <w:vAlign w:val="center"/>
          </w:tcPr>
          <w:p w14:paraId="232F17E2" w14:textId="77777777" w:rsidR="0091096D" w:rsidRPr="004F53D5" w:rsidRDefault="0091096D">
            <w:pPr>
              <w:widowControl w:val="0"/>
              <w:tabs>
                <w:tab w:val="left" w:pos="851"/>
              </w:tabs>
              <w:spacing w:before="60" w:after="60"/>
              <w:rPr>
                <w:szCs w:val="24"/>
                <w:lang w:val="vi-VN"/>
              </w:rPr>
            </w:pPr>
            <w:r w:rsidRPr="004F53D5">
              <w:rPr>
                <w:rFonts w:eastAsia="Calibri"/>
                <w:szCs w:val="24"/>
                <w:lang w:val="vi-VN"/>
              </w:rPr>
              <w:t>Không đáp ứng yêu cầu</w:t>
            </w:r>
          </w:p>
        </w:tc>
        <w:tc>
          <w:tcPr>
            <w:tcW w:w="1074" w:type="pct"/>
            <w:vAlign w:val="center"/>
          </w:tcPr>
          <w:p w14:paraId="60B402C1"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5DE3E49E" w14:textId="77777777" w:rsidTr="004F53D5">
        <w:trPr>
          <w:trHeight w:val="113"/>
        </w:trPr>
        <w:tc>
          <w:tcPr>
            <w:tcW w:w="3926" w:type="pct"/>
            <w:gridSpan w:val="2"/>
            <w:vAlign w:val="center"/>
          </w:tcPr>
          <w:p w14:paraId="009900B8" w14:textId="77777777" w:rsidR="0091096D" w:rsidRPr="004F53D5" w:rsidRDefault="0091096D">
            <w:pPr>
              <w:widowControl w:val="0"/>
              <w:tabs>
                <w:tab w:val="left" w:pos="851"/>
              </w:tabs>
              <w:spacing w:before="60" w:after="60"/>
              <w:rPr>
                <w:rFonts w:eastAsia="Calibri"/>
                <w:szCs w:val="24"/>
                <w:lang w:val="vi-VN"/>
              </w:rPr>
            </w:pPr>
            <w:r w:rsidRPr="004F53D5">
              <w:rPr>
                <w:b/>
                <w:bCs/>
                <w:szCs w:val="24"/>
                <w:lang w:val="en-GB"/>
              </w:rPr>
              <w:t xml:space="preserve">5. Các yếu tố khác   </w:t>
            </w:r>
          </w:p>
        </w:tc>
        <w:tc>
          <w:tcPr>
            <w:tcW w:w="1074" w:type="pct"/>
            <w:vAlign w:val="center"/>
          </w:tcPr>
          <w:p w14:paraId="08BD3697" w14:textId="77777777" w:rsidR="0091096D" w:rsidRPr="004F53D5" w:rsidRDefault="0091096D">
            <w:pPr>
              <w:spacing w:before="60" w:after="60"/>
              <w:jc w:val="center"/>
              <w:rPr>
                <w:rFonts w:eastAsia="Calibri"/>
                <w:b/>
                <w:szCs w:val="24"/>
              </w:rPr>
            </w:pPr>
          </w:p>
        </w:tc>
      </w:tr>
      <w:tr w:rsidR="004F53D5" w:rsidRPr="004F53D5" w14:paraId="1F78B0B7" w14:textId="77777777" w:rsidTr="004F53D5">
        <w:trPr>
          <w:trHeight w:val="113"/>
        </w:trPr>
        <w:tc>
          <w:tcPr>
            <w:tcW w:w="952" w:type="pct"/>
            <w:vMerge w:val="restart"/>
            <w:vAlign w:val="center"/>
          </w:tcPr>
          <w:p w14:paraId="0AC67BB9" w14:textId="77777777" w:rsidR="0091096D" w:rsidRPr="004F53D5" w:rsidRDefault="0091096D">
            <w:pPr>
              <w:spacing w:before="60" w:after="60"/>
              <w:rPr>
                <w:rFonts w:eastAsia="Calibri"/>
                <w:szCs w:val="24"/>
              </w:rPr>
            </w:pPr>
            <w:r w:rsidRPr="004F53D5">
              <w:rPr>
                <w:rFonts w:eastAsia="Calibri"/>
                <w:szCs w:val="24"/>
              </w:rPr>
              <w:t xml:space="preserve">Cam kết </w:t>
            </w:r>
          </w:p>
        </w:tc>
        <w:tc>
          <w:tcPr>
            <w:tcW w:w="2974" w:type="pct"/>
            <w:vAlign w:val="center"/>
          </w:tcPr>
          <w:p w14:paraId="7B851CCE" w14:textId="77777777" w:rsidR="0091096D" w:rsidRPr="004F53D5" w:rsidRDefault="0091096D">
            <w:pPr>
              <w:widowControl w:val="0"/>
              <w:tabs>
                <w:tab w:val="left" w:pos="851"/>
              </w:tabs>
              <w:spacing w:before="60" w:after="60"/>
              <w:rPr>
                <w:szCs w:val="24"/>
                <w:lang w:val="vi-VN"/>
              </w:rPr>
            </w:pPr>
            <w:r w:rsidRPr="004F53D5">
              <w:rPr>
                <w:szCs w:val="24"/>
                <w:lang w:val="vi-VN"/>
              </w:rPr>
              <w:t>- Hàng hoá được cung cấp mới 100%, được giao nguyên đai, nguyên kiện kèm theo Giấy chứng nhận xuất xứ (CO), Giấy chứng nhận chất lượng (CQ) đối với hàng hoá nhập khẩu hoặc Giấy chứng nhận xuất xưởng đối với hàng hoá sản xuất trong nước.</w:t>
            </w:r>
          </w:p>
        </w:tc>
        <w:tc>
          <w:tcPr>
            <w:tcW w:w="1074" w:type="pct"/>
            <w:vAlign w:val="center"/>
          </w:tcPr>
          <w:p w14:paraId="3CAEF84F" w14:textId="77777777" w:rsidR="0091096D" w:rsidRPr="004F53D5" w:rsidRDefault="0091096D">
            <w:pPr>
              <w:spacing w:before="60" w:after="60"/>
              <w:jc w:val="center"/>
              <w:rPr>
                <w:rFonts w:eastAsia="Calibri"/>
                <w:b/>
                <w:szCs w:val="24"/>
              </w:rPr>
            </w:pPr>
            <w:r w:rsidRPr="004F53D5">
              <w:rPr>
                <w:rFonts w:eastAsia="Calibri"/>
                <w:b/>
                <w:szCs w:val="24"/>
              </w:rPr>
              <w:t>Đạt</w:t>
            </w:r>
          </w:p>
        </w:tc>
      </w:tr>
      <w:tr w:rsidR="004F53D5" w:rsidRPr="004F53D5" w14:paraId="7516E5E4" w14:textId="77777777" w:rsidTr="004F53D5">
        <w:trPr>
          <w:trHeight w:val="113"/>
        </w:trPr>
        <w:tc>
          <w:tcPr>
            <w:tcW w:w="952" w:type="pct"/>
            <w:vMerge/>
            <w:vAlign w:val="center"/>
          </w:tcPr>
          <w:p w14:paraId="742010ED" w14:textId="77777777" w:rsidR="0091096D" w:rsidRPr="004F53D5" w:rsidRDefault="0091096D">
            <w:pPr>
              <w:spacing w:before="60" w:after="60"/>
              <w:rPr>
                <w:rFonts w:eastAsia="Calibri"/>
                <w:szCs w:val="24"/>
                <w:lang w:val="vi-VN"/>
              </w:rPr>
            </w:pPr>
          </w:p>
        </w:tc>
        <w:tc>
          <w:tcPr>
            <w:tcW w:w="2974" w:type="pct"/>
            <w:vAlign w:val="center"/>
          </w:tcPr>
          <w:p w14:paraId="0D3659FF" w14:textId="77777777" w:rsidR="0091096D" w:rsidRPr="004F53D5" w:rsidRDefault="0091096D">
            <w:pPr>
              <w:widowControl w:val="0"/>
              <w:tabs>
                <w:tab w:val="left" w:pos="851"/>
              </w:tabs>
              <w:spacing w:before="60" w:after="60"/>
              <w:rPr>
                <w:szCs w:val="24"/>
                <w:lang w:val="vi-VN"/>
              </w:rPr>
            </w:pPr>
            <w:r w:rsidRPr="004F53D5">
              <w:rPr>
                <w:szCs w:val="24"/>
                <w:lang w:val="vi-VN"/>
              </w:rPr>
              <w:t>Không đáp ứng yêu cầu</w:t>
            </w:r>
          </w:p>
        </w:tc>
        <w:tc>
          <w:tcPr>
            <w:tcW w:w="1074" w:type="pct"/>
            <w:vAlign w:val="center"/>
          </w:tcPr>
          <w:p w14:paraId="792755E3"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0A0F2CB6" w14:textId="77777777" w:rsidTr="004F53D5">
        <w:trPr>
          <w:trHeight w:val="113"/>
        </w:trPr>
        <w:tc>
          <w:tcPr>
            <w:tcW w:w="952" w:type="pct"/>
            <w:vMerge w:val="restart"/>
            <w:vAlign w:val="center"/>
          </w:tcPr>
          <w:p w14:paraId="0A7E428F" w14:textId="77777777" w:rsidR="0091096D" w:rsidRPr="004F53D5" w:rsidRDefault="0091096D">
            <w:pPr>
              <w:spacing w:before="60" w:after="60"/>
              <w:rPr>
                <w:rFonts w:eastAsia="Calibri"/>
                <w:szCs w:val="24"/>
                <w:lang w:val="en-GB"/>
              </w:rPr>
            </w:pPr>
            <w:r w:rsidRPr="004F53D5">
              <w:rPr>
                <w:rFonts w:eastAsia="Calibri"/>
                <w:szCs w:val="24"/>
                <w:lang w:val="en-GB"/>
              </w:rPr>
              <w:t>Cam kết lắp đặt</w:t>
            </w:r>
          </w:p>
        </w:tc>
        <w:tc>
          <w:tcPr>
            <w:tcW w:w="2974" w:type="pct"/>
            <w:vAlign w:val="center"/>
          </w:tcPr>
          <w:p w14:paraId="28CC1CA0" w14:textId="77777777" w:rsidR="0091096D" w:rsidRPr="004F53D5" w:rsidRDefault="0091096D">
            <w:pPr>
              <w:widowControl w:val="0"/>
              <w:tabs>
                <w:tab w:val="left" w:pos="851"/>
              </w:tabs>
              <w:spacing w:before="60" w:after="60"/>
              <w:rPr>
                <w:rFonts w:eastAsia="Calibri"/>
                <w:szCs w:val="24"/>
                <w:lang w:val="en-GB"/>
              </w:rPr>
            </w:pPr>
            <w:r w:rsidRPr="004F53D5">
              <w:rPr>
                <w:rFonts w:eastAsia="Calibri"/>
                <w:szCs w:val="24"/>
                <w:lang w:val="en-GB"/>
              </w:rPr>
              <w:t xml:space="preserve">Nhà thầu có cam kết vận chuyển, lắp đặt, cấu hình hàng hóa đến các đơn vị sử dụng theo yêu cầu </w:t>
            </w:r>
            <w:r w:rsidRPr="004F53D5">
              <w:rPr>
                <w:szCs w:val="24"/>
                <w:lang w:val="vi-VN"/>
              </w:rPr>
              <w:t>Chương V. Yêu cầu kỹ thuật của E-HSMT.</w:t>
            </w:r>
          </w:p>
        </w:tc>
        <w:tc>
          <w:tcPr>
            <w:tcW w:w="1074" w:type="pct"/>
            <w:vAlign w:val="center"/>
          </w:tcPr>
          <w:p w14:paraId="3972F433" w14:textId="77777777" w:rsidR="0091096D" w:rsidRPr="004F53D5" w:rsidRDefault="0091096D">
            <w:pPr>
              <w:spacing w:before="60" w:after="60"/>
              <w:jc w:val="center"/>
              <w:rPr>
                <w:rFonts w:eastAsia="Calibri"/>
                <w:b/>
                <w:szCs w:val="24"/>
              </w:rPr>
            </w:pPr>
            <w:r w:rsidRPr="004F53D5">
              <w:rPr>
                <w:rFonts w:eastAsia="Calibri"/>
                <w:b/>
                <w:szCs w:val="24"/>
              </w:rPr>
              <w:t>Đạt</w:t>
            </w:r>
          </w:p>
        </w:tc>
      </w:tr>
      <w:tr w:rsidR="004F53D5" w:rsidRPr="004F53D5" w14:paraId="4AF75F5D" w14:textId="77777777" w:rsidTr="004F53D5">
        <w:trPr>
          <w:trHeight w:val="113"/>
        </w:trPr>
        <w:tc>
          <w:tcPr>
            <w:tcW w:w="952" w:type="pct"/>
            <w:vMerge/>
            <w:vAlign w:val="center"/>
          </w:tcPr>
          <w:p w14:paraId="0332EFFA" w14:textId="77777777" w:rsidR="0091096D" w:rsidRPr="004F53D5" w:rsidRDefault="0091096D">
            <w:pPr>
              <w:spacing w:before="60" w:after="60"/>
              <w:rPr>
                <w:rFonts w:eastAsia="Calibri"/>
                <w:szCs w:val="24"/>
                <w:lang w:val="vi-VN"/>
              </w:rPr>
            </w:pPr>
          </w:p>
        </w:tc>
        <w:tc>
          <w:tcPr>
            <w:tcW w:w="2974" w:type="pct"/>
            <w:vAlign w:val="center"/>
          </w:tcPr>
          <w:p w14:paraId="542D0397" w14:textId="77777777" w:rsidR="0091096D" w:rsidRPr="004F53D5" w:rsidRDefault="0091096D">
            <w:pPr>
              <w:widowControl w:val="0"/>
              <w:tabs>
                <w:tab w:val="left" w:pos="851"/>
              </w:tabs>
              <w:spacing w:before="60" w:after="60"/>
              <w:rPr>
                <w:rFonts w:eastAsia="Calibri"/>
                <w:szCs w:val="24"/>
                <w:lang w:val="vi-VN"/>
              </w:rPr>
            </w:pPr>
            <w:r w:rsidRPr="004F53D5">
              <w:rPr>
                <w:rFonts w:eastAsia="Calibri"/>
                <w:szCs w:val="24"/>
                <w:lang w:val="vi-VN"/>
              </w:rPr>
              <w:t>Không đáp ứng yêu cầu</w:t>
            </w:r>
          </w:p>
        </w:tc>
        <w:tc>
          <w:tcPr>
            <w:tcW w:w="1074" w:type="pct"/>
            <w:vAlign w:val="center"/>
          </w:tcPr>
          <w:p w14:paraId="5DEF936B" w14:textId="77777777" w:rsidR="0091096D" w:rsidRPr="004F53D5" w:rsidRDefault="0091096D">
            <w:pPr>
              <w:spacing w:before="60" w:after="60"/>
              <w:jc w:val="center"/>
              <w:rPr>
                <w:rFonts w:eastAsia="Calibri"/>
                <w:b/>
                <w:szCs w:val="24"/>
              </w:rPr>
            </w:pPr>
            <w:r w:rsidRPr="004F53D5">
              <w:rPr>
                <w:rFonts w:eastAsia="Calibri"/>
                <w:b/>
                <w:szCs w:val="24"/>
              </w:rPr>
              <w:t>Không đạt</w:t>
            </w:r>
          </w:p>
        </w:tc>
      </w:tr>
      <w:tr w:rsidR="004F53D5" w:rsidRPr="004F53D5" w14:paraId="7032D7EC" w14:textId="77777777" w:rsidTr="004F53D5">
        <w:trPr>
          <w:trHeight w:val="113"/>
        </w:trPr>
        <w:tc>
          <w:tcPr>
            <w:tcW w:w="952" w:type="pct"/>
            <w:vMerge w:val="restart"/>
            <w:vAlign w:val="center"/>
          </w:tcPr>
          <w:p w14:paraId="0F12576B" w14:textId="77777777" w:rsidR="0091096D" w:rsidRPr="004F53D5" w:rsidRDefault="0091096D">
            <w:pPr>
              <w:spacing w:before="60" w:after="60"/>
              <w:rPr>
                <w:rFonts w:eastAsia="Calibri"/>
                <w:szCs w:val="24"/>
                <w:lang w:val="vi-VN"/>
              </w:rPr>
            </w:pPr>
            <w:r w:rsidRPr="004F53D5">
              <w:rPr>
                <w:b/>
                <w:iCs/>
                <w:szCs w:val="24"/>
                <w:lang w:val="nl-NL"/>
              </w:rPr>
              <w:t>KẾT LUẬN:</w:t>
            </w:r>
          </w:p>
        </w:tc>
        <w:tc>
          <w:tcPr>
            <w:tcW w:w="2974" w:type="pct"/>
            <w:vAlign w:val="center"/>
          </w:tcPr>
          <w:p w14:paraId="4DB0552C" w14:textId="77777777" w:rsidR="0091096D" w:rsidRPr="004F53D5" w:rsidRDefault="0091096D">
            <w:pPr>
              <w:widowControl w:val="0"/>
              <w:tabs>
                <w:tab w:val="left" w:pos="851"/>
              </w:tabs>
              <w:spacing w:before="60" w:after="60"/>
              <w:rPr>
                <w:szCs w:val="24"/>
                <w:lang w:val="vi-VN"/>
              </w:rPr>
            </w:pPr>
            <w:r w:rsidRPr="004F53D5">
              <w:rPr>
                <w:b/>
                <w:iCs/>
                <w:szCs w:val="24"/>
                <w:lang w:val="nl-NL"/>
              </w:rPr>
              <w:t xml:space="preserve">Tất cả các tiêu chuẩn được đánh giá là “Đạt” </w:t>
            </w:r>
          </w:p>
        </w:tc>
        <w:tc>
          <w:tcPr>
            <w:tcW w:w="1074" w:type="pct"/>
            <w:vAlign w:val="center"/>
          </w:tcPr>
          <w:p w14:paraId="00C066C2" w14:textId="77777777" w:rsidR="0091096D" w:rsidRPr="004F53D5" w:rsidRDefault="0091096D">
            <w:pPr>
              <w:spacing w:before="60" w:after="60"/>
              <w:jc w:val="center"/>
              <w:rPr>
                <w:rFonts w:eastAsia="Calibri"/>
                <w:b/>
                <w:szCs w:val="24"/>
              </w:rPr>
            </w:pPr>
            <w:r w:rsidRPr="004F53D5">
              <w:rPr>
                <w:b/>
                <w:iCs/>
                <w:szCs w:val="24"/>
              </w:rPr>
              <w:t>Đạt</w:t>
            </w:r>
          </w:p>
        </w:tc>
      </w:tr>
      <w:tr w:rsidR="004F53D5" w:rsidRPr="004F53D5" w14:paraId="29893883" w14:textId="77777777" w:rsidTr="004F53D5">
        <w:trPr>
          <w:trHeight w:val="113"/>
        </w:trPr>
        <w:tc>
          <w:tcPr>
            <w:tcW w:w="952" w:type="pct"/>
            <w:vMerge/>
            <w:vAlign w:val="center"/>
          </w:tcPr>
          <w:p w14:paraId="69926275" w14:textId="77777777" w:rsidR="0091096D" w:rsidRPr="004F53D5" w:rsidRDefault="0091096D">
            <w:pPr>
              <w:spacing w:before="60" w:after="60"/>
              <w:rPr>
                <w:rFonts w:eastAsia="Calibri"/>
                <w:szCs w:val="24"/>
                <w:lang w:val="vi-VN"/>
              </w:rPr>
            </w:pPr>
          </w:p>
        </w:tc>
        <w:tc>
          <w:tcPr>
            <w:tcW w:w="2974" w:type="pct"/>
            <w:vAlign w:val="center"/>
          </w:tcPr>
          <w:p w14:paraId="2FD81346" w14:textId="77777777" w:rsidR="0091096D" w:rsidRPr="004F53D5" w:rsidRDefault="0091096D">
            <w:pPr>
              <w:widowControl w:val="0"/>
              <w:tabs>
                <w:tab w:val="left" w:pos="851"/>
              </w:tabs>
              <w:spacing w:before="60" w:after="60"/>
              <w:rPr>
                <w:szCs w:val="24"/>
                <w:lang w:val="nl-NL"/>
              </w:rPr>
            </w:pPr>
            <w:r w:rsidRPr="004F53D5">
              <w:rPr>
                <w:b/>
                <w:iCs/>
                <w:szCs w:val="24"/>
                <w:lang w:val="nl-NL"/>
              </w:rPr>
              <w:t>“Không đạt” một nội dung bất kỳ trong số các nội dung nêu trên</w:t>
            </w:r>
          </w:p>
        </w:tc>
        <w:tc>
          <w:tcPr>
            <w:tcW w:w="1074" w:type="pct"/>
            <w:vAlign w:val="center"/>
          </w:tcPr>
          <w:p w14:paraId="0F682612" w14:textId="77777777" w:rsidR="0091096D" w:rsidRPr="004F53D5" w:rsidRDefault="0091096D">
            <w:pPr>
              <w:spacing w:before="60" w:after="60"/>
              <w:jc w:val="center"/>
              <w:rPr>
                <w:rFonts w:eastAsia="Calibri"/>
                <w:b/>
                <w:szCs w:val="24"/>
              </w:rPr>
            </w:pPr>
            <w:r w:rsidRPr="004F53D5">
              <w:rPr>
                <w:b/>
                <w:iCs/>
                <w:szCs w:val="24"/>
                <w:lang w:val="vi-VN"/>
              </w:rPr>
              <w:t>Không đạt</w:t>
            </w:r>
          </w:p>
        </w:tc>
      </w:tr>
    </w:tbl>
    <w:p w14:paraId="5B244693" w14:textId="796A4F65" w:rsidR="0091096D" w:rsidRPr="004F53D5" w:rsidRDefault="0091096D" w:rsidP="004F53D5">
      <w:pPr>
        <w:pStyle w:val="TOC1"/>
        <w:spacing w:line="264" w:lineRule="auto"/>
        <w:rPr>
          <w:b w:val="0"/>
          <w:szCs w:val="24"/>
        </w:rPr>
      </w:pPr>
      <w:bookmarkStart w:id="0" w:name="RANGE!A1:I8"/>
      <w:bookmarkEnd w:id="0"/>
    </w:p>
    <w:sectPr w:rsidR="0091096D" w:rsidRPr="004F53D5" w:rsidSect="004F53D5">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BFDA" w14:textId="77777777" w:rsidR="008E04D1" w:rsidRDefault="008E04D1" w:rsidP="0091096D">
      <w:r>
        <w:separator/>
      </w:r>
    </w:p>
  </w:endnote>
  <w:endnote w:type="continuationSeparator" w:id="0">
    <w:p w14:paraId="6AA5A085" w14:textId="77777777" w:rsidR="008E04D1" w:rsidRDefault="008E04D1" w:rsidP="0091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9B13" w14:textId="77777777" w:rsidR="008E04D1" w:rsidRDefault="008E04D1" w:rsidP="0091096D">
      <w:r>
        <w:separator/>
      </w:r>
    </w:p>
  </w:footnote>
  <w:footnote w:type="continuationSeparator" w:id="0">
    <w:p w14:paraId="6B28508F" w14:textId="77777777" w:rsidR="008E04D1" w:rsidRDefault="008E04D1" w:rsidP="0091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210"/>
    <w:multiLevelType w:val="hybridMultilevel"/>
    <w:tmpl w:val="C86A377E"/>
    <w:lvl w:ilvl="0" w:tplc="D2E65568">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4089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6D"/>
    <w:rsid w:val="00014631"/>
    <w:rsid w:val="0007181A"/>
    <w:rsid w:val="000A5A94"/>
    <w:rsid w:val="000E1C9D"/>
    <w:rsid w:val="00130E82"/>
    <w:rsid w:val="001C4212"/>
    <w:rsid w:val="00221DBD"/>
    <w:rsid w:val="0023322D"/>
    <w:rsid w:val="00275A08"/>
    <w:rsid w:val="0029579D"/>
    <w:rsid w:val="002A076E"/>
    <w:rsid w:val="002B472C"/>
    <w:rsid w:val="003408A0"/>
    <w:rsid w:val="003513B8"/>
    <w:rsid w:val="00364A59"/>
    <w:rsid w:val="00380141"/>
    <w:rsid w:val="003A2290"/>
    <w:rsid w:val="004707AC"/>
    <w:rsid w:val="00477985"/>
    <w:rsid w:val="004A2FEA"/>
    <w:rsid w:val="004F53D5"/>
    <w:rsid w:val="005164A8"/>
    <w:rsid w:val="00565825"/>
    <w:rsid w:val="0059631B"/>
    <w:rsid w:val="00605C6B"/>
    <w:rsid w:val="00642A09"/>
    <w:rsid w:val="00654CD2"/>
    <w:rsid w:val="00657A6B"/>
    <w:rsid w:val="006E7858"/>
    <w:rsid w:val="00793731"/>
    <w:rsid w:val="007D272F"/>
    <w:rsid w:val="007F250D"/>
    <w:rsid w:val="007F3D5C"/>
    <w:rsid w:val="00843CB5"/>
    <w:rsid w:val="00897603"/>
    <w:rsid w:val="008D2AFD"/>
    <w:rsid w:val="008E04D1"/>
    <w:rsid w:val="008E183C"/>
    <w:rsid w:val="0091096D"/>
    <w:rsid w:val="009B1B64"/>
    <w:rsid w:val="009D03E7"/>
    <w:rsid w:val="00A76A17"/>
    <w:rsid w:val="00AB27C3"/>
    <w:rsid w:val="00B23972"/>
    <w:rsid w:val="00B46638"/>
    <w:rsid w:val="00B72E9F"/>
    <w:rsid w:val="00B9636E"/>
    <w:rsid w:val="00BB71F4"/>
    <w:rsid w:val="00C26ACC"/>
    <w:rsid w:val="00CA428F"/>
    <w:rsid w:val="00D90C2A"/>
    <w:rsid w:val="00DB3BBB"/>
    <w:rsid w:val="00DC490F"/>
    <w:rsid w:val="00E77F82"/>
    <w:rsid w:val="00F03160"/>
    <w:rsid w:val="00F60495"/>
    <w:rsid w:val="00F92C2D"/>
    <w:rsid w:val="00FF74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C3E5"/>
  <w15:chartTrackingRefBased/>
  <w15:docId w15:val="{BE51B5C2-09E1-4099-A759-8BFC2A19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6D"/>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91096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096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096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096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1096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1096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1096D"/>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1096D"/>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096D"/>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6D"/>
    <w:rPr>
      <w:rFonts w:eastAsiaTheme="majorEastAsia" w:cstheme="majorBidi"/>
      <w:color w:val="272727" w:themeColor="text1" w:themeTint="D8"/>
    </w:rPr>
  </w:style>
  <w:style w:type="paragraph" w:styleId="Title">
    <w:name w:val="Title"/>
    <w:basedOn w:val="Normal"/>
    <w:next w:val="Normal"/>
    <w:link w:val="TitleChar"/>
    <w:uiPriority w:val="10"/>
    <w:qFormat/>
    <w:rsid w:val="0091096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6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6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096D"/>
    <w:rPr>
      <w:i/>
      <w:iCs/>
      <w:color w:val="404040" w:themeColor="text1" w:themeTint="BF"/>
    </w:rPr>
  </w:style>
  <w:style w:type="paragraph" w:styleId="ListParagraph">
    <w:name w:val="List Paragraph"/>
    <w:basedOn w:val="Normal"/>
    <w:uiPriority w:val="34"/>
    <w:qFormat/>
    <w:rsid w:val="0091096D"/>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1096D"/>
    <w:rPr>
      <w:i/>
      <w:iCs/>
      <w:color w:val="2F5496" w:themeColor="accent1" w:themeShade="BF"/>
    </w:rPr>
  </w:style>
  <w:style w:type="paragraph" w:styleId="IntenseQuote">
    <w:name w:val="Intense Quote"/>
    <w:basedOn w:val="Normal"/>
    <w:next w:val="Normal"/>
    <w:link w:val="IntenseQuoteChar"/>
    <w:uiPriority w:val="30"/>
    <w:qFormat/>
    <w:rsid w:val="009109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096D"/>
    <w:rPr>
      <w:i/>
      <w:iCs/>
      <w:color w:val="2F5496" w:themeColor="accent1" w:themeShade="BF"/>
    </w:rPr>
  </w:style>
  <w:style w:type="character" w:styleId="IntenseReference">
    <w:name w:val="Intense Reference"/>
    <w:basedOn w:val="DefaultParagraphFont"/>
    <w:uiPriority w:val="32"/>
    <w:qFormat/>
    <w:rsid w:val="0091096D"/>
    <w:rPr>
      <w:b/>
      <w:bCs/>
      <w:smallCaps/>
      <w:color w:val="2F5496" w:themeColor="accent1" w:themeShade="BF"/>
      <w:spacing w:val="5"/>
    </w:rPr>
  </w:style>
  <w:style w:type="paragraph" w:styleId="TOC1">
    <w:name w:val="toc 1"/>
    <w:basedOn w:val="Normal"/>
    <w:next w:val="Normal"/>
    <w:autoRedefine/>
    <w:uiPriority w:val="39"/>
    <w:qFormat/>
    <w:rsid w:val="0091096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1096D"/>
    <w:pPr>
      <w:tabs>
        <w:tab w:val="left" w:pos="360"/>
      </w:tabs>
      <w:ind w:left="360" w:hanging="360"/>
    </w:pPr>
    <w:rPr>
      <w:sz w:val="20"/>
    </w:rPr>
  </w:style>
  <w:style w:type="character" w:customStyle="1" w:styleId="FootnoteTextChar">
    <w:name w:val="Footnote Text Char"/>
    <w:basedOn w:val="DefaultParagraphFont"/>
    <w:link w:val="FootnoteText"/>
    <w:rsid w:val="0091096D"/>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91096D"/>
    <w:rPr>
      <w:vertAlign w:val="superscript"/>
    </w:rPr>
  </w:style>
  <w:style w:type="paragraph" w:customStyle="1" w:styleId="Style11">
    <w:name w:val="Style 11"/>
    <w:basedOn w:val="Normal"/>
    <w:rsid w:val="0091096D"/>
    <w:pPr>
      <w:widowControl w:val="0"/>
      <w:autoSpaceDE w:val="0"/>
      <w:autoSpaceDN w:val="0"/>
      <w:spacing w:line="384" w:lineRule="atLeast"/>
      <w:jc w:val="left"/>
    </w:pPr>
    <w:rPr>
      <w:szCs w:val="24"/>
    </w:rPr>
  </w:style>
  <w:style w:type="table" w:styleId="TableGrid">
    <w:name w:val="Table Grid"/>
    <w:basedOn w:val="TableNormal"/>
    <w:uiPriority w:val="39"/>
    <w:rsid w:val="0091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3D5"/>
    <w:pPr>
      <w:tabs>
        <w:tab w:val="center" w:pos="4513"/>
        <w:tab w:val="right" w:pos="9026"/>
      </w:tabs>
    </w:pPr>
  </w:style>
  <w:style w:type="character" w:customStyle="1" w:styleId="HeaderChar">
    <w:name w:val="Header Char"/>
    <w:basedOn w:val="DefaultParagraphFont"/>
    <w:link w:val="Header"/>
    <w:uiPriority w:val="99"/>
    <w:rsid w:val="004F53D5"/>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4F53D5"/>
    <w:pPr>
      <w:tabs>
        <w:tab w:val="center" w:pos="4513"/>
        <w:tab w:val="right" w:pos="9026"/>
      </w:tabs>
    </w:pPr>
  </w:style>
  <w:style w:type="character" w:customStyle="1" w:styleId="FooterChar">
    <w:name w:val="Footer Char"/>
    <w:basedOn w:val="DefaultParagraphFont"/>
    <w:link w:val="Footer"/>
    <w:uiPriority w:val="99"/>
    <w:rsid w:val="004F53D5"/>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2699</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Office</cp:lastModifiedBy>
  <cp:revision>3</cp:revision>
  <dcterms:created xsi:type="dcterms:W3CDTF">2026-03-31T09:15:00Z</dcterms:created>
  <dcterms:modified xsi:type="dcterms:W3CDTF">2026-03-31T09:17:00Z</dcterms:modified>
</cp:coreProperties>
</file>