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2E2E1" w14:textId="77777777" w:rsidR="00A62165" w:rsidRPr="00A62165" w:rsidRDefault="00A62165" w:rsidP="00A62165">
      <w:pPr>
        <w:spacing w:before="120" w:after="120" w:line="240" w:lineRule="auto"/>
        <w:ind w:firstLine="709"/>
        <w:jc w:val="both"/>
        <w:outlineLvl w:val="1"/>
        <w:rPr>
          <w:rFonts w:ascii="Times New Roman" w:eastAsia="MS Mincho" w:hAnsi="Times New Roman" w:cs="Times New Roman"/>
          <w:b/>
          <w:kern w:val="0"/>
          <w:lang w:val="vi-VN" w:eastAsia="vi-VN"/>
          <w14:ligatures w14:val="none"/>
        </w:rPr>
      </w:pPr>
      <w:r w:rsidRPr="00A62165">
        <w:rPr>
          <w:rFonts w:ascii="Times New Roman" w:eastAsia="Times New Roman" w:hAnsi="Times New Roman" w:cs="Times New Roman"/>
          <w:b/>
          <w:bCs/>
          <w:kern w:val="0"/>
          <w:sz w:val="28"/>
          <w:szCs w:val="28"/>
          <w:lang w:val="vi-VN"/>
          <w14:ligatures w14:val="none"/>
        </w:rPr>
        <w:t xml:space="preserve">Mục </w:t>
      </w:r>
      <w:r w:rsidRPr="00A62165">
        <w:rPr>
          <w:rFonts w:ascii="Times New Roman" w:eastAsia="Times New Roman" w:hAnsi="Times New Roman" w:cs="Times New Roman"/>
          <w:b/>
          <w:bCs/>
          <w:kern w:val="0"/>
          <w:sz w:val="28"/>
          <w:szCs w:val="28"/>
          <w:lang w:val="pl-PL"/>
          <w14:ligatures w14:val="none"/>
        </w:rPr>
        <w:t>3</w:t>
      </w:r>
      <w:r w:rsidRPr="00A62165">
        <w:rPr>
          <w:rFonts w:ascii="Times New Roman" w:eastAsia="Times New Roman" w:hAnsi="Times New Roman" w:cs="Times New Roman"/>
          <w:b/>
          <w:bCs/>
          <w:kern w:val="0"/>
          <w:sz w:val="28"/>
          <w:szCs w:val="28"/>
          <w:lang w:val="vi-VN"/>
          <w14:ligatures w14:val="none"/>
        </w:rPr>
        <w:t>. Tiêu chuẩn đánh giá về kỹ thuật</w:t>
      </w:r>
      <w:r w:rsidRPr="00A62165">
        <w:rPr>
          <w:rFonts w:ascii="Times New Roman" w:eastAsia="MS Mincho" w:hAnsi="Times New Roman" w:cs="Times New Roman"/>
          <w:b/>
          <w:kern w:val="0"/>
          <w:lang w:val="vi-VN" w:eastAsia="vi-VN"/>
          <w14:ligatures w14:val="none"/>
        </w:rPr>
        <w:t xml:space="preserve"> </w:t>
      </w:r>
    </w:p>
    <w:p w14:paraId="2346AD01" w14:textId="77777777" w:rsidR="00A62165" w:rsidRPr="00A62165" w:rsidRDefault="00A62165" w:rsidP="00A62165">
      <w:pPr>
        <w:spacing w:before="120" w:after="120" w:line="240" w:lineRule="auto"/>
        <w:ind w:firstLine="567"/>
        <w:jc w:val="both"/>
        <w:rPr>
          <w:rFonts w:ascii="Times New Roman" w:eastAsia="Times New Roman" w:hAnsi="Times New Roman" w:cs="Times New Roman"/>
          <w:spacing w:val="2"/>
          <w:kern w:val="0"/>
          <w:sz w:val="28"/>
          <w:szCs w:val="28"/>
          <w14:ligatures w14:val="none"/>
        </w:rPr>
      </w:pPr>
      <w:r w:rsidRPr="00A62165">
        <w:rPr>
          <w:rFonts w:ascii="Times New Roman" w:eastAsia="Times New Roman" w:hAnsi="Times New Roman" w:cs="Times New Roman"/>
          <w:spacing w:val="2"/>
          <w:kern w:val="0"/>
          <w:sz w:val="28"/>
          <w:szCs w:val="28"/>
          <w14:ligatures w14:val="none"/>
        </w:rPr>
        <w:t>E-HSDT được đánh giá là đạt yêu cầu về kỹ thuật khi tất cả các tiêu chí được đánh giá là đạt. Trường hợp nhà thầu không đạt một trong các tiêu chí trên thì được đánh giá là không đạt và không được xem xét, đánh giá bước tiếp theo.</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4124"/>
        <w:gridCol w:w="5495"/>
        <w:gridCol w:w="3411"/>
      </w:tblGrid>
      <w:tr w:rsidR="00A62165" w:rsidRPr="00A62165" w14:paraId="56402958" w14:textId="77777777" w:rsidTr="00D04283">
        <w:trPr>
          <w:tblHeader/>
        </w:trPr>
        <w:tc>
          <w:tcPr>
            <w:tcW w:w="390" w:type="pct"/>
            <w:vMerge w:val="restart"/>
            <w:vAlign w:val="center"/>
          </w:tcPr>
          <w:p w14:paraId="6967BBFA" w14:textId="77777777" w:rsidR="00A62165" w:rsidRPr="00A62165" w:rsidRDefault="00A62165" w:rsidP="00A62165">
            <w:pPr>
              <w:widowControl w:val="0"/>
              <w:tabs>
                <w:tab w:val="left" w:pos="851"/>
              </w:tabs>
              <w:spacing w:before="80" w:after="80" w:line="240" w:lineRule="auto"/>
              <w:jc w:val="center"/>
              <w:rPr>
                <w:rFonts w:ascii="Times New Roman" w:eastAsia="Times New Roman" w:hAnsi="Times New Roman" w:cs="Times New Roman"/>
                <w:b/>
                <w:kern w:val="0"/>
                <w:sz w:val="26"/>
                <w:szCs w:val="26"/>
                <w14:ligatures w14:val="none"/>
              </w:rPr>
            </w:pPr>
            <w:r w:rsidRPr="00A62165">
              <w:rPr>
                <w:rFonts w:ascii="Times New Roman" w:eastAsia="Times New Roman" w:hAnsi="Times New Roman" w:cs="Times New Roman"/>
                <w:b/>
                <w:kern w:val="0"/>
                <w:sz w:val="26"/>
                <w:szCs w:val="26"/>
                <w14:ligatures w14:val="none"/>
              </w:rPr>
              <w:t>Stt</w:t>
            </w:r>
          </w:p>
        </w:tc>
        <w:tc>
          <w:tcPr>
            <w:tcW w:w="4610" w:type="pct"/>
            <w:gridSpan w:val="3"/>
            <w:vAlign w:val="center"/>
          </w:tcPr>
          <w:p w14:paraId="4BA36400" w14:textId="77777777" w:rsidR="00A62165" w:rsidRPr="00A62165" w:rsidRDefault="00A62165" w:rsidP="00A62165">
            <w:pPr>
              <w:widowControl w:val="0"/>
              <w:tabs>
                <w:tab w:val="left" w:pos="851"/>
              </w:tabs>
              <w:spacing w:before="80" w:after="80" w:line="240" w:lineRule="auto"/>
              <w:jc w:val="center"/>
              <w:rPr>
                <w:rFonts w:ascii="Times New Roman" w:eastAsia="Times New Roman" w:hAnsi="Times New Roman" w:cs="Times New Roman"/>
                <w:b/>
                <w:kern w:val="0"/>
                <w:sz w:val="26"/>
                <w:szCs w:val="26"/>
                <w14:ligatures w14:val="none"/>
              </w:rPr>
            </w:pPr>
            <w:r w:rsidRPr="00A62165">
              <w:rPr>
                <w:rFonts w:ascii="Times New Roman" w:eastAsia="Times New Roman" w:hAnsi="Times New Roman" w:cs="Times New Roman"/>
                <w:b/>
                <w:kern w:val="0"/>
                <w:sz w:val="26"/>
                <w:szCs w:val="26"/>
                <w14:ligatures w14:val="none"/>
              </w:rPr>
              <w:t>Nội dung đánh giá</w:t>
            </w:r>
          </w:p>
        </w:tc>
      </w:tr>
      <w:tr w:rsidR="00A62165" w:rsidRPr="00A62165" w14:paraId="0DE3E46D" w14:textId="77777777" w:rsidTr="00D04283">
        <w:trPr>
          <w:tblHeader/>
        </w:trPr>
        <w:tc>
          <w:tcPr>
            <w:tcW w:w="390" w:type="pct"/>
            <w:vMerge/>
          </w:tcPr>
          <w:p w14:paraId="767EEA89" w14:textId="77777777" w:rsidR="00A62165" w:rsidRPr="00A62165" w:rsidRDefault="00A62165" w:rsidP="00A62165">
            <w:pPr>
              <w:widowControl w:val="0"/>
              <w:tabs>
                <w:tab w:val="left" w:pos="851"/>
              </w:tabs>
              <w:spacing w:before="80" w:after="80" w:line="240" w:lineRule="auto"/>
              <w:jc w:val="both"/>
              <w:rPr>
                <w:rFonts w:ascii="Times New Roman" w:eastAsia="Times New Roman" w:hAnsi="Times New Roman" w:cs="Times New Roman"/>
                <w:b/>
                <w:kern w:val="0"/>
                <w:sz w:val="26"/>
                <w:szCs w:val="26"/>
                <w14:ligatures w14:val="none"/>
              </w:rPr>
            </w:pPr>
          </w:p>
        </w:tc>
        <w:tc>
          <w:tcPr>
            <w:tcW w:w="1459" w:type="pct"/>
            <w:vAlign w:val="center"/>
          </w:tcPr>
          <w:p w14:paraId="7DF8743D" w14:textId="77777777" w:rsidR="00A62165" w:rsidRPr="00A62165" w:rsidRDefault="00A62165" w:rsidP="00A62165">
            <w:pPr>
              <w:widowControl w:val="0"/>
              <w:tabs>
                <w:tab w:val="left" w:pos="851"/>
              </w:tabs>
              <w:spacing w:before="80" w:after="80" w:line="240" w:lineRule="auto"/>
              <w:jc w:val="center"/>
              <w:rPr>
                <w:rFonts w:ascii="Times New Roman" w:eastAsia="Times New Roman" w:hAnsi="Times New Roman" w:cs="Times New Roman"/>
                <w:b/>
                <w:kern w:val="0"/>
                <w:sz w:val="26"/>
                <w:szCs w:val="26"/>
                <w14:ligatures w14:val="none"/>
              </w:rPr>
            </w:pPr>
            <w:r w:rsidRPr="00A62165">
              <w:rPr>
                <w:rFonts w:ascii="Times New Roman" w:eastAsia="Times New Roman" w:hAnsi="Times New Roman" w:cs="Times New Roman"/>
                <w:b/>
                <w:kern w:val="0"/>
                <w:sz w:val="26"/>
                <w:szCs w:val="26"/>
                <w14:ligatures w14:val="none"/>
              </w:rPr>
              <w:t>Nội dung đánh giá</w:t>
            </w:r>
          </w:p>
        </w:tc>
        <w:tc>
          <w:tcPr>
            <w:tcW w:w="1944" w:type="pct"/>
            <w:vAlign w:val="center"/>
          </w:tcPr>
          <w:p w14:paraId="3F904CB5" w14:textId="77777777" w:rsidR="00A62165" w:rsidRPr="00A62165" w:rsidRDefault="00A62165" w:rsidP="00A62165">
            <w:pPr>
              <w:widowControl w:val="0"/>
              <w:tabs>
                <w:tab w:val="left" w:pos="851"/>
              </w:tabs>
              <w:spacing w:before="80" w:after="80" w:line="240" w:lineRule="auto"/>
              <w:jc w:val="center"/>
              <w:rPr>
                <w:rFonts w:ascii="Times New Roman" w:eastAsia="Times New Roman" w:hAnsi="Times New Roman" w:cs="Times New Roman"/>
                <w:b/>
                <w:kern w:val="0"/>
                <w:sz w:val="26"/>
                <w:szCs w:val="26"/>
                <w14:ligatures w14:val="none"/>
              </w:rPr>
            </w:pPr>
            <w:r w:rsidRPr="00A62165">
              <w:rPr>
                <w:rFonts w:ascii="Times New Roman" w:eastAsia="Times New Roman" w:hAnsi="Times New Roman" w:cs="Times New Roman"/>
                <w:b/>
                <w:kern w:val="0"/>
                <w:sz w:val="26"/>
                <w:szCs w:val="26"/>
                <w14:ligatures w14:val="none"/>
              </w:rPr>
              <w:t>Đạt</w:t>
            </w:r>
          </w:p>
        </w:tc>
        <w:tc>
          <w:tcPr>
            <w:tcW w:w="1207" w:type="pct"/>
            <w:vAlign w:val="center"/>
          </w:tcPr>
          <w:p w14:paraId="1DDBA209" w14:textId="77777777" w:rsidR="00A62165" w:rsidRPr="00A62165" w:rsidRDefault="00A62165" w:rsidP="00A62165">
            <w:pPr>
              <w:widowControl w:val="0"/>
              <w:tabs>
                <w:tab w:val="left" w:pos="851"/>
              </w:tabs>
              <w:spacing w:before="80" w:after="80" w:line="240" w:lineRule="auto"/>
              <w:jc w:val="center"/>
              <w:rPr>
                <w:rFonts w:ascii="Times New Roman" w:eastAsia="Times New Roman" w:hAnsi="Times New Roman" w:cs="Times New Roman"/>
                <w:b/>
                <w:kern w:val="0"/>
                <w:sz w:val="26"/>
                <w:szCs w:val="26"/>
                <w14:ligatures w14:val="none"/>
              </w:rPr>
            </w:pPr>
            <w:r w:rsidRPr="00A62165">
              <w:rPr>
                <w:rFonts w:ascii="Times New Roman" w:eastAsia="Times New Roman" w:hAnsi="Times New Roman" w:cs="Times New Roman"/>
                <w:b/>
                <w:kern w:val="0"/>
                <w:sz w:val="26"/>
                <w:szCs w:val="26"/>
                <w14:ligatures w14:val="none"/>
              </w:rPr>
              <w:t>Không đạt</w:t>
            </w:r>
          </w:p>
        </w:tc>
      </w:tr>
      <w:tr w:rsidR="00A62165" w:rsidRPr="00A62165" w14:paraId="03C99184" w14:textId="77777777" w:rsidTr="00D04283">
        <w:trPr>
          <w:tblHeader/>
        </w:trPr>
        <w:tc>
          <w:tcPr>
            <w:tcW w:w="390" w:type="pct"/>
            <w:vAlign w:val="center"/>
          </w:tcPr>
          <w:p w14:paraId="7ABEE310" w14:textId="77777777" w:rsidR="00A62165" w:rsidRPr="00A62165" w:rsidRDefault="00A62165" w:rsidP="00A62165">
            <w:pPr>
              <w:widowControl w:val="0"/>
              <w:tabs>
                <w:tab w:val="left" w:pos="851"/>
              </w:tabs>
              <w:spacing w:before="80" w:after="80" w:line="240" w:lineRule="auto"/>
              <w:jc w:val="center"/>
              <w:rPr>
                <w:rFonts w:ascii="Times New Roman" w:eastAsia="Times New Roman" w:hAnsi="Times New Roman" w:cs="Times New Roman"/>
                <w:b/>
                <w:kern w:val="0"/>
                <w:sz w:val="26"/>
                <w:szCs w:val="26"/>
                <w14:ligatures w14:val="none"/>
              </w:rPr>
            </w:pPr>
            <w:r w:rsidRPr="00A62165">
              <w:rPr>
                <w:rFonts w:ascii="Times New Roman" w:eastAsia="Times New Roman" w:hAnsi="Times New Roman" w:cs="Times New Roman"/>
                <w:bCs/>
                <w:kern w:val="0"/>
                <w:sz w:val="26"/>
                <w:szCs w:val="26"/>
                <w14:ligatures w14:val="none"/>
              </w:rPr>
              <w:t>(1)</w:t>
            </w:r>
          </w:p>
        </w:tc>
        <w:tc>
          <w:tcPr>
            <w:tcW w:w="1459" w:type="pct"/>
          </w:tcPr>
          <w:p w14:paraId="0819E93B" w14:textId="77777777" w:rsidR="00A62165" w:rsidRPr="00A62165" w:rsidRDefault="00A62165" w:rsidP="00A62165">
            <w:pPr>
              <w:widowControl w:val="0"/>
              <w:tabs>
                <w:tab w:val="left" w:pos="851"/>
              </w:tabs>
              <w:spacing w:before="80" w:after="80" w:line="240" w:lineRule="auto"/>
              <w:jc w:val="center"/>
              <w:rPr>
                <w:rFonts w:ascii="Times New Roman" w:eastAsia="Times New Roman" w:hAnsi="Times New Roman" w:cs="Times New Roman"/>
                <w:b/>
                <w:kern w:val="0"/>
                <w:sz w:val="26"/>
                <w:szCs w:val="26"/>
                <w14:ligatures w14:val="none"/>
              </w:rPr>
            </w:pPr>
            <w:r w:rsidRPr="00A62165">
              <w:rPr>
                <w:rFonts w:ascii="Times New Roman" w:eastAsia="Times New Roman" w:hAnsi="Times New Roman" w:cs="Times New Roman"/>
                <w:bCs/>
                <w:kern w:val="0"/>
                <w:sz w:val="26"/>
                <w:szCs w:val="26"/>
                <w14:ligatures w14:val="none"/>
              </w:rPr>
              <w:t>(2)</w:t>
            </w:r>
          </w:p>
        </w:tc>
        <w:tc>
          <w:tcPr>
            <w:tcW w:w="1944" w:type="pct"/>
            <w:vAlign w:val="center"/>
          </w:tcPr>
          <w:p w14:paraId="65153F31" w14:textId="77777777" w:rsidR="00A62165" w:rsidRPr="00A62165" w:rsidRDefault="00A62165" w:rsidP="00A62165">
            <w:pPr>
              <w:widowControl w:val="0"/>
              <w:tabs>
                <w:tab w:val="left" w:pos="851"/>
              </w:tabs>
              <w:spacing w:before="80" w:after="80" w:line="240" w:lineRule="auto"/>
              <w:jc w:val="center"/>
              <w:rPr>
                <w:rFonts w:ascii="Times New Roman" w:eastAsia="Times New Roman" w:hAnsi="Times New Roman" w:cs="Times New Roman"/>
                <w:b/>
                <w:kern w:val="0"/>
                <w:sz w:val="26"/>
                <w:szCs w:val="26"/>
                <w14:ligatures w14:val="none"/>
              </w:rPr>
            </w:pPr>
            <w:r w:rsidRPr="00A62165">
              <w:rPr>
                <w:rFonts w:ascii="Times New Roman" w:eastAsia="Times New Roman" w:hAnsi="Times New Roman" w:cs="Times New Roman"/>
                <w:bCs/>
                <w:kern w:val="0"/>
                <w:sz w:val="26"/>
                <w:szCs w:val="26"/>
                <w14:ligatures w14:val="none"/>
              </w:rPr>
              <w:t>(3)</w:t>
            </w:r>
          </w:p>
        </w:tc>
        <w:tc>
          <w:tcPr>
            <w:tcW w:w="1207" w:type="pct"/>
            <w:vAlign w:val="center"/>
          </w:tcPr>
          <w:p w14:paraId="7B2634EE" w14:textId="77777777" w:rsidR="00A62165" w:rsidRPr="00A62165" w:rsidRDefault="00A62165" w:rsidP="00A62165">
            <w:pPr>
              <w:widowControl w:val="0"/>
              <w:tabs>
                <w:tab w:val="left" w:pos="851"/>
              </w:tabs>
              <w:spacing w:before="80" w:after="80" w:line="240" w:lineRule="auto"/>
              <w:jc w:val="center"/>
              <w:rPr>
                <w:rFonts w:ascii="Times New Roman" w:eastAsia="Times New Roman" w:hAnsi="Times New Roman" w:cs="Times New Roman"/>
                <w:b/>
                <w:kern w:val="0"/>
                <w:sz w:val="26"/>
                <w:szCs w:val="26"/>
                <w14:ligatures w14:val="none"/>
              </w:rPr>
            </w:pPr>
            <w:r w:rsidRPr="00A62165">
              <w:rPr>
                <w:rFonts w:ascii="Times New Roman" w:eastAsia="Times New Roman" w:hAnsi="Times New Roman" w:cs="Times New Roman"/>
                <w:bCs/>
                <w:kern w:val="0"/>
                <w:sz w:val="26"/>
                <w:szCs w:val="26"/>
                <w14:ligatures w14:val="none"/>
              </w:rPr>
              <w:t>(4)</w:t>
            </w:r>
          </w:p>
        </w:tc>
      </w:tr>
      <w:tr w:rsidR="00A62165" w:rsidRPr="00A62165" w14:paraId="5A4A2684" w14:textId="77777777" w:rsidTr="00D04283">
        <w:tc>
          <w:tcPr>
            <w:tcW w:w="390" w:type="pct"/>
            <w:vAlign w:val="center"/>
          </w:tcPr>
          <w:p w14:paraId="66E01C97" w14:textId="77777777" w:rsidR="00A62165" w:rsidRPr="00A62165" w:rsidRDefault="00A62165" w:rsidP="00A62165">
            <w:pPr>
              <w:widowControl w:val="0"/>
              <w:tabs>
                <w:tab w:val="left" w:pos="851"/>
              </w:tabs>
              <w:spacing w:before="120" w:after="120" w:line="240" w:lineRule="auto"/>
              <w:jc w:val="center"/>
              <w:rPr>
                <w:rFonts w:ascii="Times New Roman" w:eastAsia="Times New Roman" w:hAnsi="Times New Roman" w:cs="Times New Roman"/>
                <w:b/>
                <w:kern w:val="0"/>
                <w:sz w:val="26"/>
                <w:szCs w:val="26"/>
                <w14:ligatures w14:val="none"/>
              </w:rPr>
            </w:pPr>
          </w:p>
        </w:tc>
        <w:tc>
          <w:tcPr>
            <w:tcW w:w="4610" w:type="pct"/>
            <w:gridSpan w:val="3"/>
          </w:tcPr>
          <w:p w14:paraId="3EB5AA11"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b/>
                <w:kern w:val="0"/>
                <w:sz w:val="26"/>
                <w:szCs w:val="26"/>
                <w14:ligatures w14:val="none"/>
              </w:rPr>
            </w:pPr>
            <w:r w:rsidRPr="00A62165">
              <w:rPr>
                <w:rFonts w:ascii="Times New Roman" w:eastAsia="Times New Roman" w:hAnsi="Times New Roman" w:cs="Times New Roman"/>
                <w:b/>
                <w:kern w:val="0"/>
                <w:sz w:val="26"/>
                <w:szCs w:val="26"/>
                <w14:ligatures w14:val="none"/>
              </w:rPr>
              <w:t>Nhà thầu trình bày đầy đủ chỉ mục và nội dung dưới đây đáp ứng yêu cầu tại E-HSMT</w:t>
            </w:r>
          </w:p>
        </w:tc>
      </w:tr>
      <w:tr w:rsidR="00A62165" w:rsidRPr="00A62165" w14:paraId="0143F046" w14:textId="77777777" w:rsidTr="00D04283">
        <w:tc>
          <w:tcPr>
            <w:tcW w:w="390" w:type="pct"/>
            <w:vAlign w:val="center"/>
          </w:tcPr>
          <w:p w14:paraId="69B475B6" w14:textId="77777777" w:rsidR="00A62165" w:rsidRPr="00A62165" w:rsidRDefault="00A62165" w:rsidP="00A62165">
            <w:pPr>
              <w:widowControl w:val="0"/>
              <w:numPr>
                <w:ilvl w:val="0"/>
                <w:numId w:val="1"/>
              </w:numPr>
              <w:tabs>
                <w:tab w:val="left" w:pos="851"/>
              </w:tabs>
              <w:spacing w:before="120" w:after="120" w:line="240" w:lineRule="auto"/>
              <w:contextualSpacing/>
              <w:jc w:val="center"/>
              <w:rPr>
                <w:rFonts w:ascii="Times New Roman" w:eastAsia="Times New Roman" w:hAnsi="Times New Roman" w:cs="Times New Roman"/>
                <w:kern w:val="0"/>
                <w:sz w:val="26"/>
                <w:szCs w:val="26"/>
                <w14:ligatures w14:val="none"/>
              </w:rPr>
            </w:pPr>
          </w:p>
        </w:tc>
        <w:tc>
          <w:tcPr>
            <w:tcW w:w="1459" w:type="pct"/>
            <w:vAlign w:val="center"/>
          </w:tcPr>
          <w:p w14:paraId="4B14A633"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Đặc tính, cấu hình, thông số kỹ thuật của hàng hóa theo yêu cầu tại Chương V – Yêu cầu kỹ thuật</w:t>
            </w:r>
          </w:p>
        </w:tc>
        <w:tc>
          <w:tcPr>
            <w:tcW w:w="1944" w:type="pct"/>
            <w:vAlign w:val="center"/>
          </w:tcPr>
          <w:p w14:paraId="7238DF9F"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i/>
                <w:iCs/>
                <w:kern w:val="0"/>
                <w:sz w:val="26"/>
                <w:szCs w:val="26"/>
                <w14:ligatures w14:val="none"/>
              </w:rPr>
            </w:pPr>
            <w:r w:rsidRPr="00A62165">
              <w:rPr>
                <w:rFonts w:ascii="Times New Roman" w:eastAsia="Times New Roman" w:hAnsi="Times New Roman" w:cs="Times New Roman"/>
                <w:kern w:val="0"/>
                <w:sz w:val="26"/>
                <w:szCs w:val="26"/>
                <w14:ligatures w14:val="none"/>
              </w:rPr>
              <w:t xml:space="preserve">- Có danh mục hàng hóa kèm theo thông số kỹ thuật của hàng hóa đề xuất, thông số kỹ thuật phù hợp đáp ứng yêu cầu cụ thể tại Chương V-Yêu cầu về kỹ thuật </w:t>
            </w:r>
            <w:r w:rsidRPr="00A62165">
              <w:rPr>
                <w:rFonts w:ascii="Times New Roman" w:eastAsia="Times New Roman" w:hAnsi="Times New Roman" w:cs="Times New Roman"/>
                <w:i/>
                <w:iCs/>
                <w:kern w:val="0"/>
                <w:sz w:val="26"/>
                <w:szCs w:val="26"/>
                <w14:ligatures w14:val="none"/>
              </w:rPr>
              <w:t>(Danh mục hàng hóa phải nêu rõ nguồn gốc, xuất xứ (ví dụ: Việt Nam, Trung Quốc...); nêu rõ tên nhà sản xuất (ví dụ: Nhà thầu tự sản xuất hoặc công ty ABC sản xuất....); Ký hiệu, mã hiệu, nhãn mác của sản phẩm).</w:t>
            </w:r>
          </w:p>
          <w:p w14:paraId="0AE7C296"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Hàng hóa cung cấp mới 100%, sản xuất từ năm 2025 trở lại đây, chưa qua sử dụng, có ký mã hiệu, tên nhà sản xuất, nguồn gốc xuất xứ rõ ràng</w:t>
            </w:r>
          </w:p>
          <w:p w14:paraId="7820B6A7"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lang w:bidi="vi-VN"/>
                <w14:ligatures w14:val="none"/>
              </w:rPr>
            </w:pPr>
            <w:r w:rsidRPr="00A62165">
              <w:rPr>
                <w:rFonts w:ascii="Times New Roman" w:eastAsia="Times New Roman" w:hAnsi="Times New Roman" w:cs="Times New Roman"/>
                <w:kern w:val="0"/>
                <w:sz w:val="26"/>
                <w:szCs w:val="26"/>
                <w:lang w:bidi="vi-VN"/>
                <w14:ligatures w14:val="none"/>
              </w:rPr>
              <w:t xml:space="preserve">Nhà thầu phải cung cấp kèm theo E-HSDT đầy đủ catalogue, tài liệu kỹ thuật có xác nhận của Hãng sản xuất hoặc đại lý được ủy quyền trực tiếp từ Hãng sản xuất hoặc đại lý được ủy quyền trực tiếp từ Hãng sản xuất; Hoặc hàng hóa nhà thầu chào được công bố trên website chính thức của Hãng sản xuất về Hình ảnh, ký mã hiệu, nhãn hiệu, và thông số kỹ thuật kỹ thuật của hàng hóa để chứng minh </w:t>
            </w:r>
            <w:r w:rsidRPr="00A62165">
              <w:rPr>
                <w:rFonts w:ascii="Times New Roman" w:eastAsia="Times New Roman" w:hAnsi="Times New Roman" w:cs="Times New Roman"/>
                <w:kern w:val="0"/>
                <w:sz w:val="26"/>
                <w:szCs w:val="26"/>
                <w:lang w:bidi="vi-VN"/>
                <w14:ligatures w14:val="none"/>
              </w:rPr>
              <w:lastRenderedPageBreak/>
              <w:t xml:space="preserve">hàng hóa do Nhà thầu đề xuất đáp ứng hoàn toàn các yêu cầu của E-HSMT. Nhà thầu gửi kèm đường dẫn đến website của Hãng sx/Đại lý phân phối ( được ủy quyền) để CĐT kiểm tra, đối chiếu trong quá trình đánh giá E-HSDT </w:t>
            </w:r>
            <w:r w:rsidRPr="00A62165">
              <w:rPr>
                <w:rFonts w:ascii="Times New Roman" w:eastAsia="Times New Roman" w:hAnsi="Times New Roman" w:cs="Times New Roman"/>
                <w:i/>
                <w:iCs/>
                <w:kern w:val="0"/>
                <w:sz w:val="26"/>
                <w:szCs w:val="26"/>
                <w:lang w:bidi="vi-VN"/>
                <w14:ligatures w14:val="none"/>
              </w:rPr>
              <w:t>(yêu cầu nhà thầu trình bày đúng theo số thứ tự danh mục hàng hóa theo yêu cầu của chương V)</w:t>
            </w:r>
            <w:r w:rsidRPr="00A62165">
              <w:rPr>
                <w:rFonts w:ascii="Times New Roman" w:eastAsia="Times New Roman" w:hAnsi="Times New Roman" w:cs="Times New Roman"/>
                <w:kern w:val="0"/>
                <w:sz w:val="26"/>
                <w:szCs w:val="26"/>
                <w:lang w:bidi="vi-VN"/>
                <w14:ligatures w14:val="none"/>
              </w:rPr>
              <w:t>.</w:t>
            </w:r>
          </w:p>
          <w:p w14:paraId="1A0C0D6C"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lang w:bidi="vi-VN"/>
                <w14:ligatures w14:val="none"/>
              </w:rPr>
            </w:pPr>
            <w:r w:rsidRPr="00A62165">
              <w:rPr>
                <w:rFonts w:ascii="Times New Roman" w:eastAsia="Times New Roman" w:hAnsi="Times New Roman" w:cs="Times New Roman"/>
                <w:kern w:val="0"/>
                <w:sz w:val="26"/>
                <w:szCs w:val="26"/>
                <w:lang w:bidi="vi-VN"/>
                <w14:ligatures w14:val="none"/>
              </w:rPr>
              <w:t>- Nhà thầu lập bảng đối chiếu tự so sánh về mẫu mã, kích thuớc, thông số kỹ thuật và chất luợng của hàng hóa giữa hồ sơ mời thầu và chào thầu tại Chương V - Yêu cầu về kỹ thuật để chứng minh đáp ứng về mặt kỹ thuật (yêu cầu nhà thầu trình bày đúng theo số thứ tự danh mục hàng hóa theo yêu cầu của chương V)</w:t>
            </w:r>
          </w:p>
          <w:p w14:paraId="5B6B9950"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lang w:bidi="vi-VN"/>
                <w14:ligatures w14:val="none"/>
              </w:rPr>
              <w:t>- Đối với hàng hóa nhà thầu đề xuất có sẵn trên thị truờng: Yêu cầu nhà thầu cung cấp trang web của nhà sản xuất hoặc hệ thống bán hàng của nhà sản xuất thể hiện rõ mặt hàng của nhà thầu với đầy đủ thông tin sản phẩm, thông số kỹ thuật (hàng hóa có sẵn trên thị truờng đuợc cung cấp bởi các thuơng hiệu, (Chủ đầu tư từ chối hàng hóa không rõ nhà sản xuất hoặc hàng hóa chưa đuợc bán trên thị truờng).</w:t>
            </w:r>
          </w:p>
        </w:tc>
        <w:tc>
          <w:tcPr>
            <w:tcW w:w="1207" w:type="pct"/>
            <w:vAlign w:val="center"/>
          </w:tcPr>
          <w:p w14:paraId="49E56AED"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lastRenderedPageBreak/>
              <w:t xml:space="preserve">Không có nội dung hoặc có nhưng không đáp ứng yêu cầu cột (3) </w:t>
            </w:r>
          </w:p>
        </w:tc>
      </w:tr>
      <w:tr w:rsidR="00A62165" w:rsidRPr="00A62165" w14:paraId="4D13FE03" w14:textId="77777777" w:rsidTr="00D04283">
        <w:tc>
          <w:tcPr>
            <w:tcW w:w="390" w:type="pct"/>
            <w:vAlign w:val="center"/>
          </w:tcPr>
          <w:p w14:paraId="26656FAB" w14:textId="77777777" w:rsidR="00A62165" w:rsidRPr="00A62165" w:rsidRDefault="00A62165" w:rsidP="00A62165">
            <w:pPr>
              <w:widowControl w:val="0"/>
              <w:numPr>
                <w:ilvl w:val="0"/>
                <w:numId w:val="1"/>
              </w:numPr>
              <w:tabs>
                <w:tab w:val="left" w:pos="851"/>
              </w:tabs>
              <w:spacing w:before="120" w:after="120" w:line="240" w:lineRule="auto"/>
              <w:contextualSpacing/>
              <w:jc w:val="center"/>
              <w:rPr>
                <w:rFonts w:ascii="Times New Roman" w:eastAsia="Times New Roman" w:hAnsi="Times New Roman" w:cs="Times New Roman"/>
                <w:bCs/>
                <w:kern w:val="0"/>
                <w:sz w:val="26"/>
                <w:szCs w:val="26"/>
                <w14:ligatures w14:val="none"/>
              </w:rPr>
            </w:pPr>
          </w:p>
        </w:tc>
        <w:tc>
          <w:tcPr>
            <w:tcW w:w="1459" w:type="pct"/>
            <w:vAlign w:val="center"/>
          </w:tcPr>
          <w:p w14:paraId="1C79BC7B"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bCs/>
                <w:kern w:val="0"/>
                <w:sz w:val="26"/>
                <w:szCs w:val="26"/>
                <w14:ligatures w14:val="none"/>
              </w:rPr>
            </w:pPr>
            <w:r w:rsidRPr="00A62165">
              <w:rPr>
                <w:rFonts w:ascii="Times New Roman" w:eastAsia="Times New Roman" w:hAnsi="Times New Roman" w:cs="Times New Roman"/>
                <w:kern w:val="0"/>
                <w:sz w:val="26"/>
                <w:szCs w:val="26"/>
                <w14:ligatures w14:val="none"/>
              </w:rPr>
              <w:t xml:space="preserve">Hàng hóa dự thầu đáp ứng theo quy định tại CDNT 10.8 Chương II của </w:t>
            </w:r>
            <w:r w:rsidRPr="00A62165">
              <w:rPr>
                <w:rFonts w:ascii="Times New Roman" w:eastAsia="Times New Roman" w:hAnsi="Times New Roman" w:cs="Times New Roman"/>
                <w:kern w:val="0"/>
                <w:sz w:val="26"/>
                <w:szCs w:val="26"/>
                <w14:ligatures w14:val="none"/>
              </w:rPr>
              <w:lastRenderedPageBreak/>
              <w:t>HSMT</w:t>
            </w:r>
          </w:p>
        </w:tc>
        <w:tc>
          <w:tcPr>
            <w:tcW w:w="1944" w:type="pct"/>
            <w:vAlign w:val="center"/>
          </w:tcPr>
          <w:p w14:paraId="054072FF"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bCs/>
                <w:kern w:val="0"/>
                <w:sz w:val="26"/>
                <w:szCs w:val="26"/>
                <w14:ligatures w14:val="none"/>
              </w:rPr>
            </w:pPr>
            <w:r w:rsidRPr="00A62165">
              <w:rPr>
                <w:rFonts w:ascii="Times New Roman" w:eastAsia="Times New Roman" w:hAnsi="Times New Roman" w:cs="Times New Roman"/>
                <w:kern w:val="0"/>
                <w:sz w:val="26"/>
                <w:szCs w:val="26"/>
                <w14:ligatures w14:val="none"/>
              </w:rPr>
              <w:lastRenderedPageBreak/>
              <w:t>Đáp ứng theo quy định tại CDNT 10.8 Chương II của HSMT này</w:t>
            </w:r>
          </w:p>
        </w:tc>
        <w:tc>
          <w:tcPr>
            <w:tcW w:w="1207" w:type="pct"/>
            <w:vAlign w:val="center"/>
          </w:tcPr>
          <w:p w14:paraId="1488543A"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bCs/>
                <w:kern w:val="0"/>
                <w:sz w:val="26"/>
                <w:szCs w:val="26"/>
                <w14:ligatures w14:val="none"/>
              </w:rPr>
            </w:pPr>
            <w:r w:rsidRPr="00A62165">
              <w:rPr>
                <w:rFonts w:ascii="Times New Roman" w:eastAsia="Times New Roman" w:hAnsi="Times New Roman" w:cs="Times New Roman"/>
                <w:kern w:val="0"/>
                <w:sz w:val="26"/>
                <w:szCs w:val="26"/>
                <w14:ligatures w14:val="none"/>
              </w:rPr>
              <w:t xml:space="preserve">Không có nội dung hoặc có nhưng không đáp ứng yêu cầu </w:t>
            </w:r>
            <w:r w:rsidRPr="00A62165">
              <w:rPr>
                <w:rFonts w:ascii="Times New Roman" w:eastAsia="Times New Roman" w:hAnsi="Times New Roman" w:cs="Times New Roman"/>
                <w:kern w:val="0"/>
                <w:sz w:val="26"/>
                <w:szCs w:val="26"/>
                <w14:ligatures w14:val="none"/>
              </w:rPr>
              <w:lastRenderedPageBreak/>
              <w:t xml:space="preserve">cột (3) </w:t>
            </w:r>
          </w:p>
        </w:tc>
      </w:tr>
      <w:tr w:rsidR="00A62165" w:rsidRPr="00A62165" w14:paraId="11F162A3" w14:textId="77777777" w:rsidTr="00D04283">
        <w:tc>
          <w:tcPr>
            <w:tcW w:w="390" w:type="pct"/>
            <w:vAlign w:val="center"/>
          </w:tcPr>
          <w:p w14:paraId="13049F7C" w14:textId="77777777" w:rsidR="00A62165" w:rsidRPr="00A62165" w:rsidRDefault="00A62165" w:rsidP="00A62165">
            <w:pPr>
              <w:widowControl w:val="0"/>
              <w:numPr>
                <w:ilvl w:val="0"/>
                <w:numId w:val="1"/>
              </w:numPr>
              <w:tabs>
                <w:tab w:val="left" w:pos="851"/>
              </w:tabs>
              <w:spacing w:before="120" w:after="120" w:line="240" w:lineRule="auto"/>
              <w:contextualSpacing/>
              <w:jc w:val="center"/>
              <w:rPr>
                <w:rFonts w:ascii="Times New Roman" w:eastAsia="Times New Roman" w:hAnsi="Times New Roman" w:cs="Times New Roman"/>
                <w:kern w:val="0"/>
                <w:sz w:val="26"/>
                <w:szCs w:val="26"/>
                <w14:ligatures w14:val="none"/>
              </w:rPr>
            </w:pPr>
          </w:p>
        </w:tc>
        <w:tc>
          <w:tcPr>
            <w:tcW w:w="1459" w:type="pct"/>
            <w:vAlign w:val="center"/>
          </w:tcPr>
          <w:p w14:paraId="33670082"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xml:space="preserve">Tài liệu chứng minh nguồn gốc xuất xứ của hàng hóa </w:t>
            </w:r>
            <w:r w:rsidRPr="00A62165">
              <w:rPr>
                <w:rFonts w:ascii="Times New Roman" w:eastAsia="Times New Roman" w:hAnsi="Times New Roman" w:cs="Times New Roman"/>
                <w:kern w:val="0"/>
                <w:sz w:val="26"/>
                <w:szCs w:val="26"/>
                <w14:ligatures w14:val="none"/>
              </w:rPr>
              <w:tab/>
            </w:r>
          </w:p>
        </w:tc>
        <w:tc>
          <w:tcPr>
            <w:tcW w:w="1944" w:type="pct"/>
            <w:vAlign w:val="center"/>
          </w:tcPr>
          <w:p w14:paraId="118B585E"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Có cam kết cung cấp tài liệu chứng minh nguồn gốc xuất xứ đối với hàng nhập khẩu và tài liệu chứng nhận nguồn gốc xuất xứ đối với hàng sản xuất trong nước khi bàn giao hàng hóa (Trừ vật tư phụ kiện, hàng hóa gia công, hàng hóa có giá trị thấp, nhỏ lẻ) như sau:</w:t>
            </w:r>
          </w:p>
          <w:p w14:paraId="29C9B929"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Đối với các hàng hóa nhập khẩu, nhà thầu cần cam kết cung cấp giấy tờ sau:</w:t>
            </w:r>
          </w:p>
          <w:p w14:paraId="3AD11769"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Giấy chứng nhận xuất xứ (CO được cấp bởi phòng thương mại và công nghiệp của nước Xuất khẩu (bản gốc để đối chiếu và 03 bản sao công chứng).</w:t>
            </w:r>
          </w:p>
          <w:p w14:paraId="027BF5DC"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Giấy chứng nhận chất lượng (CQ) do nhà sản xuất phát hành (bản gốc để đối chiếu và 03 bản sao công chứng).</w:t>
            </w:r>
          </w:p>
          <w:p w14:paraId="68939CCF"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Vận đơn (03 bản sao y).</w:t>
            </w:r>
          </w:p>
          <w:p w14:paraId="01F3B1A2"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Tờ khai hai quan (03 bản sao y).</w:t>
            </w:r>
          </w:p>
          <w:p w14:paraId="7CF244B4"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Invoice (03 bản sao y).</w:t>
            </w:r>
          </w:p>
          <w:p w14:paraId="754297B7"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Packing list  (03 bản sao y).</w:t>
            </w:r>
          </w:p>
          <w:p w14:paraId="16C32EA9"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Hợp chuẩn hợp quy đối với hàng hoá có yêu cầu của phát luật Việt Nam.</w:t>
            </w:r>
          </w:p>
          <w:p w14:paraId="58E1C184"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xml:space="preserve">* Đối với hàng hóa chào thầu là hàng hóa sản xuất/lắp ráp trong nước, nhà thầu cần cam kết cung </w:t>
            </w:r>
            <w:r w:rsidRPr="00A62165">
              <w:rPr>
                <w:rFonts w:ascii="Times New Roman" w:eastAsia="Times New Roman" w:hAnsi="Times New Roman" w:cs="Times New Roman"/>
                <w:kern w:val="0"/>
                <w:sz w:val="26"/>
                <w:szCs w:val="26"/>
                <w14:ligatures w14:val="none"/>
              </w:rPr>
              <w:lastRenderedPageBreak/>
              <w:t xml:space="preserve">cấp đầy đủ các giấy tờ (bản gốc) chứng minh tính hợp lệ như: </w:t>
            </w:r>
          </w:p>
          <w:p w14:paraId="67C9C0AA"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xml:space="preserve">- Giấy xuất xưởng. </w:t>
            </w:r>
          </w:p>
          <w:p w14:paraId="41F1202F"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Giấy chứng nhận chất lượng và số lượng.</w:t>
            </w:r>
          </w:p>
        </w:tc>
        <w:tc>
          <w:tcPr>
            <w:tcW w:w="1207" w:type="pct"/>
            <w:vAlign w:val="center"/>
          </w:tcPr>
          <w:p w14:paraId="5A6C9087"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lastRenderedPageBreak/>
              <w:t xml:space="preserve">Không có nội dung hoặc có nhưng không đáp ứng yêu cầu cột (3) </w:t>
            </w:r>
          </w:p>
        </w:tc>
      </w:tr>
      <w:tr w:rsidR="00A62165" w:rsidRPr="00A62165" w14:paraId="56E4D705" w14:textId="77777777" w:rsidTr="00D04283">
        <w:tc>
          <w:tcPr>
            <w:tcW w:w="390" w:type="pct"/>
            <w:vAlign w:val="center"/>
          </w:tcPr>
          <w:p w14:paraId="7461C7A6" w14:textId="77777777" w:rsidR="00A62165" w:rsidRPr="00A62165" w:rsidRDefault="00A62165" w:rsidP="00A62165">
            <w:pPr>
              <w:widowControl w:val="0"/>
              <w:numPr>
                <w:ilvl w:val="0"/>
                <w:numId w:val="1"/>
              </w:numPr>
              <w:tabs>
                <w:tab w:val="left" w:pos="851"/>
              </w:tabs>
              <w:spacing w:before="120" w:after="120" w:line="240" w:lineRule="auto"/>
              <w:contextualSpacing/>
              <w:jc w:val="center"/>
              <w:rPr>
                <w:rFonts w:ascii="Times New Roman" w:eastAsia="Times New Roman" w:hAnsi="Times New Roman" w:cs="Times New Roman"/>
                <w:kern w:val="0"/>
                <w:sz w:val="26"/>
                <w:szCs w:val="26"/>
                <w14:ligatures w14:val="none"/>
              </w:rPr>
            </w:pPr>
          </w:p>
        </w:tc>
        <w:tc>
          <w:tcPr>
            <w:tcW w:w="1459" w:type="pct"/>
            <w:vAlign w:val="center"/>
          </w:tcPr>
          <w:p w14:paraId="66353399"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Tính hợp lý và hiệu quả kinh tế của các giải pháp kỹ thuật, biện pháp tổ chức cung cấp, lắp đặt hàng hóa</w:t>
            </w:r>
          </w:p>
        </w:tc>
        <w:tc>
          <w:tcPr>
            <w:tcW w:w="1944" w:type="pct"/>
            <w:vAlign w:val="center"/>
          </w:tcPr>
          <w:p w14:paraId="22095E02"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5.1. Sơ đồ hệ thống tổ chức bộ máy quản lý thực hiện gói thầu.</w:t>
            </w:r>
          </w:p>
          <w:p w14:paraId="5C683C01"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5.2. Thuyết minh và bản vẽ (hoặc hình ảnh minh họa) đầy đủ và hợp lý khả thi các nội dung sau:</w:t>
            </w:r>
          </w:p>
          <w:p w14:paraId="25D2E4EE"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Biện pháp và quy trình vận chuyển, cung cấp lắp đặt hàng hoá</w:t>
            </w:r>
          </w:p>
          <w:p w14:paraId="26A54DE3"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Biện pháp và quy trình bảo hành, bảo trì, chăm sóc khách hàng</w:t>
            </w:r>
          </w:p>
          <w:p w14:paraId="2EA9C59F"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Biện pháp bảo quản để đảm bảo về chất luợng của hàng hóa, thiết bị trong quá trình vận chuyển</w:t>
            </w:r>
          </w:p>
          <w:p w14:paraId="420F3B87"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Biện pháp kiểm tra, nghiệm thu, huớng dẫn sử dụng</w:t>
            </w:r>
          </w:p>
          <w:p w14:paraId="5D6B90EB"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Biện pháp đảm bảo an toàn lao động trong quá trình thi công bao gồm:</w:t>
            </w:r>
          </w:p>
          <w:p w14:paraId="02A37046"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An toàn cho nhân công lao động (có kế hoạch tập huấn, huấn luyện an toàn lao động cho công nhân thi công lắp đặt tại công trình truớc khi triển khai)</w:t>
            </w:r>
          </w:p>
          <w:p w14:paraId="5316EC4B"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xml:space="preserve">+ An toàn cho thiết bị máy móc sử dụng trong thi </w:t>
            </w:r>
            <w:r w:rsidRPr="00A62165">
              <w:rPr>
                <w:rFonts w:ascii="Times New Roman" w:eastAsia="Times New Roman" w:hAnsi="Times New Roman" w:cs="Times New Roman"/>
                <w:kern w:val="0"/>
                <w:sz w:val="26"/>
                <w:szCs w:val="26"/>
                <w14:ligatures w14:val="none"/>
              </w:rPr>
              <w:lastRenderedPageBreak/>
              <w:t>công trên công trình khi lên cao theo quy định hiện hành.</w:t>
            </w:r>
          </w:p>
          <w:p w14:paraId="3173E24D"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An toàn cho các hạng mục không lắp đặt thiết bị (không thuộc phạm vi gói thầu)</w:t>
            </w:r>
          </w:p>
          <w:p w14:paraId="45BD616A"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An toàn cho công nhân khi làm việc trên cao cách mặt bằng làm việc từ 2 mét trở lên, trên sàn công tác di động, nơi cheo leo nguy hiểm theo quy định hiện hành.</w:t>
            </w:r>
          </w:p>
          <w:p w14:paraId="0D4EF741"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Biện pháp đảm bảo vệ sinh môi truờng</w:t>
            </w:r>
          </w:p>
          <w:p w14:paraId="297020A0"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Biện pháp phòng cháy chữa cháy trong quá trình lắp đặt hàng hóa, thiết bị cho công trình đảm bảo an toàn không xảy ra cháy nổ, ảnh huởng đến công trình hiện trạng</w:t>
            </w:r>
          </w:p>
          <w:p w14:paraId="4DA073D0"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Biện pháp phối hợp giữa các bên trong quá trình giao nhận và nghiệm thu hàng hóa.</w:t>
            </w:r>
          </w:p>
          <w:p w14:paraId="1F87DCAA"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Biện pháp thi công cơ khí và công tác lắp hệ thống âm thanh.</w:t>
            </w:r>
          </w:p>
        </w:tc>
        <w:tc>
          <w:tcPr>
            <w:tcW w:w="1207" w:type="pct"/>
            <w:vAlign w:val="center"/>
          </w:tcPr>
          <w:p w14:paraId="3A292107"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lastRenderedPageBreak/>
              <w:t xml:space="preserve">Không có nội dung hoặc có nhưng không đáp ứng yêu cầu cột (3) </w:t>
            </w:r>
          </w:p>
        </w:tc>
      </w:tr>
      <w:tr w:rsidR="00A62165" w:rsidRPr="00A62165" w14:paraId="06770356" w14:textId="77777777" w:rsidTr="00D04283">
        <w:tc>
          <w:tcPr>
            <w:tcW w:w="390" w:type="pct"/>
            <w:vAlign w:val="center"/>
          </w:tcPr>
          <w:p w14:paraId="2419AD9D" w14:textId="77777777" w:rsidR="00A62165" w:rsidRPr="00A62165" w:rsidRDefault="00A62165" w:rsidP="00A62165">
            <w:pPr>
              <w:widowControl w:val="0"/>
              <w:numPr>
                <w:ilvl w:val="0"/>
                <w:numId w:val="1"/>
              </w:numPr>
              <w:tabs>
                <w:tab w:val="left" w:pos="851"/>
              </w:tabs>
              <w:spacing w:before="120" w:after="120" w:line="240" w:lineRule="auto"/>
              <w:contextualSpacing/>
              <w:jc w:val="center"/>
              <w:rPr>
                <w:rFonts w:ascii="Times New Roman" w:eastAsia="Times New Roman" w:hAnsi="Times New Roman" w:cs="Times New Roman"/>
                <w:kern w:val="0"/>
                <w:sz w:val="26"/>
                <w:szCs w:val="26"/>
                <w14:ligatures w14:val="none"/>
              </w:rPr>
            </w:pPr>
          </w:p>
        </w:tc>
        <w:tc>
          <w:tcPr>
            <w:tcW w:w="1459" w:type="pct"/>
            <w:vAlign w:val="center"/>
          </w:tcPr>
          <w:p w14:paraId="08262EDD"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Giải pháp xử lý khi hàng hoá bàn giao không đáp ứng yêu cầu</w:t>
            </w:r>
          </w:p>
        </w:tc>
        <w:tc>
          <w:tcPr>
            <w:tcW w:w="1944" w:type="pct"/>
            <w:vAlign w:val="center"/>
          </w:tcPr>
          <w:p w14:paraId="3BE08B0F"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Cam kết thay thế 1 đổi 1 do lỗi của nhà sản xuất trong vòng 2 ngày kể từ khi nhận đuợc yêu cầu.</w:t>
            </w:r>
          </w:p>
          <w:p w14:paraId="30438FD3"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Nhà thầu có thuyết minh về giải pháp xử lý khi hàng hoá bàn giao không đáp ứng yêu cầu.</w:t>
            </w:r>
          </w:p>
        </w:tc>
        <w:tc>
          <w:tcPr>
            <w:tcW w:w="1207" w:type="pct"/>
            <w:vAlign w:val="center"/>
          </w:tcPr>
          <w:p w14:paraId="2AF14F2C"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xml:space="preserve">Không có nội dung hoặc có nhưng không đáp ứng yêu cầu cột (3) </w:t>
            </w:r>
          </w:p>
        </w:tc>
      </w:tr>
      <w:tr w:rsidR="00A62165" w:rsidRPr="00A62165" w14:paraId="4D80AF4A" w14:textId="77777777" w:rsidTr="00D04283">
        <w:tc>
          <w:tcPr>
            <w:tcW w:w="390" w:type="pct"/>
            <w:vAlign w:val="center"/>
          </w:tcPr>
          <w:p w14:paraId="1EC79E23" w14:textId="77777777" w:rsidR="00A62165" w:rsidRPr="00A62165" w:rsidRDefault="00A62165" w:rsidP="00A62165">
            <w:pPr>
              <w:widowControl w:val="0"/>
              <w:numPr>
                <w:ilvl w:val="0"/>
                <w:numId w:val="1"/>
              </w:numPr>
              <w:tabs>
                <w:tab w:val="left" w:pos="851"/>
              </w:tabs>
              <w:spacing w:before="120" w:after="120" w:line="240" w:lineRule="auto"/>
              <w:contextualSpacing/>
              <w:jc w:val="center"/>
              <w:rPr>
                <w:rFonts w:ascii="Times New Roman" w:eastAsia="Times New Roman" w:hAnsi="Times New Roman" w:cs="Times New Roman"/>
                <w:kern w:val="0"/>
                <w:sz w:val="26"/>
                <w:szCs w:val="26"/>
                <w14:ligatures w14:val="none"/>
              </w:rPr>
            </w:pPr>
          </w:p>
        </w:tc>
        <w:tc>
          <w:tcPr>
            <w:tcW w:w="1459" w:type="pct"/>
            <w:vAlign w:val="center"/>
          </w:tcPr>
          <w:p w14:paraId="6B0A586A"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Thời gian bảo hành, bảo trì</w:t>
            </w:r>
          </w:p>
        </w:tc>
        <w:tc>
          <w:tcPr>
            <w:tcW w:w="1944" w:type="pct"/>
            <w:vAlign w:val="center"/>
          </w:tcPr>
          <w:p w14:paraId="06EEC117"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Nhà thầu có văn bản cam kết như sau:</w:t>
            </w:r>
          </w:p>
          <w:p w14:paraId="10723619"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lastRenderedPageBreak/>
              <w:t>+ Định kỳ 06 tháng 1 lần nhà thầu phải có trách nhiệm kiểm tra, bảo dưỡng toàn bộ thiết bị đã trang cấp và có biên bản xác nhận của đơn vị sử dụng (Trừ các sản phẩm, thiết bị, hàng hoá có khấu hao theo quy định).</w:t>
            </w:r>
          </w:p>
          <w:p w14:paraId="08920D0A"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-Cam kết phương thức bảo hành, bảo trì: Khi có yêu cầu về bảo hành, bảo trì, Nhà thầu phải cử chuyên gia không chậm quá 24 giờ kể từ khi được yêu cầu của Chủ đầu tư. Trong trường hợp nhà thầu không đáp ứng được việc bảo hành, bảo trì thì Chủ đầu tư có quyền thuê nhà thầu khác thực hiện. Toàn bộ kinh phí thuê này do nhà thầu chi trả theo đúng quy định trong bảo lãnh bảo hành.</w:t>
            </w:r>
          </w:p>
        </w:tc>
        <w:tc>
          <w:tcPr>
            <w:tcW w:w="1207" w:type="pct"/>
            <w:vAlign w:val="center"/>
          </w:tcPr>
          <w:p w14:paraId="660AF5B3"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lastRenderedPageBreak/>
              <w:t xml:space="preserve">Không có nội dung hoặc có </w:t>
            </w:r>
            <w:r w:rsidRPr="00A62165">
              <w:rPr>
                <w:rFonts w:ascii="Times New Roman" w:eastAsia="Times New Roman" w:hAnsi="Times New Roman" w:cs="Times New Roman"/>
                <w:kern w:val="0"/>
                <w:sz w:val="26"/>
                <w:szCs w:val="26"/>
                <w14:ligatures w14:val="none"/>
              </w:rPr>
              <w:lastRenderedPageBreak/>
              <w:t xml:space="preserve">nhưng không đáp ứng yêu cầu cột (3) </w:t>
            </w:r>
          </w:p>
        </w:tc>
      </w:tr>
      <w:tr w:rsidR="00A62165" w:rsidRPr="00A62165" w14:paraId="2BEF7A17" w14:textId="77777777" w:rsidTr="00D04283">
        <w:tc>
          <w:tcPr>
            <w:tcW w:w="390" w:type="pct"/>
            <w:vAlign w:val="center"/>
          </w:tcPr>
          <w:p w14:paraId="5CD18CDD" w14:textId="77777777" w:rsidR="00A62165" w:rsidRPr="00A62165" w:rsidRDefault="00A62165" w:rsidP="00A62165">
            <w:pPr>
              <w:widowControl w:val="0"/>
              <w:numPr>
                <w:ilvl w:val="0"/>
                <w:numId w:val="1"/>
              </w:numPr>
              <w:tabs>
                <w:tab w:val="left" w:pos="851"/>
              </w:tabs>
              <w:spacing w:before="120" w:after="120" w:line="240" w:lineRule="auto"/>
              <w:contextualSpacing/>
              <w:jc w:val="center"/>
              <w:rPr>
                <w:rFonts w:ascii="Times New Roman" w:eastAsia="Times New Roman" w:hAnsi="Times New Roman" w:cs="Times New Roman"/>
                <w:kern w:val="0"/>
                <w:sz w:val="26"/>
                <w:szCs w:val="26"/>
                <w14:ligatures w14:val="none"/>
              </w:rPr>
            </w:pPr>
          </w:p>
        </w:tc>
        <w:tc>
          <w:tcPr>
            <w:tcW w:w="1459" w:type="pct"/>
            <w:vAlign w:val="center"/>
          </w:tcPr>
          <w:p w14:paraId="6E15D219"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Mức độ đáp ứng các yêu cầu về bảo hành, bảo trì</w:t>
            </w:r>
          </w:p>
        </w:tc>
        <w:tc>
          <w:tcPr>
            <w:tcW w:w="1944" w:type="pct"/>
            <w:vAlign w:val="center"/>
          </w:tcPr>
          <w:p w14:paraId="562A04CA"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Nhà thầu có cam kết thực hiện các nghĩa vụ bảo hành, bảo trì, duy tu, bảo dưỡng, sửa chữa, cung cấp phụ tùng thay thế, khắc phục hư hỏng, sai sót trong vòng 24 giờ, kể từ khi nhận được yêu cầu của chủ đầu tư hoặc đơn vị trực tiếp sử dụng tài sản, trong đó nêu rõ các nội dung sau:</w:t>
            </w:r>
          </w:p>
          <w:p w14:paraId="25068F07"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Cam kết bảo hành bảo trì tại địa điểm cung cấp lắp đặt.</w:t>
            </w:r>
          </w:p>
          <w:p w14:paraId="07A9CAA0"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Cam kết cung cấp linh kiện, phụ tùng thay thế phù hợp với hàng hóa của gói thầu này trong thời gian tối thiểu 03 năm.</w:t>
            </w:r>
          </w:p>
          <w:p w14:paraId="17CF0FC1"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xml:space="preserve">- Liệt kê các dạng hư hỏng sẽ được bảo hành, các </w:t>
            </w:r>
            <w:r w:rsidRPr="00A62165">
              <w:rPr>
                <w:rFonts w:ascii="Times New Roman" w:eastAsia="Times New Roman" w:hAnsi="Times New Roman" w:cs="Times New Roman"/>
                <w:kern w:val="0"/>
                <w:sz w:val="26"/>
                <w:szCs w:val="26"/>
                <w14:ligatures w14:val="none"/>
              </w:rPr>
              <w:lastRenderedPageBreak/>
              <w:t>dạng hư hỏng không được bảo hành.</w:t>
            </w:r>
          </w:p>
          <w:p w14:paraId="7D9C185B"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Phương thức liên hệ nhà thầu khi hàng hóa gặp hư hỏng (Bằng văn bản, email, điện thoại...)</w:t>
            </w:r>
          </w:p>
        </w:tc>
        <w:tc>
          <w:tcPr>
            <w:tcW w:w="1207" w:type="pct"/>
            <w:vAlign w:val="center"/>
          </w:tcPr>
          <w:p w14:paraId="685F5291"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lastRenderedPageBreak/>
              <w:t xml:space="preserve">Không có nội dung hoặc có nhưng không đáp ứng yêu cầu cột (3) </w:t>
            </w:r>
          </w:p>
        </w:tc>
      </w:tr>
      <w:tr w:rsidR="00A62165" w:rsidRPr="00A62165" w14:paraId="281792C8" w14:textId="77777777" w:rsidTr="00D04283">
        <w:tc>
          <w:tcPr>
            <w:tcW w:w="390" w:type="pct"/>
            <w:vAlign w:val="center"/>
          </w:tcPr>
          <w:p w14:paraId="1D2B9009" w14:textId="77777777" w:rsidR="00A62165" w:rsidRPr="00A62165" w:rsidRDefault="00A62165" w:rsidP="00A62165">
            <w:pPr>
              <w:widowControl w:val="0"/>
              <w:numPr>
                <w:ilvl w:val="0"/>
                <w:numId w:val="1"/>
              </w:numPr>
              <w:tabs>
                <w:tab w:val="left" w:pos="851"/>
              </w:tabs>
              <w:spacing w:before="120" w:after="120" w:line="240" w:lineRule="auto"/>
              <w:contextualSpacing/>
              <w:jc w:val="center"/>
              <w:rPr>
                <w:rFonts w:ascii="Times New Roman" w:eastAsia="Times New Roman" w:hAnsi="Times New Roman" w:cs="Times New Roman"/>
                <w:kern w:val="0"/>
                <w:sz w:val="26"/>
                <w:szCs w:val="26"/>
                <w14:ligatures w14:val="none"/>
              </w:rPr>
            </w:pPr>
          </w:p>
        </w:tc>
        <w:tc>
          <w:tcPr>
            <w:tcW w:w="1459" w:type="pct"/>
            <w:vAlign w:val="center"/>
          </w:tcPr>
          <w:p w14:paraId="2B416E48"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Kế hoạch cung cấp dịch vụ bảo hành, bảo trì</w:t>
            </w:r>
          </w:p>
        </w:tc>
        <w:tc>
          <w:tcPr>
            <w:tcW w:w="1944" w:type="pct"/>
            <w:vAlign w:val="center"/>
          </w:tcPr>
          <w:p w14:paraId="08307ECD"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Nhà thầu trình bày kế hoạch cung cấp dịch vụ bảo hành, bảo trì phù hợp với yêu cầu E-HSMT và nội dung trong E-HSDT mà nhà thầu đã đề xuất.</w:t>
            </w:r>
          </w:p>
        </w:tc>
        <w:tc>
          <w:tcPr>
            <w:tcW w:w="1207" w:type="pct"/>
            <w:vAlign w:val="center"/>
          </w:tcPr>
          <w:p w14:paraId="477D2C41"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xml:space="preserve">Không có nội dung hoặc có nhưng không đáp ứng yêu cầu cột (3) </w:t>
            </w:r>
          </w:p>
        </w:tc>
      </w:tr>
      <w:tr w:rsidR="00A62165" w:rsidRPr="00A62165" w14:paraId="6CB84D3C" w14:textId="77777777" w:rsidTr="00D04283">
        <w:tc>
          <w:tcPr>
            <w:tcW w:w="390" w:type="pct"/>
            <w:vAlign w:val="center"/>
          </w:tcPr>
          <w:p w14:paraId="2B66BBFA" w14:textId="77777777" w:rsidR="00A62165" w:rsidRPr="00A62165" w:rsidRDefault="00A62165" w:rsidP="00A62165">
            <w:pPr>
              <w:widowControl w:val="0"/>
              <w:numPr>
                <w:ilvl w:val="0"/>
                <w:numId w:val="1"/>
              </w:numPr>
              <w:tabs>
                <w:tab w:val="left" w:pos="851"/>
              </w:tabs>
              <w:spacing w:before="120" w:after="120" w:line="240" w:lineRule="auto"/>
              <w:contextualSpacing/>
              <w:jc w:val="center"/>
              <w:rPr>
                <w:rFonts w:ascii="Times New Roman" w:eastAsia="Times New Roman" w:hAnsi="Times New Roman" w:cs="Times New Roman"/>
                <w:kern w:val="0"/>
                <w:sz w:val="26"/>
                <w:szCs w:val="26"/>
                <w14:ligatures w14:val="none"/>
              </w:rPr>
            </w:pPr>
          </w:p>
        </w:tc>
        <w:tc>
          <w:tcPr>
            <w:tcW w:w="1459" w:type="pct"/>
            <w:vAlign w:val="center"/>
          </w:tcPr>
          <w:p w14:paraId="1F463DF0"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Khả năng thích ứng về mặt địa lý, môi trường</w:t>
            </w:r>
          </w:p>
        </w:tc>
        <w:tc>
          <w:tcPr>
            <w:tcW w:w="1944" w:type="pct"/>
            <w:vAlign w:val="center"/>
          </w:tcPr>
          <w:p w14:paraId="64C2EB0A"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Nhà thầu trình bày khả năng thích ứng về mặt địa lý, môi trường của sản phẩm.</w:t>
            </w:r>
          </w:p>
        </w:tc>
        <w:tc>
          <w:tcPr>
            <w:tcW w:w="1207" w:type="pct"/>
            <w:vAlign w:val="center"/>
          </w:tcPr>
          <w:p w14:paraId="24BFCA15"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xml:space="preserve">Không có nội dung hoặc có nhưng không đáp ứng yêu cầu cột (3) </w:t>
            </w:r>
          </w:p>
        </w:tc>
      </w:tr>
      <w:tr w:rsidR="00A62165" w:rsidRPr="00A62165" w14:paraId="359E2A67" w14:textId="77777777" w:rsidTr="00D04283">
        <w:tc>
          <w:tcPr>
            <w:tcW w:w="390" w:type="pct"/>
            <w:vAlign w:val="center"/>
          </w:tcPr>
          <w:p w14:paraId="7577ED2E" w14:textId="77777777" w:rsidR="00A62165" w:rsidRPr="00A62165" w:rsidRDefault="00A62165" w:rsidP="00A62165">
            <w:pPr>
              <w:widowControl w:val="0"/>
              <w:numPr>
                <w:ilvl w:val="0"/>
                <w:numId w:val="1"/>
              </w:numPr>
              <w:tabs>
                <w:tab w:val="left" w:pos="851"/>
              </w:tabs>
              <w:spacing w:before="120" w:after="120" w:line="240" w:lineRule="auto"/>
              <w:contextualSpacing/>
              <w:jc w:val="center"/>
              <w:rPr>
                <w:rFonts w:ascii="Times New Roman" w:eastAsia="Times New Roman" w:hAnsi="Times New Roman" w:cs="Times New Roman"/>
                <w:kern w:val="0"/>
                <w:sz w:val="26"/>
                <w:szCs w:val="26"/>
                <w14:ligatures w14:val="none"/>
              </w:rPr>
            </w:pPr>
          </w:p>
        </w:tc>
        <w:tc>
          <w:tcPr>
            <w:tcW w:w="1459" w:type="pct"/>
            <w:vAlign w:val="center"/>
          </w:tcPr>
          <w:p w14:paraId="14D2FD9E"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Tác động đối với môi trường và biện pháp giải quyết</w:t>
            </w:r>
          </w:p>
        </w:tc>
        <w:tc>
          <w:tcPr>
            <w:tcW w:w="1944" w:type="pct"/>
            <w:vAlign w:val="center"/>
          </w:tcPr>
          <w:p w14:paraId="7D584C45"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Nhà thầu trình bày tác động đối với môi trường và biện pháp giải quyết đối với sản phẩm mà nhà thầu đề xuất</w:t>
            </w:r>
          </w:p>
        </w:tc>
        <w:tc>
          <w:tcPr>
            <w:tcW w:w="1207" w:type="pct"/>
            <w:vAlign w:val="center"/>
          </w:tcPr>
          <w:p w14:paraId="3F72E3E9"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xml:space="preserve">Không có nội dung hoặc có nhưng không đáp ứng yêu cầu cột (3) </w:t>
            </w:r>
          </w:p>
        </w:tc>
      </w:tr>
      <w:tr w:rsidR="00A62165" w:rsidRPr="00A62165" w14:paraId="23BC8023" w14:textId="77777777" w:rsidTr="00D04283">
        <w:tc>
          <w:tcPr>
            <w:tcW w:w="390" w:type="pct"/>
            <w:vAlign w:val="center"/>
          </w:tcPr>
          <w:p w14:paraId="0FCD7335" w14:textId="77777777" w:rsidR="00A62165" w:rsidRPr="00A62165" w:rsidRDefault="00A62165" w:rsidP="00A62165">
            <w:pPr>
              <w:widowControl w:val="0"/>
              <w:numPr>
                <w:ilvl w:val="0"/>
                <w:numId w:val="1"/>
              </w:numPr>
              <w:tabs>
                <w:tab w:val="left" w:pos="851"/>
              </w:tabs>
              <w:spacing w:before="120" w:after="120" w:line="240" w:lineRule="auto"/>
              <w:contextualSpacing/>
              <w:jc w:val="center"/>
              <w:rPr>
                <w:rFonts w:ascii="Times New Roman" w:eastAsia="Times New Roman" w:hAnsi="Times New Roman" w:cs="Times New Roman"/>
                <w:kern w:val="0"/>
                <w:sz w:val="26"/>
                <w:szCs w:val="26"/>
                <w14:ligatures w14:val="none"/>
              </w:rPr>
            </w:pPr>
          </w:p>
        </w:tc>
        <w:tc>
          <w:tcPr>
            <w:tcW w:w="1459" w:type="pct"/>
            <w:vAlign w:val="center"/>
          </w:tcPr>
          <w:p w14:paraId="57C97E29"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Các yếu tố về điều kiện thương mại, thời gian giao hàng, đào tạo chuyển giao công nghệ, cung cấp các dịch vụ sau bán hàng</w:t>
            </w:r>
          </w:p>
        </w:tc>
        <w:tc>
          <w:tcPr>
            <w:tcW w:w="1944" w:type="pct"/>
            <w:vAlign w:val="center"/>
          </w:tcPr>
          <w:p w14:paraId="67F9D6CA"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Nhà thầu có trình bày quy trình giao hàng, đào tạo chuyển giao công nghệ, cung cấp các dịch vụ sau bán hàng.</w:t>
            </w:r>
          </w:p>
        </w:tc>
        <w:tc>
          <w:tcPr>
            <w:tcW w:w="1207" w:type="pct"/>
            <w:vAlign w:val="center"/>
          </w:tcPr>
          <w:p w14:paraId="76B1F2CC"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xml:space="preserve">Không có nội dung hoặc có nhưng không đáp ứng yêu cầu cột (3) </w:t>
            </w:r>
          </w:p>
        </w:tc>
      </w:tr>
      <w:tr w:rsidR="00A62165" w:rsidRPr="00A62165" w14:paraId="2626CE09" w14:textId="77777777" w:rsidTr="00D04283">
        <w:tc>
          <w:tcPr>
            <w:tcW w:w="390" w:type="pct"/>
            <w:vAlign w:val="center"/>
          </w:tcPr>
          <w:p w14:paraId="118C744B" w14:textId="77777777" w:rsidR="00A62165" w:rsidRPr="00A62165" w:rsidRDefault="00A62165" w:rsidP="00A62165">
            <w:pPr>
              <w:widowControl w:val="0"/>
              <w:numPr>
                <w:ilvl w:val="0"/>
                <w:numId w:val="1"/>
              </w:numPr>
              <w:tabs>
                <w:tab w:val="left" w:pos="851"/>
              </w:tabs>
              <w:spacing w:before="120" w:after="120" w:line="240" w:lineRule="auto"/>
              <w:contextualSpacing/>
              <w:jc w:val="center"/>
              <w:rPr>
                <w:rFonts w:ascii="Times New Roman" w:eastAsia="Times New Roman" w:hAnsi="Times New Roman" w:cs="Times New Roman"/>
                <w:kern w:val="0"/>
                <w:sz w:val="26"/>
                <w:szCs w:val="26"/>
                <w14:ligatures w14:val="none"/>
              </w:rPr>
            </w:pPr>
          </w:p>
        </w:tc>
        <w:tc>
          <w:tcPr>
            <w:tcW w:w="1459" w:type="pct"/>
            <w:vAlign w:val="center"/>
          </w:tcPr>
          <w:p w14:paraId="54560FDA"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Tiến độ cung cấp hàng hóa</w:t>
            </w:r>
          </w:p>
        </w:tc>
        <w:tc>
          <w:tcPr>
            <w:tcW w:w="1944" w:type="pct"/>
            <w:vAlign w:val="center"/>
          </w:tcPr>
          <w:p w14:paraId="04AAF74A"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Có Bảng biểu tiến độ cung cấp hàng hóa hợp lý, khả thi và phù hợp, thuyết minh chi tiết kế hoạch cung cấp các địa điểm, có thời gian thực hiện ≤10 ngày kể từ ngày hợp đồng có hiệu lực.</w:t>
            </w:r>
          </w:p>
        </w:tc>
        <w:tc>
          <w:tcPr>
            <w:tcW w:w="1207" w:type="pct"/>
            <w:vAlign w:val="center"/>
          </w:tcPr>
          <w:p w14:paraId="2DDD843C"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xml:space="preserve">Không có nội dung hoặc có nhưng không đáp ứng yêu cầu cột (3) </w:t>
            </w:r>
          </w:p>
        </w:tc>
      </w:tr>
      <w:tr w:rsidR="00A62165" w:rsidRPr="00A62165" w14:paraId="05648BEB" w14:textId="77777777" w:rsidTr="00D04283">
        <w:tc>
          <w:tcPr>
            <w:tcW w:w="390" w:type="pct"/>
            <w:vAlign w:val="center"/>
          </w:tcPr>
          <w:p w14:paraId="39BAF9C0" w14:textId="77777777" w:rsidR="00A62165" w:rsidRPr="00A62165" w:rsidRDefault="00A62165" w:rsidP="00A62165">
            <w:pPr>
              <w:widowControl w:val="0"/>
              <w:numPr>
                <w:ilvl w:val="0"/>
                <w:numId w:val="1"/>
              </w:numPr>
              <w:tabs>
                <w:tab w:val="left" w:pos="851"/>
              </w:tabs>
              <w:spacing w:before="120" w:after="120" w:line="240" w:lineRule="auto"/>
              <w:contextualSpacing/>
              <w:jc w:val="center"/>
              <w:rPr>
                <w:rFonts w:ascii="Times New Roman" w:eastAsia="Times New Roman" w:hAnsi="Times New Roman" w:cs="Times New Roman"/>
                <w:kern w:val="0"/>
                <w:sz w:val="26"/>
                <w:szCs w:val="26"/>
                <w14:ligatures w14:val="none"/>
              </w:rPr>
            </w:pPr>
          </w:p>
        </w:tc>
        <w:tc>
          <w:tcPr>
            <w:tcW w:w="1459" w:type="pct"/>
            <w:vAlign w:val="center"/>
          </w:tcPr>
          <w:p w14:paraId="550C035B"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Yếu tố thân thiện môi trường</w:t>
            </w:r>
          </w:p>
        </w:tc>
        <w:tc>
          <w:tcPr>
            <w:tcW w:w="1944" w:type="pct"/>
            <w:vAlign w:val="center"/>
          </w:tcPr>
          <w:p w14:paraId="48E99446"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 xml:space="preserve">Nhà thầu có bản cam kết hàng hóa thân thiện môi </w:t>
            </w:r>
            <w:r w:rsidRPr="00A62165">
              <w:rPr>
                <w:rFonts w:ascii="Times New Roman" w:eastAsia="Times New Roman" w:hAnsi="Times New Roman" w:cs="Times New Roman"/>
                <w:kern w:val="0"/>
                <w:sz w:val="26"/>
                <w:szCs w:val="26"/>
                <w14:ligatures w14:val="none"/>
              </w:rPr>
              <w:lastRenderedPageBreak/>
              <w:t>trường</w:t>
            </w:r>
          </w:p>
        </w:tc>
        <w:tc>
          <w:tcPr>
            <w:tcW w:w="1207" w:type="pct"/>
            <w:vAlign w:val="center"/>
          </w:tcPr>
          <w:p w14:paraId="43EA0F94"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lastRenderedPageBreak/>
              <w:t xml:space="preserve">Không có nội dung hoặc có nhưng không đáp ứng yêu cầu </w:t>
            </w:r>
            <w:r w:rsidRPr="00A62165">
              <w:rPr>
                <w:rFonts w:ascii="Times New Roman" w:eastAsia="Times New Roman" w:hAnsi="Times New Roman" w:cs="Times New Roman"/>
                <w:kern w:val="0"/>
                <w:sz w:val="26"/>
                <w:szCs w:val="26"/>
                <w14:ligatures w14:val="none"/>
              </w:rPr>
              <w:lastRenderedPageBreak/>
              <w:t xml:space="preserve">cột (3) </w:t>
            </w:r>
          </w:p>
        </w:tc>
      </w:tr>
      <w:tr w:rsidR="00A62165" w:rsidRPr="00A62165" w14:paraId="2A0BA9E4" w14:textId="77777777" w:rsidTr="00D04283">
        <w:tc>
          <w:tcPr>
            <w:tcW w:w="390" w:type="pct"/>
            <w:vAlign w:val="center"/>
          </w:tcPr>
          <w:p w14:paraId="7D58601A" w14:textId="77777777" w:rsidR="00A62165" w:rsidRPr="00A62165" w:rsidRDefault="00A62165" w:rsidP="00A62165">
            <w:pPr>
              <w:widowControl w:val="0"/>
              <w:numPr>
                <w:ilvl w:val="0"/>
                <w:numId w:val="1"/>
              </w:numPr>
              <w:tabs>
                <w:tab w:val="left" w:pos="851"/>
              </w:tabs>
              <w:spacing w:before="120" w:after="120" w:line="240" w:lineRule="auto"/>
              <w:contextualSpacing/>
              <w:jc w:val="center"/>
              <w:rPr>
                <w:rFonts w:ascii="Times New Roman" w:eastAsia="Times New Roman" w:hAnsi="Times New Roman" w:cs="Times New Roman"/>
                <w:kern w:val="0"/>
                <w:sz w:val="26"/>
                <w:szCs w:val="26"/>
                <w14:ligatures w14:val="none"/>
              </w:rPr>
            </w:pPr>
          </w:p>
        </w:tc>
        <w:tc>
          <w:tcPr>
            <w:tcW w:w="1459" w:type="pct"/>
            <w:vAlign w:val="center"/>
          </w:tcPr>
          <w:p w14:paraId="426BCC51"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Thông tin về kết quả thực hiện hợp đồng</w:t>
            </w:r>
          </w:p>
        </w:tc>
        <w:tc>
          <w:tcPr>
            <w:tcW w:w="1944" w:type="pct"/>
            <w:vAlign w:val="center"/>
          </w:tcPr>
          <w:p w14:paraId="3C8A1778"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Nhà thầu có bản cam kết không vi phạm 01 trong các quy định tại Điều 19 và Điều 20 của Nghị định số 214/2025/NĐ-CP</w:t>
            </w:r>
          </w:p>
        </w:tc>
        <w:tc>
          <w:tcPr>
            <w:tcW w:w="1207" w:type="pct"/>
            <w:vAlign w:val="center"/>
          </w:tcPr>
          <w:p w14:paraId="18B31A7B" w14:textId="77777777" w:rsidR="00A62165" w:rsidRPr="00A62165" w:rsidRDefault="00A62165" w:rsidP="00A62165">
            <w:pPr>
              <w:widowControl w:val="0"/>
              <w:tabs>
                <w:tab w:val="left" w:pos="851"/>
              </w:tabs>
              <w:spacing w:before="120" w:after="120" w:line="240" w:lineRule="auto"/>
              <w:jc w:val="both"/>
              <w:rPr>
                <w:rFonts w:ascii="Times New Roman" w:eastAsia="Times New Roman" w:hAnsi="Times New Roman" w:cs="Times New Roman"/>
                <w:kern w:val="0"/>
                <w:sz w:val="26"/>
                <w:szCs w:val="26"/>
                <w14:ligatures w14:val="none"/>
              </w:rPr>
            </w:pPr>
            <w:r w:rsidRPr="00A62165">
              <w:rPr>
                <w:rFonts w:ascii="Times New Roman" w:eastAsia="Times New Roman" w:hAnsi="Times New Roman" w:cs="Times New Roman"/>
                <w:kern w:val="0"/>
                <w:sz w:val="26"/>
                <w:szCs w:val="26"/>
                <w14:ligatures w14:val="none"/>
              </w:rPr>
              <w:t>Không có cam kết hoặc cam kết không đáp ứng yêu cầu cột (3)</w:t>
            </w:r>
          </w:p>
        </w:tc>
      </w:tr>
    </w:tbl>
    <w:p w14:paraId="1C815510" w14:textId="77777777" w:rsidR="00A62165" w:rsidRPr="00A62165" w:rsidRDefault="00A62165" w:rsidP="00A62165">
      <w:pPr>
        <w:spacing w:after="0" w:line="240" w:lineRule="auto"/>
        <w:jc w:val="both"/>
        <w:rPr>
          <w:rFonts w:ascii="Times New Roman" w:eastAsia="Times New Roman" w:hAnsi="Times New Roman" w:cs="Times New Roman"/>
          <w:kern w:val="0"/>
          <w:szCs w:val="20"/>
          <w14:ligatures w14:val="none"/>
        </w:rPr>
      </w:pPr>
    </w:p>
    <w:p w14:paraId="5328D875" w14:textId="77777777" w:rsidR="00B77731" w:rsidRDefault="00B77731"/>
    <w:sectPr w:rsidR="00B77731" w:rsidSect="00A62165">
      <w:pgSz w:w="16840" w:h="11907" w:orient="landscape"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A314E"/>
    <w:multiLevelType w:val="hybridMultilevel"/>
    <w:tmpl w:val="87703382"/>
    <w:lvl w:ilvl="0" w:tplc="56EAB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1928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65"/>
    <w:rsid w:val="002B3351"/>
    <w:rsid w:val="00981794"/>
    <w:rsid w:val="00A43822"/>
    <w:rsid w:val="00A62165"/>
    <w:rsid w:val="00AA5377"/>
    <w:rsid w:val="00B77731"/>
    <w:rsid w:val="00C973D0"/>
    <w:rsid w:val="00FA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A8B8"/>
  <w15:chartTrackingRefBased/>
  <w15:docId w15:val="{49CCEF73-B081-4FB3-9F3D-243C11E7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165"/>
    <w:rPr>
      <w:rFonts w:eastAsiaTheme="majorEastAsia" w:cstheme="majorBidi"/>
      <w:color w:val="272727" w:themeColor="text1" w:themeTint="D8"/>
    </w:rPr>
  </w:style>
  <w:style w:type="paragraph" w:styleId="Title">
    <w:name w:val="Title"/>
    <w:basedOn w:val="Normal"/>
    <w:next w:val="Normal"/>
    <w:link w:val="TitleChar"/>
    <w:uiPriority w:val="10"/>
    <w:qFormat/>
    <w:rsid w:val="00A62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165"/>
    <w:pPr>
      <w:spacing w:before="160"/>
      <w:jc w:val="center"/>
    </w:pPr>
    <w:rPr>
      <w:i/>
      <w:iCs/>
      <w:color w:val="404040" w:themeColor="text1" w:themeTint="BF"/>
    </w:rPr>
  </w:style>
  <w:style w:type="character" w:customStyle="1" w:styleId="QuoteChar">
    <w:name w:val="Quote Char"/>
    <w:basedOn w:val="DefaultParagraphFont"/>
    <w:link w:val="Quote"/>
    <w:uiPriority w:val="29"/>
    <w:rsid w:val="00A62165"/>
    <w:rPr>
      <w:i/>
      <w:iCs/>
      <w:color w:val="404040" w:themeColor="text1" w:themeTint="BF"/>
    </w:rPr>
  </w:style>
  <w:style w:type="paragraph" w:styleId="ListParagraph">
    <w:name w:val="List Paragraph"/>
    <w:basedOn w:val="Normal"/>
    <w:uiPriority w:val="34"/>
    <w:qFormat/>
    <w:rsid w:val="00A62165"/>
    <w:pPr>
      <w:ind w:left="720"/>
      <w:contextualSpacing/>
    </w:pPr>
  </w:style>
  <w:style w:type="character" w:styleId="IntenseEmphasis">
    <w:name w:val="Intense Emphasis"/>
    <w:basedOn w:val="DefaultParagraphFont"/>
    <w:uiPriority w:val="21"/>
    <w:qFormat/>
    <w:rsid w:val="00A62165"/>
    <w:rPr>
      <w:i/>
      <w:iCs/>
      <w:color w:val="0F4761" w:themeColor="accent1" w:themeShade="BF"/>
    </w:rPr>
  </w:style>
  <w:style w:type="paragraph" w:styleId="IntenseQuote">
    <w:name w:val="Intense Quote"/>
    <w:basedOn w:val="Normal"/>
    <w:next w:val="Normal"/>
    <w:link w:val="IntenseQuoteChar"/>
    <w:uiPriority w:val="30"/>
    <w:qFormat/>
    <w:rsid w:val="00A62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165"/>
    <w:rPr>
      <w:i/>
      <w:iCs/>
      <w:color w:val="0F4761" w:themeColor="accent1" w:themeShade="BF"/>
    </w:rPr>
  </w:style>
  <w:style w:type="character" w:styleId="IntenseReference">
    <w:name w:val="Intense Reference"/>
    <w:basedOn w:val="DefaultParagraphFont"/>
    <w:uiPriority w:val="32"/>
    <w:qFormat/>
    <w:rsid w:val="00A621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03767-C153-41AA-8CE1-D1CC52FD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1305</Words>
  <Characters>7445</Characters>
  <Application>Microsoft Office Word</Application>
  <DocSecurity>0</DocSecurity>
  <Lines>62</Lines>
  <Paragraphs>17</Paragraphs>
  <ScaleCrop>false</ScaleCrop>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ĐÌNH QUỲNH LƯU</dc:creator>
  <cp:keywords/>
  <dc:description/>
  <cp:lastModifiedBy>ĐÌNH QUỲNH LƯU</cp:lastModifiedBy>
  <cp:revision>1</cp:revision>
  <dcterms:created xsi:type="dcterms:W3CDTF">2026-03-31T07:32:00Z</dcterms:created>
  <dcterms:modified xsi:type="dcterms:W3CDTF">2026-03-31T07:33:00Z</dcterms:modified>
</cp:coreProperties>
</file>