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D392" w14:textId="77777777" w:rsidR="0024437E" w:rsidRPr="0024437E" w:rsidRDefault="0024437E" w:rsidP="0024437E">
      <w:pPr>
        <w:widowControl w:val="0"/>
        <w:spacing w:before="120" w:after="120" w:line="264" w:lineRule="auto"/>
        <w:jc w:val="center"/>
        <w:outlineLvl w:val="1"/>
        <w:rPr>
          <w:sz w:val="28"/>
          <w:szCs w:val="28"/>
          <w:lang w:val="nl-NL"/>
        </w:rPr>
      </w:pPr>
      <w:r w:rsidRPr="0024437E">
        <w:rPr>
          <w:b/>
          <w:sz w:val="28"/>
          <w:szCs w:val="28"/>
          <w:lang w:val="nl-NL"/>
        </w:rPr>
        <w:t>Chương V. YÊU CẦU VỀ KỸ THUẬT</w:t>
      </w:r>
    </w:p>
    <w:p w14:paraId="577A6699" w14:textId="77777777" w:rsidR="0024437E" w:rsidRPr="0024437E" w:rsidRDefault="0024437E" w:rsidP="0024437E">
      <w:pPr>
        <w:pStyle w:val="Subtitle"/>
        <w:rPr>
          <w:rFonts w:ascii="Times New Roman" w:hAnsi="Times New Roman" w:cs="Times New Roman"/>
          <w:sz w:val="20"/>
          <w:szCs w:val="32"/>
          <w:lang w:val="nl-NL"/>
        </w:rPr>
      </w:pPr>
    </w:p>
    <w:p w14:paraId="0DBEDE44" w14:textId="77777777" w:rsidR="0024437E" w:rsidRPr="0024437E" w:rsidRDefault="0024437E" w:rsidP="0024437E">
      <w:pPr>
        <w:pStyle w:val="SectionVIHeader"/>
        <w:widowControl w:val="0"/>
        <w:spacing w:after="120" w:line="264" w:lineRule="auto"/>
        <w:ind w:firstLine="709"/>
        <w:jc w:val="both"/>
        <w:rPr>
          <w:sz w:val="28"/>
          <w:szCs w:val="28"/>
          <w:lang w:val="nl-NL"/>
        </w:rPr>
      </w:pPr>
      <w:r w:rsidRPr="0024437E">
        <w:rPr>
          <w:sz w:val="28"/>
          <w:szCs w:val="28"/>
          <w:lang w:val="nl-NL"/>
        </w:rPr>
        <w:t>Mục 1. Yêu cầu về kỹ thuật</w:t>
      </w:r>
    </w:p>
    <w:p w14:paraId="6E6192A5" w14:textId="77777777" w:rsidR="0024437E" w:rsidRPr="0024437E" w:rsidRDefault="0024437E" w:rsidP="0024437E">
      <w:pPr>
        <w:widowControl w:val="0"/>
        <w:spacing w:before="120" w:after="120" w:line="264" w:lineRule="auto"/>
        <w:ind w:firstLine="709"/>
        <w:rPr>
          <w:b/>
          <w:i/>
          <w:sz w:val="28"/>
          <w:szCs w:val="28"/>
          <w:lang w:val="nl-NL"/>
        </w:rPr>
      </w:pPr>
      <w:r w:rsidRPr="0024437E">
        <w:rPr>
          <w:b/>
          <w:i/>
          <w:sz w:val="28"/>
          <w:szCs w:val="28"/>
          <w:lang w:val="nl-NL"/>
        </w:rPr>
        <w:t>1.1. Giới thiệu chung về dự án/</w:t>
      </w:r>
      <w:r w:rsidRPr="0024437E">
        <w:rPr>
          <w:b/>
          <w:i/>
          <w:sz w:val="28"/>
          <w:szCs w:val="28"/>
        </w:rPr>
        <w:t>dự toán mua sắm</w:t>
      </w:r>
      <w:r w:rsidRPr="0024437E">
        <w:rPr>
          <w:b/>
          <w:i/>
          <w:sz w:val="28"/>
          <w:szCs w:val="28"/>
          <w:lang w:val="nl-NL"/>
        </w:rPr>
        <w:t>, gói thầu</w:t>
      </w:r>
    </w:p>
    <w:p w14:paraId="3043A9C5" w14:textId="77777777" w:rsidR="0024437E" w:rsidRPr="0024437E" w:rsidRDefault="0024437E" w:rsidP="0024437E">
      <w:pPr>
        <w:autoSpaceDE w:val="0"/>
        <w:autoSpaceDN w:val="0"/>
        <w:adjustRightInd w:val="0"/>
        <w:spacing w:before="120" w:after="120" w:line="320" w:lineRule="exact"/>
        <w:ind w:firstLine="720"/>
        <w:rPr>
          <w:sz w:val="28"/>
          <w:szCs w:val="28"/>
          <w:lang w:val="nl-NL"/>
        </w:rPr>
      </w:pPr>
      <w:bookmarkStart w:id="0" w:name="_Hlk154743134"/>
      <w:r w:rsidRPr="0024437E">
        <w:rPr>
          <w:sz w:val="28"/>
          <w:szCs w:val="28"/>
          <w:lang w:val="nl-NL"/>
        </w:rPr>
        <w:t>- Tên gói thầu: Mua Bộ phát tín hiệu ưu tiên của xe quân sự</w:t>
      </w:r>
      <w:r w:rsidRPr="0024437E">
        <w:rPr>
          <w:bCs/>
          <w:iCs/>
          <w:sz w:val="28"/>
          <w:szCs w:val="28"/>
          <w:lang w:val="nl-NL"/>
        </w:rPr>
        <w:t>.</w:t>
      </w:r>
    </w:p>
    <w:p w14:paraId="2ED4BEB6" w14:textId="77777777" w:rsidR="0024437E" w:rsidRPr="0024437E" w:rsidRDefault="0024437E" w:rsidP="0024437E">
      <w:pPr>
        <w:autoSpaceDE w:val="0"/>
        <w:autoSpaceDN w:val="0"/>
        <w:adjustRightInd w:val="0"/>
        <w:spacing w:before="120" w:after="120" w:line="320" w:lineRule="exact"/>
        <w:ind w:firstLine="720"/>
        <w:rPr>
          <w:sz w:val="28"/>
          <w:szCs w:val="28"/>
          <w:lang w:val="nl-NL"/>
        </w:rPr>
      </w:pPr>
      <w:r w:rsidRPr="0024437E">
        <w:rPr>
          <w:sz w:val="28"/>
          <w:szCs w:val="28"/>
          <w:lang w:val="nl-NL"/>
        </w:rPr>
        <w:t>- Nguồn vốn: Ngân sách nhà nước.</w:t>
      </w:r>
    </w:p>
    <w:p w14:paraId="32A52548" w14:textId="77777777" w:rsidR="0024437E" w:rsidRPr="0024437E" w:rsidRDefault="0024437E" w:rsidP="0024437E">
      <w:pPr>
        <w:autoSpaceDE w:val="0"/>
        <w:autoSpaceDN w:val="0"/>
        <w:adjustRightInd w:val="0"/>
        <w:spacing w:before="120" w:after="120" w:line="320" w:lineRule="exact"/>
        <w:ind w:firstLine="720"/>
        <w:rPr>
          <w:sz w:val="28"/>
          <w:szCs w:val="28"/>
          <w:lang w:val="nl-NL"/>
        </w:rPr>
      </w:pPr>
      <w:r w:rsidRPr="0024437E">
        <w:rPr>
          <w:sz w:val="28"/>
          <w:szCs w:val="28"/>
          <w:lang w:val="nl-NL"/>
        </w:rPr>
        <w:t>- Hình thức đấu thầu: Đấu thầu rộng rãi, qua mạng.</w:t>
      </w:r>
    </w:p>
    <w:p w14:paraId="04941AD8" w14:textId="77777777" w:rsidR="0024437E" w:rsidRPr="0024437E" w:rsidRDefault="0024437E" w:rsidP="0024437E">
      <w:pPr>
        <w:autoSpaceDE w:val="0"/>
        <w:autoSpaceDN w:val="0"/>
        <w:adjustRightInd w:val="0"/>
        <w:spacing w:before="120" w:after="120" w:line="320" w:lineRule="exact"/>
        <w:ind w:firstLine="720"/>
        <w:rPr>
          <w:sz w:val="28"/>
          <w:szCs w:val="28"/>
          <w:lang w:val="nl-NL"/>
        </w:rPr>
      </w:pPr>
      <w:r w:rsidRPr="0024437E">
        <w:rPr>
          <w:sz w:val="28"/>
          <w:szCs w:val="28"/>
          <w:lang w:val="nl-NL"/>
        </w:rPr>
        <w:t>- Phương thức đấu thầu: 1 giai đoạn, 1 túi hồ sơ.</w:t>
      </w:r>
    </w:p>
    <w:p w14:paraId="40D68239" w14:textId="77777777" w:rsidR="0024437E" w:rsidRPr="0024437E" w:rsidRDefault="0024437E" w:rsidP="0024437E">
      <w:pPr>
        <w:autoSpaceDE w:val="0"/>
        <w:autoSpaceDN w:val="0"/>
        <w:adjustRightInd w:val="0"/>
        <w:spacing w:before="120" w:after="120" w:line="320" w:lineRule="exact"/>
        <w:ind w:firstLine="720"/>
        <w:rPr>
          <w:sz w:val="28"/>
          <w:szCs w:val="28"/>
          <w:lang w:val="nl-NL"/>
        </w:rPr>
      </w:pPr>
      <w:r w:rsidRPr="0024437E">
        <w:rPr>
          <w:sz w:val="28"/>
          <w:szCs w:val="28"/>
          <w:lang w:val="nl-NL"/>
        </w:rPr>
        <w:t xml:space="preserve">- Thời gian lựa chọn nhà thầu: 45 ngày. </w:t>
      </w:r>
    </w:p>
    <w:p w14:paraId="004E8F91" w14:textId="77777777" w:rsidR="0024437E" w:rsidRPr="0024437E" w:rsidRDefault="0024437E" w:rsidP="0024437E">
      <w:pPr>
        <w:autoSpaceDE w:val="0"/>
        <w:autoSpaceDN w:val="0"/>
        <w:adjustRightInd w:val="0"/>
        <w:spacing w:before="120" w:after="120" w:line="320" w:lineRule="exact"/>
        <w:ind w:firstLine="720"/>
        <w:rPr>
          <w:sz w:val="28"/>
          <w:szCs w:val="28"/>
          <w:lang w:val="nl-NL"/>
        </w:rPr>
      </w:pPr>
      <w:r w:rsidRPr="0024437E">
        <w:rPr>
          <w:sz w:val="28"/>
          <w:szCs w:val="28"/>
          <w:lang w:val="nl-NL"/>
        </w:rPr>
        <w:t xml:space="preserve">- Thời gian thực hiện gói thầu: 15 ngày. </w:t>
      </w:r>
    </w:p>
    <w:p w14:paraId="60E64C65" w14:textId="77777777" w:rsidR="0024437E" w:rsidRPr="0024437E" w:rsidRDefault="0024437E" w:rsidP="0024437E">
      <w:pPr>
        <w:autoSpaceDE w:val="0"/>
        <w:autoSpaceDN w:val="0"/>
        <w:adjustRightInd w:val="0"/>
        <w:spacing w:before="120" w:after="120" w:line="320" w:lineRule="exact"/>
        <w:rPr>
          <w:sz w:val="28"/>
          <w:szCs w:val="28"/>
          <w:lang w:val="nl-NL"/>
        </w:rPr>
      </w:pPr>
      <w:r w:rsidRPr="0024437E">
        <w:rPr>
          <w:sz w:val="28"/>
          <w:szCs w:val="28"/>
          <w:lang w:val="nl-NL"/>
        </w:rPr>
        <w:tab/>
        <w:t>- Loại hợp đồng: Trọn gói.</w:t>
      </w:r>
    </w:p>
    <w:p w14:paraId="7E0DAAA9" w14:textId="77777777" w:rsidR="0024437E" w:rsidRPr="0024437E" w:rsidRDefault="0024437E" w:rsidP="0024437E">
      <w:pPr>
        <w:widowControl w:val="0"/>
        <w:spacing w:before="120" w:after="120" w:line="264" w:lineRule="auto"/>
        <w:ind w:firstLine="709"/>
        <w:rPr>
          <w:i/>
          <w:spacing w:val="-8"/>
          <w:sz w:val="28"/>
          <w:szCs w:val="28"/>
          <w:lang w:val="nl-NL"/>
        </w:rPr>
      </w:pPr>
      <w:r w:rsidRPr="0024437E">
        <w:rPr>
          <w:spacing w:val="-8"/>
          <w:sz w:val="28"/>
          <w:szCs w:val="28"/>
          <w:lang w:val="nl-NL"/>
        </w:rPr>
        <w:tab/>
        <w:t xml:space="preserve">- Địa điểm cung cấp hàng hóa: </w:t>
      </w:r>
      <w:r w:rsidRPr="0024437E">
        <w:rPr>
          <w:spacing w:val="-8"/>
          <w:sz w:val="28"/>
          <w:szCs w:val="28"/>
          <w:shd w:val="clear" w:color="auto" w:fill="FFFFFF"/>
          <w:lang w:val="nl-NL"/>
        </w:rPr>
        <w:t>Kho J112, Phường Bồ Đề, Thành phố Hà Nội.</w:t>
      </w:r>
    </w:p>
    <w:bookmarkEnd w:id="0"/>
    <w:p w14:paraId="6D591A2A" w14:textId="77777777" w:rsidR="0024437E" w:rsidRPr="0024437E" w:rsidRDefault="0024437E" w:rsidP="0024437E">
      <w:pPr>
        <w:widowControl w:val="0"/>
        <w:spacing w:before="120" w:after="120" w:line="264" w:lineRule="auto"/>
        <w:ind w:firstLine="709"/>
        <w:rPr>
          <w:b/>
          <w:i/>
          <w:sz w:val="28"/>
          <w:szCs w:val="28"/>
          <w:lang w:val="nl-NL"/>
        </w:rPr>
      </w:pPr>
      <w:r w:rsidRPr="0024437E">
        <w:rPr>
          <w:b/>
          <w:i/>
          <w:sz w:val="28"/>
          <w:szCs w:val="28"/>
          <w:lang w:val="nl-NL"/>
        </w:rPr>
        <w:t>1.2. Yêu cầu về kỹ thuật</w:t>
      </w:r>
    </w:p>
    <w:p w14:paraId="0E4DB85E" w14:textId="77777777" w:rsidR="0024437E" w:rsidRPr="0024437E" w:rsidRDefault="0024437E" w:rsidP="0024437E">
      <w:pPr>
        <w:widowControl w:val="0"/>
        <w:spacing w:before="120" w:after="120" w:line="264" w:lineRule="auto"/>
        <w:ind w:firstLine="709"/>
        <w:rPr>
          <w:i/>
          <w:spacing w:val="-2"/>
          <w:sz w:val="28"/>
          <w:szCs w:val="28"/>
          <w:lang w:val="nl-NL"/>
        </w:rPr>
      </w:pPr>
      <w:r w:rsidRPr="0024437E">
        <w:rPr>
          <w:i/>
          <w:spacing w:val="-2"/>
          <w:sz w:val="28"/>
          <w:szCs w:val="28"/>
          <w:lang w:val="nl-NL"/>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24437E" w:rsidRPr="0024437E" w14:paraId="4F599125" w14:textId="77777777" w:rsidTr="00F53EDB">
        <w:trPr>
          <w:trHeight w:val="899"/>
          <w:tblHeader/>
        </w:trPr>
        <w:tc>
          <w:tcPr>
            <w:tcW w:w="1809" w:type="dxa"/>
            <w:shd w:val="clear" w:color="auto" w:fill="D9F2D0" w:themeFill="accent6" w:themeFillTint="33"/>
            <w:vAlign w:val="center"/>
          </w:tcPr>
          <w:p w14:paraId="56A6B268" w14:textId="77777777" w:rsidR="0024437E" w:rsidRPr="0024437E" w:rsidRDefault="0024437E" w:rsidP="00F53EDB">
            <w:pPr>
              <w:spacing w:before="120" w:after="120"/>
              <w:jc w:val="center"/>
              <w:rPr>
                <w:b/>
                <w:iCs/>
              </w:rPr>
            </w:pPr>
            <w:r w:rsidRPr="0024437E">
              <w:rPr>
                <w:b/>
                <w:iCs/>
              </w:rPr>
              <w:t>Hạng mục số</w:t>
            </w:r>
          </w:p>
        </w:tc>
        <w:tc>
          <w:tcPr>
            <w:tcW w:w="3715" w:type="dxa"/>
            <w:shd w:val="clear" w:color="auto" w:fill="D9F2D0" w:themeFill="accent6" w:themeFillTint="33"/>
            <w:vAlign w:val="center"/>
          </w:tcPr>
          <w:p w14:paraId="54172BD4" w14:textId="77777777" w:rsidR="0024437E" w:rsidRPr="0024437E" w:rsidRDefault="0024437E" w:rsidP="00F53EDB">
            <w:pPr>
              <w:spacing w:before="120" w:after="120"/>
              <w:jc w:val="center"/>
              <w:rPr>
                <w:b/>
                <w:iCs/>
              </w:rPr>
            </w:pPr>
            <w:r w:rsidRPr="0024437E">
              <w:rPr>
                <w:b/>
                <w:iCs/>
              </w:rPr>
              <w:t>Tên hàng hóa/dịch vụ liên quan</w:t>
            </w:r>
          </w:p>
        </w:tc>
        <w:tc>
          <w:tcPr>
            <w:tcW w:w="3827" w:type="dxa"/>
            <w:shd w:val="clear" w:color="auto" w:fill="D9F2D0" w:themeFill="accent6" w:themeFillTint="33"/>
            <w:vAlign w:val="center"/>
          </w:tcPr>
          <w:p w14:paraId="17F93B03" w14:textId="77777777" w:rsidR="0024437E" w:rsidRPr="0024437E" w:rsidRDefault="0024437E" w:rsidP="00F53EDB">
            <w:pPr>
              <w:spacing w:before="120" w:after="120"/>
              <w:jc w:val="center"/>
              <w:rPr>
                <w:b/>
                <w:iCs/>
              </w:rPr>
            </w:pPr>
            <w:r w:rsidRPr="0024437E">
              <w:rPr>
                <w:b/>
                <w:iCs/>
              </w:rPr>
              <w:t>Thông số kỹ thuật và các tiêu chuẩn</w:t>
            </w:r>
          </w:p>
        </w:tc>
      </w:tr>
      <w:tr w:rsidR="0024437E" w:rsidRPr="0024437E" w14:paraId="300F0DCA" w14:textId="77777777" w:rsidTr="00F53EDB">
        <w:trPr>
          <w:trHeight w:val="279"/>
        </w:trPr>
        <w:tc>
          <w:tcPr>
            <w:tcW w:w="1809" w:type="dxa"/>
          </w:tcPr>
          <w:p w14:paraId="3A2214FB" w14:textId="77777777" w:rsidR="0024437E" w:rsidRPr="0024437E" w:rsidRDefault="0024437E" w:rsidP="00F53EDB">
            <w:pPr>
              <w:spacing w:before="120" w:after="120"/>
              <w:ind w:firstLine="22"/>
              <w:jc w:val="center"/>
              <w:rPr>
                <w:iCs/>
              </w:rPr>
            </w:pPr>
            <w:r w:rsidRPr="0024437E">
              <w:rPr>
                <w:iCs/>
              </w:rPr>
              <w:t>1</w:t>
            </w:r>
          </w:p>
        </w:tc>
        <w:tc>
          <w:tcPr>
            <w:tcW w:w="3715" w:type="dxa"/>
          </w:tcPr>
          <w:p w14:paraId="488BA12C" w14:textId="77777777" w:rsidR="0024437E" w:rsidRPr="0024437E" w:rsidRDefault="0024437E" w:rsidP="00F53EDB">
            <w:pPr>
              <w:spacing w:before="120" w:after="120"/>
              <w:rPr>
                <w:iCs/>
              </w:rPr>
            </w:pPr>
            <w:r w:rsidRPr="0024437E">
              <w:rPr>
                <w:bCs/>
              </w:rPr>
              <w:t>Bộ phát tín hiệu ưu tiên</w:t>
            </w:r>
          </w:p>
        </w:tc>
        <w:tc>
          <w:tcPr>
            <w:tcW w:w="3827" w:type="dxa"/>
          </w:tcPr>
          <w:p w14:paraId="2FB2F378" w14:textId="77777777" w:rsidR="0024437E" w:rsidRPr="0024437E" w:rsidRDefault="0024437E" w:rsidP="00F53EDB">
            <w:pPr>
              <w:spacing w:before="120"/>
              <w:rPr>
                <w:b/>
                <w:bCs/>
              </w:rPr>
            </w:pPr>
            <w:r w:rsidRPr="0024437E">
              <w:rPr>
                <w:b/>
                <w:bCs/>
              </w:rPr>
              <w:t xml:space="preserve">Amply: </w:t>
            </w:r>
          </w:p>
          <w:p w14:paraId="7F331E4D" w14:textId="77777777" w:rsidR="0024437E" w:rsidRPr="0024437E" w:rsidRDefault="0024437E" w:rsidP="00F53EDB">
            <w:r w:rsidRPr="0024437E">
              <w:t>- Công suất: 200W</w:t>
            </w:r>
          </w:p>
          <w:p w14:paraId="671E7CC3" w14:textId="77777777" w:rsidR="0024437E" w:rsidRPr="0024437E" w:rsidRDefault="0024437E" w:rsidP="00F53EDB">
            <w:r w:rsidRPr="0024437E">
              <w:t>- Nguồn cung cấp: 12 VDC</w:t>
            </w:r>
          </w:p>
          <w:p w14:paraId="17A52A5F" w14:textId="77777777" w:rsidR="0024437E" w:rsidRPr="0024437E" w:rsidRDefault="0024437E" w:rsidP="00F53EDB">
            <w:r w:rsidRPr="0024437E">
              <w:t>- Dải tần số công tác: 500 ÷ 1600 Hz</w:t>
            </w:r>
          </w:p>
          <w:p w14:paraId="365736B5" w14:textId="77777777" w:rsidR="0024437E" w:rsidRPr="0024437E" w:rsidRDefault="0024437E" w:rsidP="00F53EDB">
            <w:r w:rsidRPr="0024437E">
              <w:t>- Chế độ cảnh báo: WAIL, YELP, SIREN, HI-LO, WOOP, PIERCER</w:t>
            </w:r>
          </w:p>
          <w:p w14:paraId="4ADAA06F" w14:textId="77777777" w:rsidR="0024437E" w:rsidRPr="0024437E" w:rsidRDefault="0024437E" w:rsidP="00F53EDB">
            <w:r w:rsidRPr="0024437E">
              <w:t xml:space="preserve">- Micro kèm theo: Có </w:t>
            </w:r>
          </w:p>
          <w:p w14:paraId="4049A4A1" w14:textId="77777777" w:rsidR="0024437E" w:rsidRPr="0024437E" w:rsidRDefault="0024437E" w:rsidP="00F53EDB">
            <w:pPr>
              <w:spacing w:before="60"/>
              <w:rPr>
                <w:b/>
                <w:bCs/>
              </w:rPr>
            </w:pPr>
            <w:r w:rsidRPr="0024437E">
              <w:t xml:space="preserve"> </w:t>
            </w:r>
            <w:r w:rsidRPr="0024437E">
              <w:rPr>
                <w:b/>
                <w:bCs/>
              </w:rPr>
              <w:t>Loa:</w:t>
            </w:r>
          </w:p>
          <w:p w14:paraId="643D9A50" w14:textId="77777777" w:rsidR="0024437E" w:rsidRPr="0024437E" w:rsidRDefault="0024437E" w:rsidP="00F53EDB">
            <w:r w:rsidRPr="0024437E">
              <w:t>- Nguồn cung cấp: 12 VDC</w:t>
            </w:r>
            <w:r w:rsidRPr="0024437E">
              <w:tab/>
            </w:r>
          </w:p>
          <w:p w14:paraId="2A55E97F" w14:textId="77777777" w:rsidR="0024437E" w:rsidRPr="0024437E" w:rsidRDefault="0024437E" w:rsidP="00F53EDB">
            <w:r w:rsidRPr="0024437E">
              <w:t>- Công suất: 200 W</w:t>
            </w:r>
          </w:p>
          <w:p w14:paraId="3CEB7F55" w14:textId="77777777" w:rsidR="0024437E" w:rsidRPr="0024437E" w:rsidRDefault="0024437E" w:rsidP="00F53EDB">
            <w:r w:rsidRPr="0024437E">
              <w:t xml:space="preserve">- Cường độ âm </w:t>
            </w:r>
            <w:proofErr w:type="gramStart"/>
            <w:r w:rsidRPr="0024437E">
              <w:t>thanh :</w:t>
            </w:r>
            <w:proofErr w:type="gramEnd"/>
            <w:r w:rsidRPr="0024437E">
              <w:t xml:space="preserve"> 125 ÷ 135 dB</w:t>
            </w:r>
            <w:r w:rsidRPr="0024437E">
              <w:tab/>
            </w:r>
          </w:p>
          <w:p w14:paraId="3180C3AF" w14:textId="77777777" w:rsidR="0024437E" w:rsidRPr="0024437E" w:rsidRDefault="0024437E" w:rsidP="00F53EDB">
            <w:r w:rsidRPr="0024437E">
              <w:t>- Trở kháng: 8 Ω</w:t>
            </w:r>
          </w:p>
          <w:p w14:paraId="33DFE851" w14:textId="77777777" w:rsidR="0024437E" w:rsidRPr="0024437E" w:rsidRDefault="0024437E" w:rsidP="00F53EDB">
            <w:pPr>
              <w:spacing w:before="60"/>
              <w:rPr>
                <w:b/>
                <w:bCs/>
              </w:rPr>
            </w:pPr>
            <w:r w:rsidRPr="0024437E">
              <w:rPr>
                <w:b/>
                <w:bCs/>
              </w:rPr>
              <w:t>Đèn Led:</w:t>
            </w:r>
          </w:p>
          <w:p w14:paraId="2FE039CD" w14:textId="77777777" w:rsidR="0024437E" w:rsidRPr="0024437E" w:rsidRDefault="0024437E" w:rsidP="00F53EDB">
            <w:r w:rsidRPr="0024437E">
              <w:t xml:space="preserve">- Nguồn cung </w:t>
            </w:r>
            <w:proofErr w:type="gramStart"/>
            <w:r w:rsidRPr="0024437E">
              <w:t>cấp :</w:t>
            </w:r>
            <w:proofErr w:type="gramEnd"/>
            <w:r w:rsidRPr="0024437E">
              <w:t xml:space="preserve"> 12 VDC</w:t>
            </w:r>
            <w:r w:rsidRPr="0024437E">
              <w:tab/>
            </w:r>
          </w:p>
          <w:p w14:paraId="48164729" w14:textId="77777777" w:rsidR="0024437E" w:rsidRPr="0024437E" w:rsidRDefault="0024437E" w:rsidP="00F53EDB">
            <w:r w:rsidRPr="0024437E">
              <w:t>- Kích thước:</w:t>
            </w:r>
          </w:p>
          <w:p w14:paraId="19B4D9FF" w14:textId="77777777" w:rsidR="0024437E" w:rsidRPr="0024437E" w:rsidRDefault="0024437E" w:rsidP="00F53EDB">
            <w:r w:rsidRPr="0024437E">
              <w:t>+ Dài: 440 ÷ 480 mm;</w:t>
            </w:r>
          </w:p>
          <w:p w14:paraId="4A1BC6E8" w14:textId="77777777" w:rsidR="0024437E" w:rsidRPr="0024437E" w:rsidRDefault="0024437E" w:rsidP="00F53EDB">
            <w:r w:rsidRPr="0024437E">
              <w:t>+ Rộng: 210 ÷ 230 mm;</w:t>
            </w:r>
          </w:p>
          <w:p w14:paraId="26AA7FC2" w14:textId="77777777" w:rsidR="0024437E" w:rsidRPr="0024437E" w:rsidRDefault="0024437E" w:rsidP="00F53EDB">
            <w:r w:rsidRPr="0024437E">
              <w:t>+ Cao: 70 ÷ 80 mm.</w:t>
            </w:r>
            <w:r w:rsidRPr="0024437E">
              <w:tab/>
            </w:r>
          </w:p>
          <w:p w14:paraId="75F40845" w14:textId="77777777" w:rsidR="0024437E" w:rsidRPr="0024437E" w:rsidRDefault="0024437E" w:rsidP="00F53EDB">
            <w:r w:rsidRPr="0024437E">
              <w:t>- Cường độ sáng: ≥ 21,6 Cd</w:t>
            </w:r>
            <w:r w:rsidRPr="0024437E">
              <w:tab/>
            </w:r>
          </w:p>
          <w:p w14:paraId="2DEE3441" w14:textId="77777777" w:rsidR="0024437E" w:rsidRPr="0024437E" w:rsidRDefault="0024437E" w:rsidP="00F53EDB">
            <w:r w:rsidRPr="0024437E">
              <w:t xml:space="preserve">- Tần số </w:t>
            </w:r>
            <w:proofErr w:type="gramStart"/>
            <w:r w:rsidRPr="0024437E">
              <w:t>chớp :</w:t>
            </w:r>
            <w:proofErr w:type="gramEnd"/>
            <w:r w:rsidRPr="0024437E">
              <w:t xml:space="preserve"> 120 Lần/Phút</w:t>
            </w:r>
            <w:r w:rsidRPr="0024437E">
              <w:tab/>
            </w:r>
          </w:p>
          <w:p w14:paraId="26577EC0" w14:textId="77777777" w:rsidR="0024437E" w:rsidRPr="0024437E" w:rsidRDefault="0024437E" w:rsidP="00F53EDB">
            <w:r w:rsidRPr="0024437E">
              <w:t xml:space="preserve">- Công </w:t>
            </w:r>
            <w:proofErr w:type="gramStart"/>
            <w:r w:rsidRPr="0024437E">
              <w:t>suất :</w:t>
            </w:r>
            <w:proofErr w:type="gramEnd"/>
            <w:r w:rsidRPr="0024437E">
              <w:t xml:space="preserve"> 150 W</w:t>
            </w:r>
            <w:r w:rsidRPr="0024437E">
              <w:tab/>
            </w:r>
          </w:p>
          <w:p w14:paraId="05A65D20" w14:textId="77777777" w:rsidR="0024437E" w:rsidRPr="0024437E" w:rsidRDefault="0024437E" w:rsidP="00F53EDB">
            <w:r w:rsidRPr="0024437E">
              <w:t>- Chế độ nháy: 11 chế độ khác nhau.</w:t>
            </w:r>
          </w:p>
          <w:p w14:paraId="5A4F5224" w14:textId="77777777" w:rsidR="0024437E" w:rsidRPr="0024437E" w:rsidRDefault="0024437E" w:rsidP="00F53EDB">
            <w:r w:rsidRPr="0024437E">
              <w:t>- Ánh sáng đèn: Màu xanh - Màu đỏ</w:t>
            </w:r>
          </w:p>
        </w:tc>
      </w:tr>
    </w:tbl>
    <w:p w14:paraId="4C90C8A3" w14:textId="77777777" w:rsidR="0024437E" w:rsidRPr="0024437E" w:rsidRDefault="0024437E" w:rsidP="0024437E">
      <w:pPr>
        <w:ind w:firstLine="709"/>
        <w:rPr>
          <w:i/>
          <w:iCs/>
          <w:sz w:val="20"/>
        </w:rPr>
      </w:pPr>
    </w:p>
    <w:p w14:paraId="696DEF47" w14:textId="77777777" w:rsidR="0024437E" w:rsidRPr="0024437E" w:rsidRDefault="0024437E" w:rsidP="0024437E">
      <w:pPr>
        <w:autoSpaceDE w:val="0"/>
        <w:autoSpaceDN w:val="0"/>
        <w:adjustRightInd w:val="0"/>
        <w:spacing w:before="240"/>
        <w:ind w:firstLine="567"/>
        <w:rPr>
          <w:sz w:val="28"/>
          <w:szCs w:val="28"/>
          <w:lang w:val="nl-NL"/>
        </w:rPr>
      </w:pPr>
      <w:r w:rsidRPr="0024437E">
        <w:rPr>
          <w:sz w:val="28"/>
          <w:szCs w:val="28"/>
          <w:lang w:val="nl-NL"/>
        </w:rPr>
        <w:lastRenderedPageBreak/>
        <w:t>- Chất lượng hàng hóa: Bộ phát tín hiệu ưu tiên mới 100%, đáp ứng thông số kỹ thuật nêu trên, chưa qua sử dụng; sản xuất năm 2026 trở về sau.</w:t>
      </w:r>
    </w:p>
    <w:p w14:paraId="39815D5F" w14:textId="77777777" w:rsidR="0024437E" w:rsidRPr="0024437E" w:rsidRDefault="0024437E" w:rsidP="0024437E">
      <w:pPr>
        <w:spacing w:before="120" w:line="264" w:lineRule="auto"/>
        <w:ind w:firstLine="567"/>
        <w:rPr>
          <w:color w:val="FF0000"/>
          <w:sz w:val="28"/>
          <w:szCs w:val="28"/>
          <w:lang w:val="vi-VN"/>
        </w:rPr>
      </w:pPr>
      <w:r w:rsidRPr="0024437E">
        <w:rPr>
          <w:sz w:val="28"/>
          <w:szCs w:val="28"/>
          <w:lang w:val="nl-NL"/>
        </w:rPr>
        <w:t xml:space="preserve">- Hàng hóa có nguồn gốc xuất xứ rõ ràng, hợp pháp. Có giấy chứng nhận xuất xứ (CO) bản dịch có công chứng, giấy chứng nhận chất lượng (CQ) bản dịch có công chứng đối với hàng hóa nhập khẩu hoặc </w:t>
      </w:r>
      <w:r w:rsidRPr="0024437E">
        <w:rPr>
          <w:sz w:val="28"/>
          <w:szCs w:val="28"/>
        </w:rPr>
        <w:t>giấy chứng nhận xuất xưởng đối với hàng hóa trong nước</w:t>
      </w:r>
      <w:r w:rsidRPr="0024437E">
        <w:rPr>
          <w:sz w:val="28"/>
          <w:szCs w:val="28"/>
          <w:lang w:val="vi-VN"/>
        </w:rPr>
        <w:t>.</w:t>
      </w:r>
    </w:p>
    <w:p w14:paraId="32E7D28A" w14:textId="77777777" w:rsidR="0024437E" w:rsidRPr="0024437E" w:rsidRDefault="0024437E" w:rsidP="0024437E">
      <w:pPr>
        <w:autoSpaceDE w:val="0"/>
        <w:autoSpaceDN w:val="0"/>
        <w:adjustRightInd w:val="0"/>
        <w:spacing w:before="120"/>
        <w:ind w:firstLine="709"/>
        <w:rPr>
          <w:sz w:val="28"/>
          <w:szCs w:val="28"/>
          <w:lang w:val="nl-NL"/>
        </w:rPr>
      </w:pPr>
      <w:r w:rsidRPr="0024437E">
        <w:rPr>
          <w:sz w:val="28"/>
          <w:szCs w:val="28"/>
          <w:lang w:val="nl-NL"/>
        </w:rPr>
        <w:t>- Cung cấp các catalogue/tài liệu kỹ thuật của hàng hóa.</w:t>
      </w:r>
    </w:p>
    <w:p w14:paraId="0284C77C" w14:textId="77777777" w:rsidR="0024437E" w:rsidRPr="0024437E" w:rsidRDefault="0024437E" w:rsidP="0024437E">
      <w:pPr>
        <w:autoSpaceDE w:val="0"/>
        <w:autoSpaceDN w:val="0"/>
        <w:adjustRightInd w:val="0"/>
        <w:spacing w:before="120"/>
        <w:ind w:firstLine="709"/>
        <w:rPr>
          <w:sz w:val="28"/>
          <w:szCs w:val="28"/>
          <w:lang w:val="nl-NL"/>
        </w:rPr>
      </w:pPr>
      <w:r w:rsidRPr="0024437E">
        <w:rPr>
          <w:sz w:val="28"/>
          <w:szCs w:val="28"/>
          <w:lang w:val="nl-NL"/>
        </w:rPr>
        <w:t xml:space="preserve">- </w:t>
      </w:r>
      <w:r w:rsidRPr="0024437E">
        <w:rPr>
          <w:sz w:val="28"/>
          <w:szCs w:val="28"/>
          <w:lang w:val="it-IT"/>
        </w:rPr>
        <w:t>Giấy chứng nhận bảo hành của Nhà thầu hoặc nhà sản xuất:</w:t>
      </w:r>
      <w:r w:rsidRPr="0024437E">
        <w:rPr>
          <w:sz w:val="28"/>
          <w:szCs w:val="28"/>
          <w:lang w:val="nl-NL"/>
        </w:rPr>
        <w:t xml:space="preserve"> Thời gian bảo hành 24 tháng.</w:t>
      </w:r>
    </w:p>
    <w:p w14:paraId="3AE5A13C" w14:textId="77777777" w:rsidR="0024437E" w:rsidRPr="0024437E" w:rsidRDefault="0024437E" w:rsidP="0024437E">
      <w:pPr>
        <w:pStyle w:val="Heading5"/>
        <w:spacing w:before="120"/>
        <w:ind w:firstLine="709"/>
        <w:jc w:val="both"/>
        <w:rPr>
          <w:rFonts w:ascii="Times New Roman" w:hAnsi="Times New Roman" w:cs="Times New Roman"/>
          <w:b/>
          <w:bCs/>
          <w:i/>
          <w:sz w:val="28"/>
          <w:szCs w:val="28"/>
          <w:lang w:val="es-ES"/>
        </w:rPr>
      </w:pPr>
      <w:bookmarkStart w:id="1" w:name="_Toc106063071"/>
      <w:bookmarkStart w:id="2" w:name="_Toc117292112"/>
      <w:r w:rsidRPr="0024437E">
        <w:rPr>
          <w:rFonts w:ascii="Times New Roman" w:hAnsi="Times New Roman" w:cs="Times New Roman"/>
          <w:b/>
          <w:bCs/>
          <w:i/>
          <w:sz w:val="28"/>
          <w:szCs w:val="28"/>
        </w:rPr>
        <w:t>1.3. Các yêu cầu khác</w:t>
      </w:r>
      <w:bookmarkEnd w:id="1"/>
      <w:bookmarkEnd w:id="2"/>
    </w:p>
    <w:p w14:paraId="166755B1" w14:textId="77777777" w:rsidR="0024437E" w:rsidRPr="0024437E" w:rsidRDefault="0024437E" w:rsidP="0024437E">
      <w:pPr>
        <w:spacing w:before="120" w:after="120" w:line="320" w:lineRule="atLeast"/>
        <w:ind w:firstLine="709"/>
        <w:rPr>
          <w:sz w:val="28"/>
          <w:szCs w:val="28"/>
          <w:lang w:val="it-IT"/>
        </w:rPr>
      </w:pPr>
      <w:r w:rsidRPr="0024437E">
        <w:rPr>
          <w:sz w:val="28"/>
          <w:szCs w:val="28"/>
          <w:lang w:val="it-IT"/>
        </w:rPr>
        <w:t>- Tất cả các tài liệu, hồ sơ đính kèm E-HSDT phải được Scan từ bản gốc hoặc bản sao được công chứng, chứng thực. Trong quá trình đối chiếu tài liệu, nhà thầu phải cung cấp bản gốc để Bên mời thầu đối chiếu, trường hợp nhà thầu không cung cấp bản gốc hoặc quá trình đối chiếu phát hiện sai sót thì nhà thầu bị coi là gian lận, E-HSDT sẽ bị loại và nhà thầu sẽ bị xử lý theo quy định của pháp luật hiện hành.</w:t>
      </w:r>
    </w:p>
    <w:p w14:paraId="154F1815" w14:textId="77777777" w:rsidR="0024437E" w:rsidRPr="0024437E" w:rsidRDefault="0024437E" w:rsidP="0024437E">
      <w:pPr>
        <w:ind w:firstLine="709"/>
        <w:rPr>
          <w:spacing w:val="-8"/>
          <w:sz w:val="28"/>
          <w:szCs w:val="28"/>
        </w:rPr>
      </w:pPr>
      <w:r w:rsidRPr="0024437E">
        <w:rPr>
          <w:spacing w:val="-8"/>
          <w:sz w:val="28"/>
          <w:szCs w:val="28"/>
        </w:rPr>
        <w:t>-</w:t>
      </w:r>
      <w:r w:rsidRPr="0024437E">
        <w:rPr>
          <w:spacing w:val="-8"/>
          <w:sz w:val="28"/>
          <w:szCs w:val="28"/>
          <w:lang w:val="vi-VN"/>
        </w:rPr>
        <w:t xml:space="preserve"> Thay thế ngay các </w:t>
      </w:r>
      <w:r w:rsidRPr="0024437E">
        <w:rPr>
          <w:spacing w:val="-8"/>
          <w:sz w:val="28"/>
          <w:szCs w:val="28"/>
        </w:rPr>
        <w:t>Bộ phát tín hiệu ưu tiên bị móp méo, nứt, vỡ</w:t>
      </w:r>
      <w:r w:rsidRPr="0024437E">
        <w:rPr>
          <w:spacing w:val="-8"/>
          <w:sz w:val="28"/>
          <w:szCs w:val="28"/>
          <w:lang w:val="vi-VN"/>
        </w:rPr>
        <w:t xml:space="preserve"> trong quá trình vận chuyển (nếu có)</w:t>
      </w:r>
      <w:r w:rsidRPr="0024437E">
        <w:rPr>
          <w:spacing w:val="-8"/>
          <w:sz w:val="28"/>
          <w:szCs w:val="28"/>
        </w:rPr>
        <w:t>;</w:t>
      </w:r>
    </w:p>
    <w:p w14:paraId="165B9AA0" w14:textId="77777777" w:rsidR="0024437E" w:rsidRPr="0024437E" w:rsidRDefault="0024437E" w:rsidP="0024437E">
      <w:pPr>
        <w:autoSpaceDE w:val="0"/>
        <w:autoSpaceDN w:val="0"/>
        <w:adjustRightInd w:val="0"/>
        <w:spacing w:before="60"/>
        <w:ind w:firstLine="709"/>
        <w:rPr>
          <w:sz w:val="28"/>
          <w:szCs w:val="28"/>
          <w:lang w:val="nl-NL"/>
        </w:rPr>
      </w:pPr>
      <w:r w:rsidRPr="0024437E">
        <w:rPr>
          <w:sz w:val="28"/>
          <w:szCs w:val="28"/>
        </w:rPr>
        <w:t>- C</w:t>
      </w:r>
      <w:r w:rsidRPr="0024437E">
        <w:rPr>
          <w:sz w:val="28"/>
          <w:szCs w:val="28"/>
          <w:lang w:val="nl-NL"/>
        </w:rPr>
        <w:t xml:space="preserve">am kết bảo hành trong vòng 48 giờ kể từ khi nhận được thông báo của bên mua. </w:t>
      </w:r>
    </w:p>
    <w:p w14:paraId="53479A0E" w14:textId="77777777" w:rsidR="0024437E" w:rsidRPr="0024437E" w:rsidRDefault="0024437E" w:rsidP="0024437E">
      <w:pPr>
        <w:pStyle w:val="Header"/>
        <w:widowControl w:val="0"/>
        <w:spacing w:before="120" w:line="264" w:lineRule="auto"/>
        <w:ind w:firstLine="709"/>
        <w:jc w:val="left"/>
        <w:rPr>
          <w:b/>
          <w:bCs/>
          <w:sz w:val="28"/>
          <w:szCs w:val="28"/>
        </w:rPr>
      </w:pPr>
      <w:r w:rsidRPr="0024437E">
        <w:rPr>
          <w:b/>
          <w:bCs/>
          <w:sz w:val="28"/>
          <w:szCs w:val="28"/>
        </w:rPr>
        <w:t>Mục 2. Kiểm tra và thử nghiệm</w:t>
      </w:r>
    </w:p>
    <w:p w14:paraId="7CEDF22F" w14:textId="77777777" w:rsidR="0024437E" w:rsidRPr="0024437E" w:rsidRDefault="0024437E" w:rsidP="0024437E">
      <w:pPr>
        <w:spacing w:before="120" w:after="120" w:line="320" w:lineRule="atLeast"/>
        <w:ind w:firstLine="709"/>
        <w:rPr>
          <w:b/>
          <w:i/>
          <w:sz w:val="28"/>
          <w:szCs w:val="28"/>
          <w:lang w:val="it-IT"/>
        </w:rPr>
      </w:pPr>
      <w:r w:rsidRPr="0024437E">
        <w:rPr>
          <w:b/>
          <w:i/>
          <w:sz w:val="28"/>
          <w:szCs w:val="28"/>
          <w:lang w:val="it-IT"/>
        </w:rPr>
        <w:t>2.1. Kiểm tra hàng hóa</w:t>
      </w:r>
    </w:p>
    <w:p w14:paraId="4F70F2E1" w14:textId="77777777" w:rsidR="0024437E" w:rsidRPr="0024437E" w:rsidRDefault="0024437E" w:rsidP="0024437E">
      <w:pPr>
        <w:spacing w:before="120" w:after="120" w:line="320" w:lineRule="atLeast"/>
        <w:ind w:firstLine="709"/>
        <w:rPr>
          <w:sz w:val="28"/>
          <w:szCs w:val="28"/>
          <w:lang w:val="it-IT"/>
        </w:rPr>
      </w:pPr>
      <w:r w:rsidRPr="0024437E">
        <w:rPr>
          <w:sz w:val="28"/>
          <w:szCs w:val="28"/>
          <w:lang w:val="it-IT"/>
        </w:rPr>
        <w:t>- Khi bàn giao hàng hóa, Nhà thầu có trách nhiệm cử đại điện có đủ năng lực, kinh nghiệm đến địa điểm giao hàng quy định tại E-HSMT, hai bên cùng kiểm tra về chứng từ, số lượng, chủng loại, xuất xứ, năm sản xuất, quy cách của hàng hóa.</w:t>
      </w:r>
    </w:p>
    <w:p w14:paraId="3B227AAE" w14:textId="77777777" w:rsidR="0024437E" w:rsidRPr="0024437E" w:rsidRDefault="0024437E" w:rsidP="0024437E">
      <w:pPr>
        <w:spacing w:before="120" w:after="120" w:line="320" w:lineRule="atLeast"/>
        <w:ind w:firstLine="709"/>
        <w:rPr>
          <w:sz w:val="28"/>
          <w:szCs w:val="28"/>
          <w:lang w:val="it-IT"/>
        </w:rPr>
      </w:pPr>
      <w:r w:rsidRPr="0024437E">
        <w:rPr>
          <w:sz w:val="28"/>
          <w:szCs w:val="28"/>
          <w:lang w:val="it-IT"/>
        </w:rPr>
        <w:t>- Nếu kết quả kiểm tra về chứng từ, số lượng, chủng loại, xuất xứ, năm sản xuất và quy cách của lô hàng chứng tỏ hàng hóa không phù với văn bản của Hợp đồng, phụ lục của hợp đồng, hồ sơ dự thầu thì nhà thầu:</w:t>
      </w:r>
    </w:p>
    <w:p w14:paraId="34C92FFE" w14:textId="77777777" w:rsidR="0024437E" w:rsidRPr="0024437E" w:rsidRDefault="0024437E" w:rsidP="0024437E">
      <w:pPr>
        <w:spacing w:before="120" w:after="120" w:line="320" w:lineRule="atLeast"/>
        <w:ind w:firstLine="709"/>
        <w:rPr>
          <w:sz w:val="28"/>
          <w:szCs w:val="28"/>
          <w:lang w:val="it-IT"/>
        </w:rPr>
      </w:pPr>
      <w:r w:rsidRPr="0024437E">
        <w:rPr>
          <w:sz w:val="28"/>
          <w:szCs w:val="28"/>
          <w:lang w:val="it-IT"/>
        </w:rPr>
        <w:t>+ Phải khắc phục toàn bộ những tồn tại của lô hàng đó trong vòng 02 ngày kể từ ngày hai bên lập biên bản hiện trường nhưng không được quá ngày hết hạn thực hiện hợp đồng;</w:t>
      </w:r>
    </w:p>
    <w:p w14:paraId="2542E164" w14:textId="77777777" w:rsidR="0024437E" w:rsidRPr="0024437E" w:rsidRDefault="0024437E" w:rsidP="0024437E">
      <w:pPr>
        <w:spacing w:before="120" w:after="120" w:line="320" w:lineRule="atLeast"/>
        <w:ind w:firstLine="709"/>
        <w:rPr>
          <w:sz w:val="28"/>
          <w:szCs w:val="28"/>
          <w:lang w:val="it-IT"/>
        </w:rPr>
      </w:pPr>
      <w:r w:rsidRPr="0024437E">
        <w:rPr>
          <w:sz w:val="28"/>
          <w:szCs w:val="28"/>
          <w:lang w:val="it-IT"/>
        </w:rPr>
        <w:t>+ Sau khi khắc phục toàn bộ những tồn tại của hàng hóa mà lô hàng vẫn không đáp ứng quy định của hợp đồng, chủ đầu tư có quyền từ chối nhận lô hàng đó và đơn phương chấm dứt hợp đồng và nhà thầu chịu mọi chi phí phát sinh từ việc tiếp nhận hàng hóa hoặc chậm tiếp nhận gây ra và bị phạt theo quy định tại điều khoản phạt của hợp đồng.</w:t>
      </w:r>
    </w:p>
    <w:p w14:paraId="11CD8310" w14:textId="77777777" w:rsidR="0024437E" w:rsidRPr="0024437E" w:rsidRDefault="0024437E" w:rsidP="0024437E">
      <w:pPr>
        <w:spacing w:before="120" w:after="120" w:line="320" w:lineRule="atLeast"/>
        <w:ind w:firstLine="709"/>
        <w:rPr>
          <w:sz w:val="28"/>
          <w:szCs w:val="28"/>
          <w:lang w:val="it-IT"/>
        </w:rPr>
      </w:pPr>
      <w:r w:rsidRPr="0024437E">
        <w:rPr>
          <w:sz w:val="28"/>
          <w:szCs w:val="28"/>
          <w:lang w:val="it-IT"/>
        </w:rPr>
        <w:t>- Nếu kết quả kiểm tra về số lượng, chủng loại, xuất xứ, năm sản xuất và quy cách hàng hóa đúng với hợp đồng sẽ tiến hành thử nghiệm hàng hóa.</w:t>
      </w:r>
    </w:p>
    <w:p w14:paraId="1429A61A" w14:textId="77777777" w:rsidR="0024437E" w:rsidRPr="0024437E" w:rsidRDefault="0024437E" w:rsidP="0024437E">
      <w:pPr>
        <w:spacing w:before="120" w:after="120" w:line="320" w:lineRule="atLeast"/>
        <w:ind w:firstLine="709"/>
        <w:rPr>
          <w:b/>
          <w:i/>
          <w:sz w:val="28"/>
          <w:szCs w:val="28"/>
          <w:lang w:val="it-IT"/>
        </w:rPr>
      </w:pPr>
      <w:r w:rsidRPr="0024437E">
        <w:rPr>
          <w:b/>
          <w:i/>
          <w:sz w:val="28"/>
          <w:szCs w:val="28"/>
          <w:lang w:val="it-IT"/>
        </w:rPr>
        <w:t>2.2. Nghiệm thu, thử nghiệm chất lượng hàng hóa</w:t>
      </w:r>
    </w:p>
    <w:p w14:paraId="1CD5EA25" w14:textId="77777777" w:rsidR="0024437E" w:rsidRPr="0024437E" w:rsidRDefault="0024437E" w:rsidP="0024437E">
      <w:pPr>
        <w:spacing w:before="120" w:after="120" w:line="320" w:lineRule="atLeast"/>
        <w:ind w:firstLine="709"/>
        <w:rPr>
          <w:sz w:val="28"/>
          <w:szCs w:val="28"/>
          <w:lang w:val="it-IT"/>
        </w:rPr>
      </w:pPr>
      <w:r w:rsidRPr="0024437E">
        <w:rPr>
          <w:bCs/>
          <w:spacing w:val="4"/>
          <w:sz w:val="28"/>
          <w:szCs w:val="28"/>
          <w:lang w:val="it-IT"/>
        </w:rPr>
        <w:lastRenderedPageBreak/>
        <w:t xml:space="preserve">- </w:t>
      </w:r>
      <w:r w:rsidRPr="0024437E">
        <w:rPr>
          <w:bCs/>
          <w:spacing w:val="4"/>
          <w:sz w:val="28"/>
          <w:szCs w:val="28"/>
          <w:lang w:val="vi-VN"/>
        </w:rPr>
        <w:t>Nội dung nghiệm thu</w:t>
      </w:r>
      <w:r w:rsidRPr="0024437E">
        <w:rPr>
          <w:bCs/>
          <w:spacing w:val="4"/>
          <w:sz w:val="28"/>
          <w:szCs w:val="28"/>
        </w:rPr>
        <w:t>, thử nghiệm</w:t>
      </w:r>
      <w:r w:rsidRPr="0024437E">
        <w:rPr>
          <w:bCs/>
          <w:spacing w:val="4"/>
          <w:sz w:val="28"/>
          <w:szCs w:val="28"/>
          <w:lang w:val="vi-VN"/>
        </w:rPr>
        <w:t xml:space="preserve"> gồm: Số lượng,</w:t>
      </w:r>
      <w:r w:rsidRPr="0024437E">
        <w:rPr>
          <w:bCs/>
          <w:spacing w:val="4"/>
          <w:sz w:val="28"/>
          <w:szCs w:val="28"/>
        </w:rPr>
        <w:t xml:space="preserve"> chất lượng</w:t>
      </w:r>
      <w:r w:rsidRPr="0024437E">
        <w:rPr>
          <w:bCs/>
          <w:spacing w:val="4"/>
          <w:sz w:val="28"/>
          <w:szCs w:val="28"/>
          <w:lang w:val="vi-VN"/>
        </w:rPr>
        <w:t xml:space="preserve"> chủng loại, tình trạng bảo quản, đóng gói, xuất xứ, chất lượng </w:t>
      </w:r>
      <w:r w:rsidRPr="0024437E">
        <w:rPr>
          <w:bCs/>
          <w:spacing w:val="4"/>
          <w:sz w:val="28"/>
          <w:szCs w:val="28"/>
          <w:lang w:val="it-IT"/>
        </w:rPr>
        <w:t xml:space="preserve">hàng hóa </w:t>
      </w:r>
      <w:r w:rsidRPr="0024437E">
        <w:rPr>
          <w:bCs/>
          <w:spacing w:val="4"/>
          <w:sz w:val="28"/>
          <w:szCs w:val="28"/>
          <w:lang w:val="vi-VN"/>
        </w:rPr>
        <w:t>và các chỉ tiêu kỹ thuật</w:t>
      </w:r>
      <w:r w:rsidRPr="0024437E">
        <w:rPr>
          <w:bCs/>
          <w:spacing w:val="4"/>
          <w:sz w:val="28"/>
          <w:szCs w:val="28"/>
          <w:lang w:val="it-IT"/>
        </w:rPr>
        <w:t xml:space="preserve"> hàng hóa</w:t>
      </w:r>
      <w:r w:rsidRPr="0024437E">
        <w:rPr>
          <w:bCs/>
          <w:spacing w:val="4"/>
          <w:sz w:val="28"/>
          <w:szCs w:val="28"/>
          <w:lang w:val="vi-VN"/>
        </w:rPr>
        <w:t xml:space="preserve">. Kết quả </w:t>
      </w:r>
      <w:r w:rsidRPr="0024437E">
        <w:rPr>
          <w:bCs/>
          <w:spacing w:val="4"/>
          <w:sz w:val="28"/>
          <w:szCs w:val="28"/>
        </w:rPr>
        <w:t>kiểm tra, thử nghiệm</w:t>
      </w:r>
      <w:r w:rsidRPr="0024437E">
        <w:rPr>
          <w:bCs/>
          <w:spacing w:val="4"/>
          <w:sz w:val="28"/>
          <w:szCs w:val="28"/>
          <w:lang w:val="vi-VN"/>
        </w:rPr>
        <w:t xml:space="preserve"> hàng hóa sẽ là cơ sở để đánh giá chất lượng và nghiệm thu hàng hóa. Chi phí nghiệm thu do nhà thầu chịu.</w:t>
      </w:r>
    </w:p>
    <w:p w14:paraId="558457D8" w14:textId="77777777" w:rsidR="0024437E" w:rsidRPr="0024437E" w:rsidRDefault="0024437E" w:rsidP="0024437E">
      <w:pPr>
        <w:spacing w:before="120" w:after="120" w:line="320" w:lineRule="atLeast"/>
        <w:ind w:firstLine="709"/>
        <w:rPr>
          <w:sz w:val="28"/>
        </w:rPr>
      </w:pPr>
      <w:r w:rsidRPr="0024437E">
        <w:rPr>
          <w:sz w:val="28"/>
          <w:szCs w:val="28"/>
          <w:lang w:val="it-IT"/>
        </w:rPr>
        <w:t>- Nếu hàng hóa phù hợp với các điều kiện của Hợp đồng, các Bên sẽ ký “Biên bản nghiệm thu, bàn giao hàng hóa”, biên bản này là cơ sở để thanh toán Hợp đồng.</w:t>
      </w:r>
    </w:p>
    <w:p w14:paraId="512AE178" w14:textId="77777777" w:rsidR="0024437E" w:rsidRPr="0024437E" w:rsidRDefault="0024437E" w:rsidP="0024437E">
      <w:pPr>
        <w:pStyle w:val="Subtitle"/>
        <w:widowControl w:val="0"/>
        <w:spacing w:before="120" w:after="120" w:line="264" w:lineRule="auto"/>
        <w:outlineLvl w:val="0"/>
        <w:rPr>
          <w:rFonts w:ascii="Times New Roman" w:hAnsi="Times New Roman" w:cs="Times New Roman"/>
        </w:rPr>
      </w:pPr>
    </w:p>
    <w:p w14:paraId="450D6DC5" w14:textId="77777777" w:rsidR="00017980" w:rsidRPr="0024437E" w:rsidRDefault="00017980"/>
    <w:sectPr w:rsidR="00017980" w:rsidRPr="0024437E" w:rsidSect="008E374A">
      <w:pgSz w:w="11907" w:h="16840"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DA"/>
    <w:rsid w:val="00017980"/>
    <w:rsid w:val="0024437E"/>
    <w:rsid w:val="00360B69"/>
    <w:rsid w:val="003835DA"/>
    <w:rsid w:val="004A2F4A"/>
    <w:rsid w:val="008E374A"/>
    <w:rsid w:val="009E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E86CA-6BCA-491C-B3A6-31A27923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7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835D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35D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35D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35D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nhideWhenUsed/>
    <w:qFormat/>
    <w:rsid w:val="003835D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835D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835D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835D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835D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5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5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3835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35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35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35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35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35D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3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835D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835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35DA"/>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835DA"/>
    <w:rPr>
      <w:i/>
      <w:iCs/>
      <w:color w:val="404040" w:themeColor="text1" w:themeTint="BF"/>
    </w:rPr>
  </w:style>
  <w:style w:type="paragraph" w:styleId="ListParagraph">
    <w:name w:val="List Paragraph"/>
    <w:basedOn w:val="Normal"/>
    <w:uiPriority w:val="34"/>
    <w:qFormat/>
    <w:rsid w:val="003835DA"/>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3835DA"/>
    <w:rPr>
      <w:i/>
      <w:iCs/>
      <w:color w:val="0F4761" w:themeColor="accent1" w:themeShade="BF"/>
    </w:rPr>
  </w:style>
  <w:style w:type="paragraph" w:styleId="IntenseQuote">
    <w:name w:val="Intense Quote"/>
    <w:basedOn w:val="Normal"/>
    <w:next w:val="Normal"/>
    <w:link w:val="IntenseQuoteChar"/>
    <w:uiPriority w:val="30"/>
    <w:qFormat/>
    <w:rsid w:val="003835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835DA"/>
    <w:rPr>
      <w:i/>
      <w:iCs/>
      <w:color w:val="0F4761" w:themeColor="accent1" w:themeShade="BF"/>
    </w:rPr>
  </w:style>
  <w:style w:type="character" w:styleId="IntenseReference">
    <w:name w:val="Intense Reference"/>
    <w:basedOn w:val="DefaultParagraphFont"/>
    <w:uiPriority w:val="32"/>
    <w:qFormat/>
    <w:rsid w:val="003835DA"/>
    <w:rPr>
      <w:b/>
      <w:bCs/>
      <w:smallCaps/>
      <w:color w:val="0F4761" w:themeColor="accent1" w:themeShade="BF"/>
      <w:spacing w:val="5"/>
    </w:rPr>
  </w:style>
  <w:style w:type="paragraph" w:styleId="Header">
    <w:name w:val="header"/>
    <w:aliases w:val="Section VI"/>
    <w:basedOn w:val="Normal"/>
    <w:link w:val="HeaderChar"/>
    <w:uiPriority w:val="99"/>
    <w:rsid w:val="0024437E"/>
    <w:rPr>
      <w:sz w:val="20"/>
    </w:rPr>
  </w:style>
  <w:style w:type="character" w:customStyle="1" w:styleId="HeaderChar">
    <w:name w:val="Header Char"/>
    <w:aliases w:val="Section VI Char"/>
    <w:basedOn w:val="DefaultParagraphFont"/>
    <w:link w:val="Header"/>
    <w:uiPriority w:val="99"/>
    <w:rsid w:val="0024437E"/>
    <w:rPr>
      <w:rFonts w:eastAsia="Times New Roman" w:cs="Times New Roman"/>
      <w:kern w:val="0"/>
      <w:sz w:val="20"/>
      <w:szCs w:val="20"/>
      <w14:ligatures w14:val="none"/>
    </w:rPr>
  </w:style>
  <w:style w:type="paragraph" w:customStyle="1" w:styleId="SectionVIHeader">
    <w:name w:val="Section VI. Header"/>
    <w:basedOn w:val="Normal"/>
    <w:rsid w:val="0024437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2026-04-02T10:01:00Z</dcterms:created>
  <dcterms:modified xsi:type="dcterms:W3CDTF">2026-04-02T10:03:00Z</dcterms:modified>
</cp:coreProperties>
</file>