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7569"/>
        <w:gridCol w:w="1164"/>
      </w:tblGrid>
      <w:tr w:rsidR="00952754" w:rsidRPr="00952754" w14:paraId="2CE70B8C" w14:textId="77777777" w:rsidTr="0091111D">
        <w:trPr>
          <w:trHeight w:val="397"/>
          <w:tblHeader/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BC0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350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02061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</w:tr>
      <w:tr w:rsidR="00952754" w:rsidRPr="00952754" w14:paraId="70922DF3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6B2C4DD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  <w:lang w:val="es-ES"/>
              </w:rPr>
              <w:t>1</w:t>
            </w:r>
          </w:p>
        </w:tc>
        <w:tc>
          <w:tcPr>
            <w:tcW w:w="3985" w:type="pct"/>
            <w:vAlign w:val="center"/>
          </w:tcPr>
          <w:p w14:paraId="0337254F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  <w:t>Mức độ hiểu biết về tính chất và mục đích công việc</w:t>
            </w:r>
          </w:p>
        </w:tc>
        <w:tc>
          <w:tcPr>
            <w:tcW w:w="613" w:type="pct"/>
            <w:vAlign w:val="center"/>
          </w:tcPr>
          <w:p w14:paraId="759F0510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0B2CA1C8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62213BF6" w14:textId="364074D5" w:rsidR="00082423" w:rsidRPr="00952754" w:rsidRDefault="00082423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  <w:lang w:val="es-ES"/>
              </w:rPr>
              <w:t>1.1</w:t>
            </w:r>
          </w:p>
        </w:tc>
        <w:tc>
          <w:tcPr>
            <w:tcW w:w="3985" w:type="pct"/>
            <w:vAlign w:val="center"/>
          </w:tcPr>
          <w:p w14:paraId="30063BF0" w14:textId="2B1FC648" w:rsidR="00082423" w:rsidRPr="00952754" w:rsidRDefault="00082423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Hiểu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rõ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nội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điều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triển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khai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trên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địa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nhiệm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phải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613" w:type="pct"/>
            <w:vMerge w:val="restart"/>
            <w:vAlign w:val="center"/>
          </w:tcPr>
          <w:p w14:paraId="7A362B6B" w14:textId="702C6538" w:rsidR="00082423" w:rsidRPr="00952754" w:rsidRDefault="00082423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06214B60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62535160" w14:textId="50C871D2" w:rsidR="00082423" w:rsidRPr="00952754" w:rsidRDefault="00082423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  <w:lang w:val="es-ES"/>
              </w:rPr>
              <w:t>1.2</w:t>
            </w:r>
          </w:p>
        </w:tc>
        <w:tc>
          <w:tcPr>
            <w:tcW w:w="3985" w:type="pct"/>
            <w:vAlign w:val="center"/>
          </w:tcPr>
          <w:p w14:paraId="3165C750" w14:textId="60049C87" w:rsidR="00082423" w:rsidRPr="00952754" w:rsidRDefault="00082423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Mô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tả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chi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tiết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giai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đoạn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chính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việc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bảng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phạm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vi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cấp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gồm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sản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xuất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lắp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đặt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tháo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dỡ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Nội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phải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tính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việc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bảng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phạm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vi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cấp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tính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613" w:type="pct"/>
            <w:vMerge/>
            <w:vAlign w:val="center"/>
          </w:tcPr>
          <w:p w14:paraId="289C1012" w14:textId="77777777" w:rsidR="00082423" w:rsidRPr="00952754" w:rsidRDefault="00082423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0EBE7E1D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DDDA385" w14:textId="77736000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3985" w:type="pct"/>
            <w:vAlign w:val="center"/>
          </w:tcPr>
          <w:p w14:paraId="7AD6ECDF" w14:textId="5F20EE24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082423"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1 </w:t>
            </w:r>
            <w:proofErr w:type="spellStart"/>
            <w:r w:rsidR="00082423" w:rsidRPr="00952754">
              <w:rPr>
                <w:color w:val="000000" w:themeColor="text1"/>
                <w:sz w:val="26"/>
                <w:szCs w:val="26"/>
                <w:lang w:val="es-ES"/>
              </w:rPr>
              <w:t>trong</w:t>
            </w:r>
            <w:proofErr w:type="spellEnd"/>
            <w:r w:rsidR="00082423"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082423"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="00082423"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082423" w:rsidRPr="00952754">
              <w:rPr>
                <w:color w:val="000000" w:themeColor="text1"/>
                <w:sz w:val="26"/>
                <w:szCs w:val="26"/>
                <w:lang w:val="es-ES"/>
              </w:rPr>
              <w:t>1.1; 1.2</w:t>
            </w:r>
          </w:p>
        </w:tc>
        <w:tc>
          <w:tcPr>
            <w:tcW w:w="613" w:type="pct"/>
            <w:vAlign w:val="center"/>
          </w:tcPr>
          <w:p w14:paraId="224A12C3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0764FC35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CF8C5A6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  <w:lang w:val="es-ES"/>
              </w:rPr>
              <w:t>2</w:t>
            </w:r>
          </w:p>
        </w:tc>
        <w:tc>
          <w:tcPr>
            <w:tcW w:w="3985" w:type="pct"/>
            <w:vAlign w:val="center"/>
          </w:tcPr>
          <w:p w14:paraId="2EC3441A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  <w:t>Tính hợp lý và khả thi của kế hoạch, các giải pháp kỹ thuật, biện pháp tổ chức cung cấp dịch vụ</w:t>
            </w:r>
          </w:p>
        </w:tc>
        <w:tc>
          <w:tcPr>
            <w:tcW w:w="613" w:type="pct"/>
            <w:vAlign w:val="center"/>
          </w:tcPr>
          <w:p w14:paraId="14186846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404ED2B6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260672FD" w14:textId="1245512B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  <w:lang w:val="es-ES"/>
              </w:rPr>
              <w:t>2.1</w:t>
            </w:r>
          </w:p>
        </w:tc>
        <w:tc>
          <w:tcPr>
            <w:tcW w:w="3985" w:type="pct"/>
            <w:vAlign w:val="center"/>
          </w:tcPr>
          <w:p w14:paraId="60762030" w14:textId="1EA22C6C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Sơ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đồ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thuyết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minh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hệ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thống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tổ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chức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bố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trí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để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dịch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613" w:type="pct"/>
            <w:vMerge w:val="restart"/>
            <w:vAlign w:val="center"/>
          </w:tcPr>
          <w:p w14:paraId="2EBDBED6" w14:textId="1D5FC7CE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573CAD4F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2E3FE051" w14:textId="0A73BD48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  <w:lang w:val="es-ES"/>
              </w:rPr>
              <w:t>2.2</w:t>
            </w:r>
          </w:p>
        </w:tc>
        <w:tc>
          <w:tcPr>
            <w:tcW w:w="3985" w:type="pct"/>
            <w:vAlign w:val="center"/>
          </w:tcPr>
          <w:p w14:paraId="638D5A7E" w14:textId="5B3C1926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Kế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hoạch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tổ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chức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dịch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thuật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tiến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độ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xuất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thuật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E-HSMT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tương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thiết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kế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613" w:type="pct"/>
            <w:vMerge/>
            <w:vAlign w:val="center"/>
          </w:tcPr>
          <w:p w14:paraId="40D57029" w14:textId="77777777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2589D7F3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70657FBF" w14:textId="437320E2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  <w:lang w:val="es-ES"/>
              </w:rPr>
              <w:t>2.3</w:t>
            </w:r>
          </w:p>
        </w:tc>
        <w:tc>
          <w:tcPr>
            <w:tcW w:w="3985" w:type="pct"/>
            <w:vAlign w:val="center"/>
          </w:tcPr>
          <w:p w14:paraId="00E2AA2B" w14:textId="2249516D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Đối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tư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liệu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sắt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Đèn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chiếu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sáng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aptomat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đồng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nguyên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tắc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đơn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vị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cấp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liệu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kèm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giấy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DKKD).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Đồng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thời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phải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cam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cấp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tư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liệu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thiết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bị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đảm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bảo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lượng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được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chủ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tư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chấp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thuận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613" w:type="pct"/>
            <w:vMerge/>
            <w:vAlign w:val="center"/>
          </w:tcPr>
          <w:p w14:paraId="12A6D6C4" w14:textId="77777777" w:rsidR="001612B4" w:rsidRPr="00952754" w:rsidRDefault="001612B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644B292B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F0052F3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3985" w:type="pct"/>
            <w:vAlign w:val="center"/>
          </w:tcPr>
          <w:p w14:paraId="1A7ADDA4" w14:textId="723E7D58" w:rsidR="001F7709" w:rsidRPr="00952754" w:rsidRDefault="00CB1142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1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2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.1;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2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.2</w:t>
            </w:r>
            <w:r w:rsidR="001612B4" w:rsidRPr="00952754">
              <w:rPr>
                <w:color w:val="000000" w:themeColor="text1"/>
                <w:sz w:val="26"/>
                <w:szCs w:val="26"/>
                <w:lang w:val="es-ES"/>
              </w:rPr>
              <w:t>; 2.3</w:t>
            </w:r>
          </w:p>
        </w:tc>
        <w:tc>
          <w:tcPr>
            <w:tcW w:w="613" w:type="pct"/>
            <w:vAlign w:val="center"/>
          </w:tcPr>
          <w:p w14:paraId="76959A3E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2AFFD135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18733826" w14:textId="3309BA31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3</w:t>
            </w:r>
          </w:p>
        </w:tc>
        <w:tc>
          <w:tcPr>
            <w:tcW w:w="3985" w:type="pct"/>
            <w:vAlign w:val="center"/>
          </w:tcPr>
          <w:p w14:paraId="173DC7B3" w14:textId="0AE3AD4C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Giải</w:t>
            </w:r>
            <w:proofErr w:type="spellEnd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pháp</w:t>
            </w:r>
            <w:proofErr w:type="spellEnd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phương</w:t>
            </w:r>
            <w:proofErr w:type="spellEnd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pháp</w:t>
            </w:r>
            <w:proofErr w:type="spellEnd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  <w:t>luận</w:t>
            </w:r>
            <w:proofErr w:type="spellEnd"/>
          </w:p>
        </w:tc>
        <w:tc>
          <w:tcPr>
            <w:tcW w:w="613" w:type="pct"/>
            <w:vAlign w:val="center"/>
          </w:tcPr>
          <w:p w14:paraId="3822D2DA" w14:textId="77777777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3E310564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B0AC09A" w14:textId="60DD951B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3.1</w:t>
            </w:r>
          </w:p>
        </w:tc>
        <w:tc>
          <w:tcPr>
            <w:tcW w:w="3985" w:type="pct"/>
            <w:vAlign w:val="center"/>
          </w:tcPr>
          <w:p w14:paraId="368B89AB" w14:textId="78823482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xuất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giải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phương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luận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tổng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quát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dịch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E-HSMT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chủ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tư</w:t>
            </w:r>
            <w:proofErr w:type="spellEnd"/>
          </w:p>
        </w:tc>
        <w:tc>
          <w:tcPr>
            <w:tcW w:w="613" w:type="pct"/>
            <w:vAlign w:val="center"/>
          </w:tcPr>
          <w:p w14:paraId="222D4807" w14:textId="5A2E81A2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51AE620A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508664C" w14:textId="77777777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bCs/>
                <w:color w:val="000000" w:themeColor="text1"/>
                <w:sz w:val="26"/>
                <w:szCs w:val="26"/>
                <w:lang w:val="es-ES"/>
              </w:rPr>
            </w:pPr>
          </w:p>
        </w:tc>
        <w:tc>
          <w:tcPr>
            <w:tcW w:w="3985" w:type="pct"/>
            <w:vAlign w:val="center"/>
          </w:tcPr>
          <w:p w14:paraId="1E494ADA" w14:textId="08064E45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xuất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1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nội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dung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dịch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đúng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tại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giải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phương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luận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tổng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quát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</w:t>
            </w:r>
          </w:p>
        </w:tc>
        <w:tc>
          <w:tcPr>
            <w:tcW w:w="613" w:type="pct"/>
            <w:vAlign w:val="center"/>
          </w:tcPr>
          <w:p w14:paraId="7CC94D7B" w14:textId="45BBFF5E" w:rsidR="00343A4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700CC5A5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2773F26" w14:textId="3F42D04F" w:rsidR="001F7709" w:rsidRPr="00952754" w:rsidRDefault="00343A4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85" w:type="pct"/>
            <w:vAlign w:val="center"/>
          </w:tcPr>
          <w:p w14:paraId="23BE5731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13" w:type="pct"/>
            <w:vAlign w:val="center"/>
          </w:tcPr>
          <w:p w14:paraId="5823CA17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2754" w:rsidRPr="00952754" w14:paraId="34D88E7E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9D4DAF5" w14:textId="6659F8C8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3985" w:type="pct"/>
            <w:vAlign w:val="center"/>
          </w:tcPr>
          <w:p w14:paraId="45E0B103" w14:textId="28961100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giai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E-HSMT.</w:t>
            </w:r>
          </w:p>
        </w:tc>
        <w:tc>
          <w:tcPr>
            <w:tcW w:w="613" w:type="pct"/>
            <w:vMerge w:val="restart"/>
            <w:vAlign w:val="center"/>
          </w:tcPr>
          <w:p w14:paraId="57F388EB" w14:textId="268F879D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2754" w:rsidRPr="00952754" w14:paraId="0D6AC692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A05CA87" w14:textId="2B1C1C2F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4.2</w:t>
            </w:r>
          </w:p>
        </w:tc>
        <w:tc>
          <w:tcPr>
            <w:tcW w:w="3985" w:type="pct"/>
            <w:vAlign w:val="center"/>
          </w:tcPr>
          <w:p w14:paraId="1B375731" w14:textId="0C914844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trong vòng </w:t>
            </w:r>
            <w:r w:rsidR="002F7184" w:rsidRPr="00952754">
              <w:rPr>
                <w:bCs/>
                <w:color w:val="000000" w:themeColor="text1"/>
                <w:sz w:val="26"/>
                <w:szCs w:val="26"/>
              </w:rPr>
              <w:t>10</w:t>
            </w:r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kể từ ngày hợp đồng có hiệu lực (Kể cả ngày nghỉ lễ, thứ bảy và chủ nhật). </w:t>
            </w:r>
            <w:r w:rsidR="00E01EBD"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Thời gian thi công hoàn thành trang trí cảnh quan trước ngày </w:t>
            </w:r>
            <w:r w:rsidR="002F7184"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t>17</w:t>
            </w:r>
            <w:r w:rsidR="00E01EBD"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/4/2026 (tức ngày </w:t>
            </w:r>
            <w:r w:rsidR="002F7184"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t>1/3</w:t>
            </w:r>
            <w:r w:rsidR="00E01EBD" w:rsidRPr="00952754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AL).</w:t>
            </w:r>
          </w:p>
        </w:tc>
        <w:tc>
          <w:tcPr>
            <w:tcW w:w="613" w:type="pct"/>
            <w:vMerge/>
            <w:vAlign w:val="center"/>
          </w:tcPr>
          <w:p w14:paraId="3518A47B" w14:textId="77777777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952754" w:rsidRPr="00952754" w14:paraId="7FF588AD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1B188EA6" w14:textId="024BBCBA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4.3</w:t>
            </w:r>
          </w:p>
        </w:tc>
        <w:tc>
          <w:tcPr>
            <w:tcW w:w="3985" w:type="pct"/>
            <w:vAlign w:val="center"/>
          </w:tcPr>
          <w:p w14:paraId="182537A5" w14:textId="1F966BED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52754">
              <w:rPr>
                <w:color w:val="000000" w:themeColor="text1"/>
                <w:sz w:val="26"/>
                <w:szCs w:val="26"/>
              </w:rPr>
              <w:t xml:space="preserve">cam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4.2,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III</w:t>
            </w:r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Nếu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quá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E-HSMT,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chịu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trách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738CE" w:rsidRPr="00952754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  <w:r w:rsidR="00A738CE" w:rsidRPr="0095275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13" w:type="pct"/>
            <w:vMerge/>
            <w:vAlign w:val="center"/>
          </w:tcPr>
          <w:p w14:paraId="66D47767" w14:textId="77777777" w:rsidR="008032B1" w:rsidRPr="00952754" w:rsidRDefault="008032B1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952754" w:rsidRPr="00952754" w14:paraId="62FC46A1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221F46A0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985" w:type="pct"/>
            <w:vAlign w:val="center"/>
          </w:tcPr>
          <w:p w14:paraId="24E535C1" w14:textId="406DB840" w:rsidR="001F7709" w:rsidRPr="00952754" w:rsidRDefault="00CB1142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1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4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.1;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4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.2</w:t>
            </w:r>
            <w:r w:rsidR="008032B1" w:rsidRPr="00952754">
              <w:rPr>
                <w:color w:val="000000" w:themeColor="text1"/>
                <w:sz w:val="26"/>
                <w:szCs w:val="26"/>
                <w:lang w:val="es-ES"/>
              </w:rPr>
              <w:t>; 4.3</w:t>
            </w:r>
          </w:p>
        </w:tc>
        <w:tc>
          <w:tcPr>
            <w:tcW w:w="613" w:type="pct"/>
            <w:vAlign w:val="center"/>
          </w:tcPr>
          <w:p w14:paraId="084BE77C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46EBE731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32E6C61" w14:textId="5E092BD7" w:rsidR="001F7709" w:rsidRPr="00952754" w:rsidRDefault="0052375C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985" w:type="pct"/>
            <w:vAlign w:val="center"/>
          </w:tcPr>
          <w:p w14:paraId="27006935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613" w:type="pct"/>
            <w:vAlign w:val="center"/>
          </w:tcPr>
          <w:p w14:paraId="55D0D0ED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52754" w:rsidRPr="00952754" w14:paraId="5001DD7B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2A0355FB" w14:textId="5CB9E68C" w:rsidR="004372F4" w:rsidRPr="00952754" w:rsidRDefault="004372F4" w:rsidP="00A9686C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3985" w:type="pct"/>
            <w:vAlign w:val="center"/>
          </w:tcPr>
          <w:p w14:paraId="5D0640CB" w14:textId="41CD442C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Có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sơ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đồ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và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thuyết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minh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hệ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thống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quản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lý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chất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lượng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phù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hợp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với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gói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pacing w:val="-8"/>
                <w:sz w:val="26"/>
                <w:szCs w:val="26"/>
              </w:rPr>
              <w:t>.</w:t>
            </w:r>
          </w:p>
        </w:tc>
        <w:tc>
          <w:tcPr>
            <w:tcW w:w="613" w:type="pct"/>
            <w:vMerge w:val="restart"/>
            <w:vAlign w:val="center"/>
          </w:tcPr>
          <w:p w14:paraId="53F097F1" w14:textId="6B52644E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2754" w:rsidRPr="00952754" w14:paraId="1BB41BC0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60F6B0D2" w14:textId="23DDF0FE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5.2</w:t>
            </w:r>
          </w:p>
        </w:tc>
        <w:tc>
          <w:tcPr>
            <w:tcW w:w="3985" w:type="pct"/>
            <w:vAlign w:val="center"/>
          </w:tcPr>
          <w:p w14:paraId="72EA43A0" w14:textId="6D6D2695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13" w:type="pct"/>
            <w:vMerge/>
            <w:vAlign w:val="center"/>
          </w:tcPr>
          <w:p w14:paraId="20313B13" w14:textId="77777777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52754" w:rsidRPr="00952754" w14:paraId="0E3A8A26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C73FF4C" w14:textId="1C733698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5.3</w:t>
            </w:r>
          </w:p>
        </w:tc>
        <w:tc>
          <w:tcPr>
            <w:tcW w:w="3985" w:type="pct"/>
            <w:vAlign w:val="center"/>
          </w:tcPr>
          <w:p w14:paraId="5915D163" w14:textId="43D70873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an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chống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cháy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nổ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luật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13" w:type="pct"/>
            <w:vMerge/>
            <w:vAlign w:val="center"/>
          </w:tcPr>
          <w:p w14:paraId="350EA772" w14:textId="77777777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52754" w:rsidRPr="00952754" w14:paraId="458F0869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146A6BD3" w14:textId="0FB78AB5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5.4</w:t>
            </w:r>
          </w:p>
        </w:tc>
        <w:tc>
          <w:tcPr>
            <w:tcW w:w="3985" w:type="pct"/>
            <w:vAlign w:val="center"/>
          </w:tcPr>
          <w:p w14:paraId="51B73420" w14:textId="692E904D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dọn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dẹp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di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dời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sạch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sẽ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môi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613" w:type="pct"/>
            <w:vMerge/>
            <w:vAlign w:val="center"/>
          </w:tcPr>
          <w:p w14:paraId="7C578B7C" w14:textId="77777777" w:rsidR="004372F4" w:rsidRPr="00952754" w:rsidRDefault="004372F4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952754" w:rsidRPr="00952754" w14:paraId="780777AA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7E34F716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85" w:type="pct"/>
            <w:vAlign w:val="center"/>
          </w:tcPr>
          <w:p w14:paraId="50F7FE6D" w14:textId="0FBE44DA" w:rsidR="001F7709" w:rsidRPr="00952754" w:rsidRDefault="00A9686C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đáp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ứng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bất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1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5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.1;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5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.2; </w:t>
            </w:r>
            <w:r w:rsidR="00166288" w:rsidRPr="00952754">
              <w:rPr>
                <w:color w:val="000000" w:themeColor="text1"/>
                <w:sz w:val="26"/>
                <w:szCs w:val="26"/>
                <w:lang w:val="es-ES"/>
              </w:rPr>
              <w:t>5</w:t>
            </w:r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.3</w:t>
            </w:r>
            <w:r w:rsidR="004372F4" w:rsidRPr="00952754">
              <w:rPr>
                <w:color w:val="000000" w:themeColor="text1"/>
                <w:sz w:val="26"/>
                <w:szCs w:val="26"/>
                <w:lang w:val="es-ES"/>
              </w:rPr>
              <w:t>; 5.4</w:t>
            </w:r>
          </w:p>
        </w:tc>
        <w:tc>
          <w:tcPr>
            <w:tcW w:w="613" w:type="pct"/>
            <w:vAlign w:val="center"/>
          </w:tcPr>
          <w:p w14:paraId="54E88A1E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6D7579C2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51869BA2" w14:textId="69EA7CCD" w:rsidR="001F7709" w:rsidRPr="00952754" w:rsidRDefault="0052375C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85" w:type="pct"/>
            <w:vAlign w:val="center"/>
          </w:tcPr>
          <w:p w14:paraId="340D7ED4" w14:textId="704C94C9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  <w:r w:rsidR="00F43D7A" w:rsidRPr="00952754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b/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F43D7A"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/>
                <w:color w:val="000000" w:themeColor="text1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613" w:type="pct"/>
            <w:vAlign w:val="center"/>
          </w:tcPr>
          <w:p w14:paraId="04C750DA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2DC2EC00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A7FBE6D" w14:textId="3E511CF0" w:rsidR="00A9686C" w:rsidRPr="00952754" w:rsidRDefault="0052375C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52754">
              <w:rPr>
                <w:bCs/>
                <w:color w:val="000000" w:themeColor="text1"/>
                <w:sz w:val="26"/>
                <w:szCs w:val="26"/>
              </w:rPr>
              <w:t>6</w:t>
            </w:r>
            <w:r w:rsidR="00A9686C" w:rsidRPr="00952754">
              <w:rPr>
                <w:bCs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985" w:type="pct"/>
            <w:vAlign w:val="center"/>
          </w:tcPr>
          <w:p w14:paraId="51B933F0" w14:textId="11E0587C" w:rsidR="00A9686C" w:rsidRPr="00952754" w:rsidRDefault="00A9686C" w:rsidP="004B50F3">
            <w:pPr>
              <w:widowControl w:val="0"/>
              <w:spacing w:before="100" w:after="100" w:line="259" w:lineRule="auto"/>
              <w:ind w:left="57" w:right="57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4529A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29AA" w:rsidRPr="00952754">
              <w:rPr>
                <w:b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="004529AA" w:rsidRPr="00952754">
              <w:rPr>
                <w:bCs/>
                <w:color w:val="000000" w:themeColor="text1"/>
                <w:sz w:val="26"/>
                <w:szCs w:val="26"/>
              </w:rPr>
              <w:t xml:space="preserve"> V,</w:t>
            </w:r>
            <w:r w:rsidRPr="00952754">
              <w:rPr>
                <w:bCs/>
                <w:color w:val="000000" w:themeColor="text1"/>
                <w:sz w:val="26"/>
                <w:szCs w:val="26"/>
              </w:rPr>
              <w:t xml:space="preserve"> E-HSMT</w:t>
            </w:r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minh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quy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biện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pháp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sự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>trì</w:t>
            </w:r>
            <w:proofErr w:type="spellEnd"/>
            <w:r w:rsidR="00F43D7A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14AF7" w:rsidRPr="00952754">
              <w:rPr>
                <w:bCs/>
                <w:color w:val="000000" w:themeColor="text1"/>
                <w:sz w:val="26"/>
                <w:szCs w:val="26"/>
              </w:rPr>
              <w:t>trí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ra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Lễ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467685" w:rsidRPr="00952754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13" w:type="pct"/>
            <w:vAlign w:val="center"/>
          </w:tcPr>
          <w:p w14:paraId="490A5DF2" w14:textId="214AD469" w:rsidR="00A9686C" w:rsidRPr="00952754" w:rsidRDefault="00A9686C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952754" w:rsidRPr="00952754" w14:paraId="39C10EDE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0AD35CA5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85" w:type="pct"/>
            <w:vAlign w:val="center"/>
          </w:tcPr>
          <w:p w14:paraId="6995D3F2" w14:textId="545C0218" w:rsidR="001F7709" w:rsidRPr="00952754" w:rsidRDefault="00166288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minh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nhưng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="00F43D7A"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F43D7A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="00F43D7A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="00F43D7A"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43D7A" w:rsidRPr="00952754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F43D7A"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43D7A" w:rsidRPr="00952754">
              <w:rPr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này</w:t>
            </w:r>
            <w:proofErr w:type="spellEnd"/>
          </w:p>
        </w:tc>
        <w:tc>
          <w:tcPr>
            <w:tcW w:w="613" w:type="pct"/>
            <w:vAlign w:val="center"/>
          </w:tcPr>
          <w:p w14:paraId="33F0D8FC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5BC8686B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E6433E3" w14:textId="18AB5BEE" w:rsidR="001F7709" w:rsidRPr="00952754" w:rsidRDefault="0052375C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985" w:type="pct"/>
            <w:vAlign w:val="center"/>
          </w:tcPr>
          <w:p w14:paraId="2527721E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b/>
                <w:color w:val="000000" w:themeColor="text1"/>
                <w:sz w:val="26"/>
                <w:szCs w:val="26"/>
              </w:rPr>
            </w:pPr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Uy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tín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613" w:type="pct"/>
            <w:vAlign w:val="center"/>
          </w:tcPr>
          <w:p w14:paraId="7551BCE4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</w:p>
        </w:tc>
      </w:tr>
      <w:tr w:rsidR="00952754" w:rsidRPr="00952754" w14:paraId="4F5DA746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325AB8CC" w14:textId="714C8DB5" w:rsidR="001F7709" w:rsidRPr="00952754" w:rsidRDefault="0052375C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952754">
              <w:rPr>
                <w:color w:val="000000" w:themeColor="text1"/>
                <w:sz w:val="26"/>
                <w:szCs w:val="26"/>
              </w:rPr>
              <w:t>7</w:t>
            </w:r>
            <w:r w:rsidR="004741B8" w:rsidRPr="00952754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985" w:type="pct"/>
            <w:vAlign w:val="center"/>
          </w:tcPr>
          <w:p w14:paraId="5D704179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2022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a, b, c, d, đ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20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214/2025/NĐ-CP.</w:t>
            </w:r>
          </w:p>
        </w:tc>
        <w:tc>
          <w:tcPr>
            <w:tcW w:w="613" w:type="pct"/>
            <w:vAlign w:val="center"/>
          </w:tcPr>
          <w:p w14:paraId="368CB738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169155F5" w14:textId="77777777" w:rsidTr="0091111D">
        <w:trPr>
          <w:trHeight w:val="397"/>
          <w:jc w:val="center"/>
        </w:trPr>
        <w:tc>
          <w:tcPr>
            <w:tcW w:w="402" w:type="pct"/>
            <w:vAlign w:val="center"/>
          </w:tcPr>
          <w:p w14:paraId="56E710A7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85" w:type="pct"/>
            <w:vAlign w:val="center"/>
          </w:tcPr>
          <w:p w14:paraId="7976C9E8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2022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vi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a, b, c, d, đ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20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lastRenderedPageBreak/>
              <w:t>định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</w:rPr>
              <w:t xml:space="preserve"> 214/2025/NĐ-CP.</w:t>
            </w:r>
          </w:p>
        </w:tc>
        <w:tc>
          <w:tcPr>
            <w:tcW w:w="613" w:type="pct"/>
            <w:vAlign w:val="center"/>
          </w:tcPr>
          <w:p w14:paraId="5D2CB10E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lastRenderedPageBreak/>
              <w:t>Không</w:t>
            </w:r>
            <w:proofErr w:type="spellEnd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952754">
              <w:rPr>
                <w:color w:val="000000" w:themeColor="text1"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952754" w:rsidRPr="00952754" w14:paraId="467930AC" w14:textId="77777777" w:rsidTr="0091111D">
        <w:trPr>
          <w:trHeight w:val="397"/>
          <w:jc w:val="center"/>
        </w:trPr>
        <w:tc>
          <w:tcPr>
            <w:tcW w:w="402" w:type="pct"/>
            <w:vMerge w:val="restart"/>
            <w:vAlign w:val="center"/>
          </w:tcPr>
          <w:p w14:paraId="609B52BF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52754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3985" w:type="pct"/>
            <w:vAlign w:val="center"/>
          </w:tcPr>
          <w:p w14:paraId="41C252D0" w14:textId="77DF650F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1, 2, 3, 4, 5, 6</w:t>
            </w:r>
            <w:r w:rsidR="00912FD7" w:rsidRPr="00952754">
              <w:rPr>
                <w:b/>
                <w:color w:val="000000" w:themeColor="text1"/>
                <w:sz w:val="26"/>
                <w:szCs w:val="26"/>
              </w:rPr>
              <w:t>, 7</w:t>
            </w:r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đều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13" w:type="pct"/>
            <w:vAlign w:val="center"/>
          </w:tcPr>
          <w:p w14:paraId="56EFBED7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rFonts w:eastAsia="Batang"/>
                <w:b/>
                <w:color w:val="000000" w:themeColor="text1"/>
                <w:sz w:val="26"/>
                <w:szCs w:val="26"/>
                <w:lang w:eastAsia="ko-KR"/>
              </w:rPr>
              <w:t>Đạt</w:t>
            </w:r>
            <w:proofErr w:type="spellEnd"/>
          </w:p>
        </w:tc>
      </w:tr>
      <w:tr w:rsidR="001F7709" w:rsidRPr="00952754" w14:paraId="1468D90A" w14:textId="77777777" w:rsidTr="0091111D">
        <w:trPr>
          <w:trHeight w:val="397"/>
          <w:jc w:val="center"/>
        </w:trPr>
        <w:tc>
          <w:tcPr>
            <w:tcW w:w="402" w:type="pct"/>
            <w:vMerge/>
            <w:vAlign w:val="center"/>
          </w:tcPr>
          <w:p w14:paraId="324D05E9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85" w:type="pct"/>
            <w:vAlign w:val="center"/>
          </w:tcPr>
          <w:p w14:paraId="4FE883CD" w14:textId="2185C540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Bất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1, 2, 3, 4, 5, 6</w:t>
            </w:r>
            <w:r w:rsidR="00912FD7" w:rsidRPr="00952754">
              <w:rPr>
                <w:b/>
                <w:color w:val="000000" w:themeColor="text1"/>
                <w:sz w:val="26"/>
                <w:szCs w:val="26"/>
              </w:rPr>
              <w:t>, 7</w:t>
            </w:r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52754">
              <w:rPr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952754">
              <w:rPr>
                <w:b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13" w:type="pct"/>
            <w:vAlign w:val="center"/>
          </w:tcPr>
          <w:p w14:paraId="2615263E" w14:textId="77777777" w:rsidR="001F7709" w:rsidRPr="00952754" w:rsidRDefault="001F7709" w:rsidP="004B50F3">
            <w:pPr>
              <w:widowControl w:val="0"/>
              <w:spacing w:before="100" w:after="100" w:line="259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proofErr w:type="spellStart"/>
            <w:r w:rsidRPr="00952754">
              <w:rPr>
                <w:rFonts w:eastAsia="Batang"/>
                <w:b/>
                <w:color w:val="000000" w:themeColor="text1"/>
                <w:sz w:val="26"/>
                <w:szCs w:val="26"/>
                <w:lang w:eastAsia="ko-KR"/>
              </w:rPr>
              <w:t>Không</w:t>
            </w:r>
            <w:proofErr w:type="spellEnd"/>
            <w:r w:rsidRPr="00952754">
              <w:rPr>
                <w:rFonts w:eastAsia="Batang"/>
                <w:b/>
                <w:color w:val="000000" w:themeColor="text1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952754">
              <w:rPr>
                <w:rFonts w:eastAsia="Batang"/>
                <w:b/>
                <w:color w:val="000000" w:themeColor="text1"/>
                <w:sz w:val="26"/>
                <w:szCs w:val="26"/>
                <w:lang w:eastAsia="ko-KR"/>
              </w:rPr>
              <w:t>đạt</w:t>
            </w:r>
            <w:proofErr w:type="spellEnd"/>
          </w:p>
        </w:tc>
      </w:tr>
    </w:tbl>
    <w:p w14:paraId="3A4F8E1A" w14:textId="77777777" w:rsidR="00265BED" w:rsidRPr="00952754" w:rsidRDefault="00265BED">
      <w:pPr>
        <w:rPr>
          <w:color w:val="000000" w:themeColor="text1"/>
        </w:rPr>
      </w:pPr>
    </w:p>
    <w:sectPr w:rsidR="00265BED" w:rsidRPr="00952754" w:rsidSect="0095477D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09"/>
    <w:rsid w:val="00082423"/>
    <w:rsid w:val="0008330F"/>
    <w:rsid w:val="00091E9E"/>
    <w:rsid w:val="00097B9F"/>
    <w:rsid w:val="00147D4F"/>
    <w:rsid w:val="001612B4"/>
    <w:rsid w:val="00166288"/>
    <w:rsid w:val="001A5F5A"/>
    <w:rsid w:val="001D3F00"/>
    <w:rsid w:val="001F7709"/>
    <w:rsid w:val="00265BED"/>
    <w:rsid w:val="002C2D8B"/>
    <w:rsid w:val="002D6898"/>
    <w:rsid w:val="002F7184"/>
    <w:rsid w:val="00343A49"/>
    <w:rsid w:val="003E007A"/>
    <w:rsid w:val="004069AF"/>
    <w:rsid w:val="004372F4"/>
    <w:rsid w:val="00451B5C"/>
    <w:rsid w:val="004529AA"/>
    <w:rsid w:val="00467685"/>
    <w:rsid w:val="004741B8"/>
    <w:rsid w:val="004C0E57"/>
    <w:rsid w:val="004D3440"/>
    <w:rsid w:val="00501DA2"/>
    <w:rsid w:val="00517B87"/>
    <w:rsid w:val="0052375C"/>
    <w:rsid w:val="00641DF3"/>
    <w:rsid w:val="006E5543"/>
    <w:rsid w:val="00757D84"/>
    <w:rsid w:val="007E6635"/>
    <w:rsid w:val="008032B1"/>
    <w:rsid w:val="00810391"/>
    <w:rsid w:val="008D4B74"/>
    <w:rsid w:val="0091111D"/>
    <w:rsid w:val="00912FD7"/>
    <w:rsid w:val="00952754"/>
    <w:rsid w:val="0095477D"/>
    <w:rsid w:val="00991916"/>
    <w:rsid w:val="009E5ADF"/>
    <w:rsid w:val="009F1217"/>
    <w:rsid w:val="00A57210"/>
    <w:rsid w:val="00A738CE"/>
    <w:rsid w:val="00A80093"/>
    <w:rsid w:val="00A9686C"/>
    <w:rsid w:val="00AA1ED3"/>
    <w:rsid w:val="00AB36E7"/>
    <w:rsid w:val="00B03B34"/>
    <w:rsid w:val="00B14AF7"/>
    <w:rsid w:val="00B25226"/>
    <w:rsid w:val="00C06147"/>
    <w:rsid w:val="00C11A90"/>
    <w:rsid w:val="00C27C74"/>
    <w:rsid w:val="00C7201D"/>
    <w:rsid w:val="00CB0E04"/>
    <w:rsid w:val="00CB1142"/>
    <w:rsid w:val="00DA6A78"/>
    <w:rsid w:val="00E01EBD"/>
    <w:rsid w:val="00F220F1"/>
    <w:rsid w:val="00F36D1E"/>
    <w:rsid w:val="00F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F2144"/>
  <w15:chartTrackingRefBased/>
  <w15:docId w15:val="{EB490E89-963C-48E1-BAAA-50EE78CF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09"/>
    <w:pPr>
      <w:spacing w:after="0" w:line="240" w:lineRule="auto"/>
      <w:jc w:val="both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7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7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70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70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70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70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70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70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70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7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7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7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7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7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7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7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70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70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7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709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709"/>
    <w:pPr>
      <w:spacing w:after="160" w:line="278" w:lineRule="auto"/>
      <w:ind w:left="720"/>
      <w:contextualSpacing/>
      <w:jc w:val="left"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64</cp:revision>
  <dcterms:created xsi:type="dcterms:W3CDTF">2026-02-11T07:41:00Z</dcterms:created>
  <dcterms:modified xsi:type="dcterms:W3CDTF">2026-03-28T06:11:00Z</dcterms:modified>
</cp:coreProperties>
</file>