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8D49A8">
      <w:pPr>
        <w:spacing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8D49A8">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8D49A8">
      <w:pPr>
        <w:spacing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5B0856F3" w:rsidR="00821F46" w:rsidRPr="00EB2544" w:rsidRDefault="00AF5A97" w:rsidP="008D49A8">
      <w:pPr>
        <w:spacing w:line="288" w:lineRule="auto"/>
        <w:ind w:firstLine="567"/>
        <w:rPr>
          <w:iCs/>
          <w:spacing w:val="-6"/>
          <w:sz w:val="28"/>
          <w:szCs w:val="28"/>
          <w:lang w:val="vi-VN"/>
        </w:rPr>
      </w:pPr>
      <w:r w:rsidRPr="00EB2544">
        <w:rPr>
          <w:spacing w:val="-6"/>
          <w:sz w:val="28"/>
          <w:szCs w:val="28"/>
          <w:lang w:val="es-ES"/>
        </w:rPr>
        <w:t xml:space="preserve">- </w:t>
      </w:r>
      <w:r w:rsidRPr="008D49A8">
        <w:rPr>
          <w:spacing w:val="4"/>
          <w:sz w:val="28"/>
          <w:szCs w:val="28"/>
          <w:lang w:val="es-ES"/>
        </w:rPr>
        <w:t xml:space="preserve">Tên dự toán: </w:t>
      </w:r>
      <w:r w:rsidR="00EB2544" w:rsidRPr="008D49A8">
        <w:rPr>
          <w:iCs/>
          <w:spacing w:val="4"/>
          <w:sz w:val="28"/>
          <w:szCs w:val="28"/>
          <w:lang w:val="vi-VN"/>
        </w:rPr>
        <w:t>M</w:t>
      </w:r>
      <w:r w:rsidR="00EB2544" w:rsidRPr="008D49A8">
        <w:rPr>
          <w:iCs/>
          <w:spacing w:val="4"/>
          <w:sz w:val="28"/>
          <w:szCs w:val="28"/>
          <w:lang w:val="es-ES"/>
        </w:rPr>
        <w:t xml:space="preserve">ua sắm vật tư thực hiện hợp </w:t>
      </w:r>
      <w:r w:rsidR="00DF6BB8" w:rsidRPr="008D49A8">
        <w:rPr>
          <w:iCs/>
          <w:spacing w:val="4"/>
          <w:sz w:val="28"/>
          <w:szCs w:val="28"/>
          <w:lang w:val="es-ES"/>
        </w:rPr>
        <w:t xml:space="preserve">đồng giao việc số </w:t>
      </w:r>
      <w:r w:rsidR="00FE0658" w:rsidRPr="008D49A8">
        <w:rPr>
          <w:iCs/>
          <w:spacing w:val="4"/>
          <w:sz w:val="28"/>
          <w:szCs w:val="28"/>
          <w:lang w:val="es-ES"/>
        </w:rPr>
        <w:t>8579-1, 8579-2, 8579-</w:t>
      </w:r>
      <w:proofErr w:type="gramStart"/>
      <w:r w:rsidR="00FE0658" w:rsidRPr="008D49A8">
        <w:rPr>
          <w:iCs/>
          <w:spacing w:val="4"/>
          <w:sz w:val="28"/>
          <w:szCs w:val="28"/>
          <w:lang w:val="es-ES"/>
        </w:rPr>
        <w:t xml:space="preserve">3 </w:t>
      </w:r>
      <w:r w:rsidR="00821F46" w:rsidRPr="008D49A8">
        <w:rPr>
          <w:iCs/>
          <w:spacing w:val="4"/>
          <w:sz w:val="28"/>
          <w:szCs w:val="28"/>
          <w:lang w:val="vi-VN"/>
        </w:rPr>
        <w:t>.</w:t>
      </w:r>
      <w:proofErr w:type="gramEnd"/>
    </w:p>
    <w:p w14:paraId="4B15371F" w14:textId="0186B9CD" w:rsidR="007850E1" w:rsidRPr="0071770E" w:rsidRDefault="00061168" w:rsidP="008D49A8">
      <w:pPr>
        <w:spacing w:line="288"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EB2544">
        <w:rPr>
          <w:sz w:val="28"/>
          <w:szCs w:val="28"/>
          <w:lang w:val="pt-BR"/>
        </w:rPr>
        <w:t>Mua sắm vật tư tiêu hao, nguyên phụ liệu công nghiệp</w:t>
      </w:r>
      <w:r w:rsidR="007271FD">
        <w:rPr>
          <w:bCs/>
          <w:sz w:val="28"/>
          <w:szCs w:val="28"/>
          <w:lang w:val="pt-BR"/>
        </w:rPr>
        <w:t>.</w:t>
      </w:r>
    </w:p>
    <w:p w14:paraId="07F0711E" w14:textId="42D3709D" w:rsidR="007850E1" w:rsidRPr="0071770E" w:rsidRDefault="00061168" w:rsidP="008D49A8">
      <w:pPr>
        <w:widowControl w:val="0"/>
        <w:tabs>
          <w:tab w:val="right" w:pos="7272"/>
        </w:tabs>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7271FD">
        <w:rPr>
          <w:spacing w:val="-4"/>
          <w:sz w:val="28"/>
          <w:szCs w:val="28"/>
          <w:lang w:val="es-ES"/>
        </w:rPr>
        <w:t>60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8D49A8">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8D49A8">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8D49A8">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8D49A8">
      <w:pPr>
        <w:spacing w:line="288" w:lineRule="auto"/>
        <w:ind w:firstLine="567"/>
        <w:rPr>
          <w:b/>
          <w:i/>
          <w:sz w:val="28"/>
          <w:szCs w:val="28"/>
          <w:lang w:val="es-ES"/>
        </w:rPr>
      </w:pPr>
      <w:r w:rsidRPr="0071770E">
        <w:rPr>
          <w:b/>
          <w:i/>
          <w:sz w:val="28"/>
          <w:szCs w:val="28"/>
          <w:lang w:val="es-ES"/>
        </w:rPr>
        <w:t>2.1. Yêu cầu chung:</w:t>
      </w:r>
    </w:p>
    <w:p w14:paraId="3F83711B" w14:textId="3188CBA6" w:rsidR="00A82047" w:rsidRPr="0071770E" w:rsidRDefault="00A82047" w:rsidP="008D49A8">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184BAE">
        <w:rPr>
          <w:rFonts w:eastAsia="Calibri"/>
          <w:sz w:val="28"/>
          <w:szCs w:val="28"/>
          <w:lang w:val="es-ES"/>
        </w:rPr>
        <w:t xml:space="preserve"> năm 2024</w:t>
      </w:r>
      <w:bookmarkStart w:id="2" w:name="_GoBack"/>
      <w:bookmarkEnd w:id="2"/>
      <w:r w:rsidR="007271FD">
        <w:rPr>
          <w:rFonts w:eastAsia="Calibri"/>
          <w:sz w:val="28"/>
          <w:szCs w:val="28"/>
          <w:lang w:val="es-ES"/>
        </w:rPr>
        <w:t xml:space="preserve"> đến nay.</w:t>
      </w:r>
    </w:p>
    <w:p w14:paraId="3096EA8E" w14:textId="40D81D8D" w:rsidR="00A82047" w:rsidRPr="00F7342F" w:rsidRDefault="00A82047" w:rsidP="008D49A8">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8D49A8">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8D49A8">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8D49A8">
      <w:pPr>
        <w:spacing w:line="288"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8D49A8">
      <w:pPr>
        <w:spacing w:line="288" w:lineRule="auto"/>
        <w:ind w:firstLine="567"/>
        <w:rPr>
          <w:sz w:val="28"/>
          <w:szCs w:val="28"/>
          <w:lang w:val="pt-BR"/>
        </w:rPr>
      </w:pPr>
      <w:r w:rsidRPr="00E44402">
        <w:rPr>
          <w:sz w:val="28"/>
          <w:szCs w:val="28"/>
          <w:lang w:val="pt-BR"/>
        </w:rPr>
        <w:t>Hàng hóa chào thầu phải có thông số kỹ thuật đáp ứng các yêu cầu sau:</w:t>
      </w:r>
    </w:p>
    <w:tbl>
      <w:tblPr>
        <w:tblW w:w="9640" w:type="dxa"/>
        <w:tblInd w:w="-431" w:type="dxa"/>
        <w:tblLook w:val="04A0" w:firstRow="1" w:lastRow="0" w:firstColumn="1" w:lastColumn="0" w:noHBand="0" w:noVBand="1"/>
      </w:tblPr>
      <w:tblGrid>
        <w:gridCol w:w="710"/>
        <w:gridCol w:w="2410"/>
        <w:gridCol w:w="6520"/>
      </w:tblGrid>
      <w:tr w:rsidR="00D72BB0" w:rsidRPr="00DF6BB8" w14:paraId="6E149DA5" w14:textId="77777777" w:rsidTr="00DF6BB8">
        <w:trPr>
          <w:trHeight w:val="567"/>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DF6BB8" w:rsidRDefault="00D72BB0" w:rsidP="00D72BB0">
            <w:pPr>
              <w:jc w:val="center"/>
              <w:rPr>
                <w:b/>
                <w:bCs/>
                <w:color w:val="000000"/>
                <w:sz w:val="26"/>
                <w:szCs w:val="26"/>
              </w:rPr>
            </w:pPr>
            <w:r w:rsidRPr="00DF6BB8">
              <w:rPr>
                <w:b/>
                <w:bCs/>
                <w:color w:val="000000"/>
                <w:sz w:val="26"/>
                <w:szCs w:val="26"/>
              </w:rPr>
              <w:lastRenderedPageBreak/>
              <w:t>Stt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DF6BB8" w:rsidRDefault="00D72BB0" w:rsidP="00D72BB0">
            <w:pPr>
              <w:jc w:val="center"/>
              <w:rPr>
                <w:b/>
                <w:bCs/>
                <w:color w:val="000000"/>
                <w:sz w:val="26"/>
                <w:szCs w:val="26"/>
              </w:rPr>
            </w:pPr>
            <w:r w:rsidRPr="00DF6BB8">
              <w:rPr>
                <w:b/>
                <w:bCs/>
                <w:color w:val="000000"/>
                <w:sz w:val="26"/>
                <w:szCs w:val="26"/>
              </w:rPr>
              <w:t>Tên hàng hóa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DF6BB8" w:rsidRDefault="00D72BB0" w:rsidP="00D72BB0">
            <w:pPr>
              <w:jc w:val="center"/>
              <w:rPr>
                <w:b/>
                <w:bCs/>
                <w:color w:val="000000"/>
                <w:sz w:val="26"/>
                <w:szCs w:val="26"/>
              </w:rPr>
            </w:pPr>
            <w:r w:rsidRPr="00DF6BB8">
              <w:rPr>
                <w:b/>
                <w:bCs/>
                <w:color w:val="000000"/>
                <w:sz w:val="26"/>
                <w:szCs w:val="26"/>
              </w:rPr>
              <w:t>Thông số kỹ thuật và các tiêu chuẩn</w:t>
            </w:r>
          </w:p>
        </w:tc>
      </w:tr>
      <w:tr w:rsidR="008D49A8" w:rsidRPr="00DF6BB8" w14:paraId="10879AC9" w14:textId="77777777" w:rsidTr="00184BAE">
        <w:trPr>
          <w:trHeight w:val="97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F0C23F" w14:textId="29B21876" w:rsidR="008D49A8" w:rsidRPr="00DF6BB8" w:rsidRDefault="008D49A8" w:rsidP="008D49A8">
            <w:pPr>
              <w:jc w:val="center"/>
              <w:rPr>
                <w:sz w:val="26"/>
                <w:szCs w:val="26"/>
              </w:rPr>
            </w:pPr>
            <w:r w:rsidRPr="00DF6BB8">
              <w:rPr>
                <w:color w:val="000000"/>
                <w:sz w:val="26"/>
                <w:szCs w:val="26"/>
              </w:rPr>
              <w:t>1</w:t>
            </w:r>
          </w:p>
        </w:tc>
        <w:tc>
          <w:tcPr>
            <w:tcW w:w="2410" w:type="dxa"/>
            <w:tcBorders>
              <w:top w:val="nil"/>
              <w:left w:val="nil"/>
              <w:bottom w:val="single" w:sz="4" w:space="0" w:color="auto"/>
              <w:right w:val="single" w:sz="4" w:space="0" w:color="auto"/>
            </w:tcBorders>
            <w:shd w:val="clear" w:color="auto" w:fill="auto"/>
            <w:vAlign w:val="center"/>
            <w:hideMark/>
          </w:tcPr>
          <w:p w14:paraId="5A58B5BD" w14:textId="130F71E4" w:rsidR="008D49A8" w:rsidRPr="008D49A8" w:rsidRDefault="0043748A" w:rsidP="008D49A8">
            <w:pPr>
              <w:jc w:val="left"/>
              <w:rPr>
                <w:sz w:val="26"/>
                <w:szCs w:val="26"/>
              </w:rPr>
            </w:pPr>
            <w:r w:rsidRPr="0043748A">
              <w:rPr>
                <w:sz w:val="26"/>
                <w:szCs w:val="26"/>
              </w:rPr>
              <w:t>Săm bịt kín 11.0740.4.010.000</w:t>
            </w:r>
          </w:p>
        </w:tc>
        <w:tc>
          <w:tcPr>
            <w:tcW w:w="6520" w:type="dxa"/>
            <w:tcBorders>
              <w:top w:val="nil"/>
              <w:left w:val="nil"/>
              <w:bottom w:val="single" w:sz="4" w:space="0" w:color="auto"/>
              <w:right w:val="single" w:sz="4" w:space="0" w:color="auto"/>
            </w:tcBorders>
            <w:shd w:val="clear" w:color="auto" w:fill="auto"/>
            <w:vAlign w:val="center"/>
          </w:tcPr>
          <w:p w14:paraId="6EE619CB" w14:textId="06E008DD" w:rsidR="0043748A" w:rsidRPr="0043748A" w:rsidRDefault="00184BAE" w:rsidP="0043748A">
            <w:pPr>
              <w:jc w:val="left"/>
              <w:rPr>
                <w:sz w:val="26"/>
                <w:szCs w:val="26"/>
              </w:rPr>
            </w:pPr>
            <w:r>
              <w:rPr>
                <w:sz w:val="26"/>
                <w:szCs w:val="26"/>
                <w:lang w:val="vi-VN"/>
              </w:rPr>
              <w:t>-</w:t>
            </w:r>
            <w:r w:rsidR="0043748A" w:rsidRPr="0043748A">
              <w:rPr>
                <w:sz w:val="26"/>
                <w:szCs w:val="26"/>
              </w:rPr>
              <w:t xml:space="preserve"> Áp suất làm việc: đến 2,5 kgf/cm2;</w:t>
            </w:r>
          </w:p>
          <w:p w14:paraId="1840FF1C" w14:textId="5FC1BB6B" w:rsidR="008D49A8" w:rsidRPr="00184BAE" w:rsidRDefault="0043748A" w:rsidP="0043748A">
            <w:pPr>
              <w:jc w:val="left"/>
              <w:rPr>
                <w:color w:val="000000"/>
                <w:sz w:val="26"/>
                <w:szCs w:val="26"/>
                <w:lang w:val="vi-VN"/>
              </w:rPr>
            </w:pPr>
            <w:r w:rsidRPr="0043748A">
              <w:rPr>
                <w:sz w:val="26"/>
                <w:szCs w:val="26"/>
              </w:rPr>
              <w:t>- Nhiệt độ làm việc: (-50 đến +50) °C</w:t>
            </w:r>
            <w:r w:rsidR="00184BAE">
              <w:rPr>
                <w:sz w:val="26"/>
                <w:szCs w:val="26"/>
                <w:lang w:val="vi-VN"/>
              </w:rPr>
              <w:t>.</w:t>
            </w:r>
          </w:p>
        </w:tc>
      </w:tr>
    </w:tbl>
    <w:p w14:paraId="67176BB6" w14:textId="7342D6DB" w:rsidR="006C64AB" w:rsidRPr="008F2D3C" w:rsidRDefault="008C38C7" w:rsidP="0083720A">
      <w:pPr>
        <w:tabs>
          <w:tab w:val="left" w:pos="567"/>
        </w:tabs>
        <w:spacing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3" w:name="_Toc68320562"/>
      <w:r>
        <w:rPr>
          <w:sz w:val="28"/>
          <w:szCs w:val="28"/>
          <w:lang w:val="nl-NL"/>
        </w:rPr>
        <w:t>4</w:t>
      </w:r>
      <w:r w:rsidR="006C64AB" w:rsidRPr="00E44402">
        <w:rPr>
          <w:sz w:val="28"/>
          <w:szCs w:val="28"/>
          <w:lang w:val="nl-NL"/>
        </w:rPr>
        <w:t>.</w:t>
      </w:r>
      <w:bookmarkEnd w:id="3"/>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21FCC853"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w:t>
      </w:r>
      <w:r w:rsidR="00AF5A97" w:rsidRPr="00AF5A97">
        <w:rPr>
          <w:b w:val="0"/>
          <w:bCs/>
          <w:sz w:val="28"/>
          <w:szCs w:val="28"/>
          <w:lang w:val="pt-BR"/>
        </w:rPr>
        <w:t>Phường Hòa Cường</w:t>
      </w:r>
      <w:r w:rsidR="00B936E8" w:rsidRPr="00E44402">
        <w:rPr>
          <w:b w:val="0"/>
          <w:bCs/>
          <w:sz w:val="28"/>
          <w:szCs w:val="28"/>
          <w:lang w:val="pt-BR"/>
        </w:rPr>
        <w:t>,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26AA7E0E" w:rsidR="00160F9F" w:rsidRPr="00160F9F" w:rsidRDefault="00D362A3" w:rsidP="00160F9F">
      <w:pPr>
        <w:pStyle w:val="ListParagraph"/>
        <w:tabs>
          <w:tab w:val="left" w:pos="5490"/>
        </w:tabs>
        <w:spacing w:line="264" w:lineRule="auto"/>
        <w:ind w:left="0" w:firstLine="567"/>
        <w:rPr>
          <w:sz w:val="28"/>
          <w:szCs w:val="28"/>
          <w:lang w:val="pt-BR"/>
        </w:rPr>
      </w:pPr>
      <w:r>
        <w:rPr>
          <w:sz w:val="28"/>
          <w:szCs w:val="28"/>
          <w:lang w:val="pt-BR"/>
        </w:rPr>
        <w:t>+ Ký</w:t>
      </w:r>
      <w:r w:rsidR="00160F9F" w:rsidRPr="00160F9F">
        <w:rPr>
          <w:sz w:val="28"/>
          <w:szCs w:val="28"/>
          <w:lang w:val="pt-BR"/>
        </w:rPr>
        <w:t xml:space="preserve"> mã hiệu</w:t>
      </w:r>
      <w:r w:rsidR="00160F9F">
        <w:rPr>
          <w:sz w:val="28"/>
          <w:szCs w:val="28"/>
          <w:lang w:val="pt-BR"/>
        </w:rPr>
        <w:t>,</w:t>
      </w:r>
      <w:r w:rsidR="00160F9F" w:rsidRPr="00160F9F">
        <w:rPr>
          <w:sz w:val="28"/>
          <w:szCs w:val="28"/>
          <w:lang w:val="pt-BR"/>
        </w:rPr>
        <w:t xml:space="preserve"> nhãn mác; </w:t>
      </w:r>
    </w:p>
    <w:p w14:paraId="074BE064" w14:textId="148970A9"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 xml:space="preserve">chứng </w:t>
      </w:r>
      <w:r w:rsidR="00501170">
        <w:rPr>
          <w:sz w:val="28"/>
          <w:szCs w:val="28"/>
          <w:lang w:val="pt-BR"/>
        </w:rPr>
        <w:t>nhận</w:t>
      </w:r>
      <w:r w:rsidR="0008218A">
        <w:rPr>
          <w:sz w:val="28"/>
          <w:szCs w:val="28"/>
          <w:lang w:val="pt-BR"/>
        </w:rPr>
        <w:t xml:space="preserve"> xuất xứ (CO), </w:t>
      </w:r>
      <w:r w:rsidRPr="00E44402">
        <w:rPr>
          <w:sz w:val="28"/>
          <w:szCs w:val="28"/>
          <w:lang w:val="pt-BR"/>
        </w:rPr>
        <w:t>chứng</w:t>
      </w:r>
      <w:r w:rsidR="00501170">
        <w:rPr>
          <w:sz w:val="28"/>
          <w:szCs w:val="28"/>
          <w:lang w:val="pt-BR"/>
        </w:rPr>
        <w:t xml:space="preserve"> nhận</w:t>
      </w:r>
      <w:r w:rsidRPr="00E44402">
        <w:rPr>
          <w:sz w:val="28"/>
          <w:szCs w:val="28"/>
          <w:lang w:val="pt-BR"/>
        </w:rPr>
        <w:t xml:space="preserve"> chất lượng (CQ)</w:t>
      </w:r>
      <w:r w:rsidR="0008218A">
        <w:rPr>
          <w:sz w:val="28"/>
          <w:szCs w:val="28"/>
          <w:lang w:val="pt-BR"/>
        </w:rPr>
        <w:t xml:space="preserve"> </w:t>
      </w:r>
      <w:r w:rsidR="0008218A" w:rsidRPr="00F7342F">
        <w:rPr>
          <w:rFonts w:eastAsia="Calibri"/>
          <w:sz w:val="28"/>
          <w:szCs w:val="28"/>
          <w:lang w:val="es-ES"/>
        </w:rPr>
        <w:t>hoặc chứng chỉ phù hợ</w:t>
      </w:r>
      <w:r w:rsidR="0008218A">
        <w:rPr>
          <w:rFonts w:eastAsia="Calibri"/>
          <w:sz w:val="28"/>
          <w:szCs w:val="28"/>
          <w:lang w:val="es-ES"/>
        </w:rPr>
        <w:t>p (CC)</w:t>
      </w:r>
      <w:r w:rsidR="007358BD">
        <w:rPr>
          <w:sz w:val="28"/>
          <w:szCs w:val="28"/>
          <w:lang w:val="pt-BR"/>
        </w:rPr>
        <w:t>;</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03FAE397" w14:textId="246B8D2A" w:rsidR="006C64AB" w:rsidRPr="00E44402" w:rsidRDefault="002B7B6A" w:rsidP="007358BD">
      <w:pPr>
        <w:tabs>
          <w:tab w:val="left" w:pos="5490"/>
        </w:tabs>
        <w:spacing w:line="264" w:lineRule="auto"/>
        <w:ind w:firstLine="567"/>
        <w:rPr>
          <w:sz w:val="28"/>
          <w:szCs w:val="28"/>
          <w:lang w:val="es-ES"/>
        </w:rPr>
      </w:pPr>
      <w:r w:rsidRPr="00E44402">
        <w:rPr>
          <w:sz w:val="28"/>
          <w:szCs w:val="28"/>
          <w:lang w:val="pt-BR"/>
        </w:rPr>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sectPr w:rsidR="006C64AB" w:rsidRPr="00E44402"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6ABA0" w14:textId="77777777" w:rsidR="007E01B3" w:rsidRDefault="007E01B3" w:rsidP="00E05AF1">
      <w:r>
        <w:separator/>
      </w:r>
    </w:p>
  </w:endnote>
  <w:endnote w:type="continuationSeparator" w:id="0">
    <w:p w14:paraId="5F4A20C4" w14:textId="77777777" w:rsidR="007E01B3" w:rsidRDefault="007E01B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1"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612F2782"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184BAE">
          <w:rPr>
            <w:noProof/>
            <w:sz w:val="24"/>
            <w:szCs w:val="24"/>
          </w:rPr>
          <w:t>1</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0DEB3" w14:textId="77777777" w:rsidR="007E01B3" w:rsidRDefault="007E01B3" w:rsidP="00E05AF1">
      <w:r>
        <w:separator/>
      </w:r>
    </w:p>
  </w:footnote>
  <w:footnote w:type="continuationSeparator" w:id="0">
    <w:p w14:paraId="594B9E2D" w14:textId="77777777" w:rsidR="007E01B3" w:rsidRDefault="007E01B3"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4BAE"/>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931CD"/>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48A"/>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1B3"/>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9A8"/>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6BB8"/>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150D"/>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E6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658"/>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ED715-DB9A-4623-9788-E7F5088E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4228</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436</cp:revision>
  <cp:lastPrinted>2025-07-27T09:20:00Z</cp:lastPrinted>
  <dcterms:created xsi:type="dcterms:W3CDTF">2021-11-27T05:14:00Z</dcterms:created>
  <dcterms:modified xsi:type="dcterms:W3CDTF">2026-03-27T07:39:00Z</dcterms:modified>
</cp:coreProperties>
</file>