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9D45" w14:textId="77777777" w:rsidR="004104E7" w:rsidRDefault="004104E7" w:rsidP="004104E7">
      <w:pPr>
        <w:pStyle w:val="Heading1"/>
        <w:widowControl w:val="0"/>
        <w:tabs>
          <w:tab w:val="left" w:pos="0"/>
          <w:tab w:val="left" w:pos="851"/>
        </w:tabs>
        <w:ind w:firstLine="567"/>
      </w:pPr>
      <w:r>
        <w:t>Phần 2. YÊU CẦU VỀ KỸ THUẬT</w:t>
      </w:r>
    </w:p>
    <w:p w14:paraId="2192496B" w14:textId="77777777" w:rsidR="004104E7" w:rsidRDefault="004104E7" w:rsidP="004104E7">
      <w:pPr>
        <w:pStyle w:val="Heading1"/>
        <w:widowControl w:val="0"/>
        <w:tabs>
          <w:tab w:val="left" w:pos="0"/>
          <w:tab w:val="left" w:pos="851"/>
        </w:tabs>
        <w:ind w:firstLine="567"/>
      </w:pPr>
      <w:bookmarkStart w:id="0" w:name="_heading=h.o1fpxk6ewbi2" w:colFirst="0" w:colLast="0"/>
      <w:bookmarkEnd w:id="0"/>
      <w:r>
        <w:t xml:space="preserve"> Chương V. YÊU CẦU VỀ KỸ THUẬT</w:t>
      </w:r>
    </w:p>
    <w:p w14:paraId="04175030" w14:textId="77777777" w:rsidR="004104E7" w:rsidRDefault="004104E7" w:rsidP="004104E7">
      <w:pPr>
        <w:widowControl w:val="0"/>
        <w:jc w:val="center"/>
        <w:rPr>
          <w:rFonts w:ascii="Times New Roman" w:eastAsia="Times New Roman" w:hAnsi="Times New Roman" w:cs="Times New Roman"/>
          <w:b/>
          <w:bCs/>
          <w:sz w:val="28"/>
          <w:szCs w:val="28"/>
        </w:rPr>
      </w:pPr>
    </w:p>
    <w:p w14:paraId="0D6BEB67"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I. Giới thiệu về gói thầu </w:t>
      </w:r>
    </w:p>
    <w:p w14:paraId="0032771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1. Phạm vi công việc của gói thầu:  </w:t>
      </w:r>
    </w:p>
    <w:p w14:paraId="2B10127D" w14:textId="77777777" w:rsidR="004104E7" w:rsidRDefault="004104E7" w:rsidP="004104E7">
      <w:pPr>
        <w:widowControl w:val="0"/>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bCs/>
          <w:sz w:val="28"/>
          <w:szCs w:val="28"/>
          <w:highlight w:val="white"/>
        </w:rPr>
        <w:t>Tên gói thầu</w:t>
      </w:r>
      <w:r>
        <w:rPr>
          <w:rFonts w:ascii="Times New Roman" w:eastAsia="Times New Roman" w:hAnsi="Times New Roman" w:cs="Times New Roman"/>
          <w:sz w:val="28"/>
          <w:szCs w:val="28"/>
          <w:highlight w:val="white"/>
        </w:rPr>
        <w:t>: Gói thầu số 04: Thi công xây dựng công trình</w:t>
      </w:r>
    </w:p>
    <w:p w14:paraId="22A20A6C" w14:textId="77777777" w:rsidR="004104E7" w:rsidRDefault="004104E7" w:rsidP="004104E7">
      <w:pPr>
        <w:widowControl w:val="0"/>
        <w:ind w:firstLine="56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Phương thức đấu thầu: </w:t>
      </w:r>
      <w:r>
        <w:rPr>
          <w:rFonts w:ascii="Times New Roman" w:eastAsia="Times New Roman" w:hAnsi="Times New Roman" w:cs="Times New Roman"/>
          <w:sz w:val="28"/>
          <w:szCs w:val="28"/>
        </w:rPr>
        <w:t>01 giai đoạn, 01 túi hồ sơ</w:t>
      </w:r>
    </w:p>
    <w:p w14:paraId="3D769E43" w14:textId="77777777" w:rsidR="004104E7" w:rsidRDefault="004104E7" w:rsidP="004104E7">
      <w:pPr>
        <w:widowControl w:val="0"/>
        <w:ind w:firstLine="56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Hình thức lựa chọn nhà thầu: </w:t>
      </w:r>
      <w:r>
        <w:rPr>
          <w:rFonts w:ascii="Times New Roman" w:eastAsia="Times New Roman" w:hAnsi="Times New Roman" w:cs="Times New Roman"/>
          <w:sz w:val="28"/>
          <w:szCs w:val="28"/>
        </w:rPr>
        <w:t xml:space="preserve">Đấu thầu rộng rãi trong nước </w:t>
      </w:r>
    </w:p>
    <w:p w14:paraId="0AA23FB1"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2. Quy mô đầu tư xây dựng và giải pháp thiết kế chủ yếu:</w:t>
      </w:r>
    </w:p>
    <w:p w14:paraId="0D722A7E"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2.1. Quy mô đầu tư: Xây mới 01 nhà đa năng trường THCS thị trấn Bến Sung và lát gạch sân phía trước nhà đa năng.</w:t>
      </w:r>
    </w:p>
    <w:p w14:paraId="6FD4D84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2.2. Giải pháp thiết kế chủ yếu.</w:t>
      </w:r>
    </w:p>
    <w:p w14:paraId="537AC21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2.2.1. Nhà đa năng</w:t>
      </w:r>
    </w:p>
    <w:p w14:paraId="27759898"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Phần kiến trúc:</w:t>
      </w:r>
    </w:p>
    <w:p w14:paraId="656BD2B0"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Công trình có quy mô 01 tầng, mặt bằng hình chữ nhật kích thước từ tim đến tim 15,0mx30,0m; chiều cao tầng 1 là 7,5 m; chiều cao mái là 1,95m. Chiều cao công trình tính từ cos 0,00m đến cos mái là 9,45m. Cos nền cao hơn cos sân hoàn thiện là 0,45m.</w:t>
      </w:r>
    </w:p>
    <w:p w14:paraId="747E911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đa năng được bố trí gồm: Sàn tập có kích thước sử dụng 14,56m x 25,56m; Sân khấu; Phòng thay đồ; Phòng kho; </w:t>
      </w:r>
    </w:p>
    <w:p w14:paraId="3691E3F2"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Hướng giao thông chính theo phương ngang di chuyển theo hành lang; </w:t>
      </w:r>
    </w:p>
    <w:p w14:paraId="15E28FA9"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Hệ tường xây 220mm, 110 mm sử dụng gạch bê tông không nung, trát tường trong bằng vữa xi măng mác 50# dày 1,5cm, trát tường ngoài bằng vữa xi măng mác 75# dày 1,5cm; </w:t>
      </w:r>
    </w:p>
    <w:p w14:paraId="2FAE0A95"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Bậc tam cấp xây gạch vữa xi măng mác 50#, trát vữa xi măng mác 75#, lát đá hoàn thiện;</w:t>
      </w:r>
    </w:p>
    <w:p w14:paraId="42D8B4D8"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Nền nhà đổ bê tông, sơn epoxy hoàn thiện; nền phòng kho, phòng thay đồ, sân khấu lát gạch 600x600mm; Toàn bộ bề mặt trong, ngoài nhà được lăn sơn 1 nước lót 02 nước màu; </w:t>
      </w:r>
    </w:p>
    <w:p w14:paraId="0E9E9D96"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Mái xây tường thu hồi 2 đầu nhà 220mm vữa xi măng mác 50# có giằng BTCT đá 1x2 mác 200#, kết hợp vì kèo thép hình, hệ xà gồ thép U80x40x3mm mái lợp tôn múi dày 0,4ly. Sê nô láng VXM 75# tạo dốc 2% về phía ống thoát nước PVC D90. </w:t>
      </w:r>
    </w:p>
    <w:p w14:paraId="7610322B"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Hệ thống cửa đi, cửa sổ sử dụng cửa nhôm hệ pano kính 2 lớp an toàn 6,38mm </w:t>
      </w:r>
    </w:p>
    <w:p w14:paraId="6661A20A"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Phần kết cấu: </w:t>
      </w:r>
    </w:p>
    <w:p w14:paraId="4A9254BD"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Phần móng: Sử dụng móng đơn BTCT mác 200, kết hợp với móng xây đá dưới tường, trên móng đá có hệ thống dầm giằng </w:t>
      </w:r>
      <w:r>
        <w:rPr>
          <w:rFonts w:ascii="Times New Roman" w:eastAsia="Times New Roman" w:hAnsi="Times New Roman" w:cs="Times New Roman"/>
          <w:color w:val="0D0D0D"/>
          <w:sz w:val="28"/>
          <w:szCs w:val="28"/>
        </w:rPr>
        <w:lastRenderedPageBreak/>
        <w:t xml:space="preserve">220x400mm có tác dụng đỡ tường, chiều sâu đặt móng tính từ cốt 0.00 là -1,70m. Bê tông móng, dầm giằng sử dụng bê tông đá 1x2 mác 200. Cốt thép sử dụng cho móng dùng các loại thép AI và AII. Tường móng xây đá hộc vữa xi măng mác 75#, lót móng bằng bê tông đá 4x6 mác 100#. </w:t>
      </w:r>
    </w:p>
    <w:p w14:paraId="6AC9C135"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Phần thân: Kết cấu nhà khung BTCT chịu lực. Hệ cột, dầm, sàn BTCT đá 1x2 mác 250 đổ tại chỗ; Tiết diện cột điển hình 220x350mm, 220x220; tiết diện dầm điển hình: 220x400mm;220x600mm; sàn bê tông điển hình 100mm. </w:t>
      </w:r>
    </w:p>
    <w:p w14:paraId="5905F355"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Hệ thống điện: </w:t>
      </w:r>
    </w:p>
    <w:p w14:paraId="5454DF11"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Nguồn điện lấy từ đường điện hiện có trong khuôn viên trường. Cáp nguồn cấp điện đến tủ điện tổng dây CU/PVC (2x 16)mm2; </w:t>
      </w:r>
    </w:p>
    <w:p w14:paraId="56FE6B30"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Nguồn sáng dùng trong công trình chủ yếu sử dụng đèn hộp huynh quang đơn gắn trần. Chiếu sáng hành lang, sử dụng đèn lốp trần; </w:t>
      </w:r>
    </w:p>
    <w:p w14:paraId="7962EC5F"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Dây dẫn dùng trong công trình chọn loại dây đôi cách điện PVC của liên doanh. Tiết diện dây chọn theo dòng điện tải xác định theo công suất thiết bị và tổng công suất lắp tính toán theo hệ phụ tải được cấp nguồn. Dây điện cấp đến tủ phòng dây CU/PVC 2x10mm2. Toàn bộ dây dẫn trong các phòng được luồn trong ống SP D16; D27 đi ngầm trong tường và trong trần. Dây cấp điện ổ cắm dùng dây CU/PVC 2x2,5mm2 . Dây cấp điện đèn, quạt trần dùng dây CU/PVC 2x1,5mm2. </w:t>
      </w:r>
    </w:p>
    <w:p w14:paraId="6312F3D8"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Phần chống sét: </w:t>
      </w:r>
    </w:p>
    <w:p w14:paraId="69217EB5"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Hệ thống chống sét được nối đ t theo kiểu lồng kết hợp kim thu sét được thiết kế theo qui phạm tiêu chuẩn. Hệ thống nối đất dùng cọc thép góc 63x63x5, L = 2500 đóng sâu xuống đất theo đúng sơ đồ chống sét. </w:t>
      </w:r>
    </w:p>
    <w:p w14:paraId="4506CC68"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Hệ thống dây dẫn sét t  trên mái xuống dùng thép tròn D10 dây tiếp địa dùng thép dẹt mạ kẽm 25x4 chôn sâu 0,8m so với cốt sân, điện trở tiếp đất yêu cầu đạt RZ &lt;= 10</w:t>
      </w:r>
      <m:oMath>
        <m:r>
          <w:rPr>
            <w:rFonts w:ascii="Cambria Math" w:hAnsi="Cambria Math"/>
          </w:rPr>
          <m:t>Ω</m:t>
        </m:r>
      </m:oMath>
      <w:r>
        <w:rPr>
          <w:rFonts w:ascii="Times New Roman" w:eastAsia="Times New Roman" w:hAnsi="Times New Roman" w:cs="Times New Roman"/>
          <w:color w:val="0D0D0D"/>
          <w:sz w:val="28"/>
          <w:szCs w:val="28"/>
        </w:rPr>
        <w:t xml:space="preserve">. </w:t>
      </w:r>
    </w:p>
    <w:p w14:paraId="30DC85C7"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Phần thoát nước: </w:t>
      </w:r>
    </w:p>
    <w:p w14:paraId="1704EE86"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Phần thoát nước mái: Nước mưa trên mái được thu về sê nô xung quanh mái, vào các ống đứng thoát nước PVC D90 chạy dọc công trình và thải ra rãnh thoát nước xung quanh công trình sau đó tập trung vào vị trí hố ga thoát ra ngoài hệ thống thoát nước ngoài nhà. Trên sê nô tại các vị trí được bố trí ống pvc D32 thoát nước chống tràn cho công trình đảm bảo cho hệ thống thoát nước mái được lưu thông; </w:t>
      </w:r>
    </w:p>
    <w:p w14:paraId="333F4C3E" w14:textId="13AD8924"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Phần rãnh thoát nước ngoài nhà: Thoát nước ngoài nhà bằng hệ thống rãnh xây kết hợp với hố ga thu nước được kết nối với hệ thống thoát nước của trường. Rãnh có kích thước BxH là 0,3x0,7m, xây bằng gạch bê tông đ</w:t>
      </w:r>
      <w:r w:rsidR="00392253">
        <w:rPr>
          <w:rFonts w:ascii="Times New Roman" w:eastAsia="Times New Roman" w:hAnsi="Times New Roman" w:cs="Times New Roman"/>
          <w:color w:val="0D0D0D"/>
          <w:sz w:val="28"/>
          <w:szCs w:val="28"/>
          <w:lang w:val="en-GB"/>
        </w:rPr>
        <w:t>ặ</w:t>
      </w:r>
      <w:r>
        <w:rPr>
          <w:rFonts w:ascii="Times New Roman" w:eastAsia="Times New Roman" w:hAnsi="Times New Roman" w:cs="Times New Roman"/>
          <w:color w:val="0D0D0D"/>
          <w:sz w:val="28"/>
          <w:szCs w:val="28"/>
        </w:rPr>
        <w:t>c v</w:t>
      </w:r>
      <w:r w:rsidR="00392253">
        <w:rPr>
          <w:rFonts w:ascii="Times New Roman" w:eastAsia="Times New Roman" w:hAnsi="Times New Roman" w:cs="Times New Roman"/>
          <w:color w:val="0D0D0D"/>
          <w:sz w:val="28"/>
          <w:szCs w:val="28"/>
          <w:lang w:val="en-GB"/>
        </w:rPr>
        <w:t>ữ</w:t>
      </w:r>
      <w:r>
        <w:rPr>
          <w:rFonts w:ascii="Times New Roman" w:eastAsia="Times New Roman" w:hAnsi="Times New Roman" w:cs="Times New Roman"/>
          <w:color w:val="0D0D0D"/>
          <w:sz w:val="28"/>
          <w:szCs w:val="28"/>
        </w:rPr>
        <w:t xml:space="preserve">a xi măng mác 75#. Đáy rãnh bằng bê tông đá 1x2 M200 dày 10cm, trát thành trong bằng vữa xi măng M75 dày 1,5cm. Bên trên được đậy tấm đan bê tông cốt </w:t>
      </w:r>
      <w:r>
        <w:rPr>
          <w:rFonts w:ascii="Times New Roman" w:eastAsia="Times New Roman" w:hAnsi="Times New Roman" w:cs="Times New Roman"/>
          <w:color w:val="0D0D0D"/>
          <w:sz w:val="28"/>
          <w:szCs w:val="28"/>
        </w:rPr>
        <w:lastRenderedPageBreak/>
        <w:t>thép đá 1x2 M200 dày 8cm.</w:t>
      </w:r>
    </w:p>
    <w:p w14:paraId="76224EF2" w14:textId="77777777" w:rsidR="00DA7ECF" w:rsidRPr="00DA7ECF" w:rsidRDefault="00DA7ECF" w:rsidP="00DA7ECF">
      <w:pPr>
        <w:widowControl w:val="0"/>
        <w:ind w:firstLine="566"/>
        <w:jc w:val="both"/>
        <w:rPr>
          <w:rFonts w:ascii="Times New Roman" w:eastAsia="Times New Roman" w:hAnsi="Times New Roman" w:cs="Times New Roman"/>
          <w:color w:val="0D0D0D"/>
          <w:sz w:val="28"/>
          <w:szCs w:val="28"/>
        </w:rPr>
      </w:pPr>
      <w:r w:rsidRPr="00DA7ECF">
        <w:rPr>
          <w:rFonts w:ascii="Times New Roman" w:eastAsia="Times New Roman" w:hAnsi="Times New Roman" w:cs="Times New Roman"/>
          <w:color w:val="0D0D0D"/>
          <w:sz w:val="28"/>
          <w:szCs w:val="28"/>
        </w:rPr>
        <w:t>2.2. Phần sân khuôn viên:</w:t>
      </w:r>
    </w:p>
    <w:p w14:paraId="58D29072" w14:textId="7E027A27" w:rsidR="00DA7ECF" w:rsidRPr="00DA7ECF" w:rsidRDefault="00DA7ECF" w:rsidP="00DA7ECF">
      <w:pPr>
        <w:widowControl w:val="0"/>
        <w:ind w:firstLine="566"/>
        <w:jc w:val="both"/>
        <w:rPr>
          <w:rFonts w:ascii="Times New Roman" w:eastAsia="Times New Roman" w:hAnsi="Times New Roman" w:cs="Times New Roman"/>
          <w:color w:val="0D0D0D"/>
          <w:sz w:val="28"/>
          <w:szCs w:val="28"/>
        </w:rPr>
      </w:pPr>
      <w:r w:rsidRPr="00DA7ECF">
        <w:rPr>
          <w:rFonts w:ascii="Times New Roman" w:eastAsia="Times New Roman" w:hAnsi="Times New Roman" w:cs="Times New Roman"/>
          <w:color w:val="0D0D0D"/>
          <w:sz w:val="28"/>
          <w:szCs w:val="28"/>
        </w:rPr>
        <w:t>- Phá dỡ nền sân bê tông hiện trạng, san gạt nền đảm bảo cao độ nền, lót</w:t>
      </w:r>
      <w:r>
        <w:rPr>
          <w:rFonts w:ascii="Times New Roman" w:eastAsia="Times New Roman" w:hAnsi="Times New Roman" w:cs="Times New Roman"/>
          <w:color w:val="0D0D0D"/>
          <w:sz w:val="28"/>
          <w:szCs w:val="28"/>
          <w:lang w:val="en-GB"/>
        </w:rPr>
        <w:t xml:space="preserve"> </w:t>
      </w:r>
      <w:r w:rsidRPr="00DA7ECF">
        <w:rPr>
          <w:rFonts w:ascii="Times New Roman" w:eastAsia="Times New Roman" w:hAnsi="Times New Roman" w:cs="Times New Roman"/>
          <w:color w:val="0D0D0D"/>
          <w:sz w:val="28"/>
          <w:szCs w:val="28"/>
        </w:rPr>
        <w:t>ni lông tái sinh, đổ bê tông nền đá 1x2 M200 dày 10 cm, lát gạch Terrazo kích</w:t>
      </w:r>
      <w:r>
        <w:rPr>
          <w:rFonts w:ascii="Times New Roman" w:eastAsia="Times New Roman" w:hAnsi="Times New Roman" w:cs="Times New Roman"/>
          <w:color w:val="0D0D0D"/>
          <w:sz w:val="28"/>
          <w:szCs w:val="28"/>
          <w:lang w:val="en-GB"/>
        </w:rPr>
        <w:t xml:space="preserve"> </w:t>
      </w:r>
      <w:r w:rsidRPr="00DA7ECF">
        <w:rPr>
          <w:rFonts w:ascii="Times New Roman" w:eastAsia="Times New Roman" w:hAnsi="Times New Roman" w:cs="Times New Roman"/>
          <w:color w:val="0D0D0D"/>
          <w:sz w:val="28"/>
          <w:szCs w:val="28"/>
        </w:rPr>
        <w:t>thước 400x400x30 với diện tích khoảng 530,7m2.</w:t>
      </w:r>
    </w:p>
    <w:p w14:paraId="0372F6BC" w14:textId="20FC4A32" w:rsidR="00DA7ECF" w:rsidRDefault="00DA7ECF" w:rsidP="00DA7ECF">
      <w:pPr>
        <w:widowControl w:val="0"/>
        <w:ind w:firstLine="566"/>
        <w:jc w:val="both"/>
        <w:rPr>
          <w:rFonts w:ascii="Times New Roman" w:eastAsia="Times New Roman" w:hAnsi="Times New Roman" w:cs="Times New Roman"/>
          <w:color w:val="0D0D0D"/>
          <w:sz w:val="28"/>
          <w:szCs w:val="28"/>
        </w:rPr>
      </w:pPr>
      <w:r w:rsidRPr="00DA7ECF">
        <w:rPr>
          <w:rFonts w:ascii="Times New Roman" w:eastAsia="Times New Roman" w:hAnsi="Times New Roman" w:cs="Times New Roman"/>
          <w:color w:val="0D0D0D"/>
          <w:sz w:val="28"/>
          <w:szCs w:val="28"/>
        </w:rPr>
        <w:t>- Di chuyển nhà xe cũ đến vị trí mới</w:t>
      </w:r>
    </w:p>
    <w:p w14:paraId="1E5CBDE4"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3. Thời hạn hoàn thành: tối đa 210 ngày. </w:t>
      </w:r>
    </w:p>
    <w:p w14:paraId="66EDA5B9"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II. Yêu cầu về kỹ thuật/chỉ dẫn kỹ thuật </w:t>
      </w:r>
    </w:p>
    <w:p w14:paraId="45FB9880"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1. Quy trình, quy phạm áp dụng cho việc thi công, nghiệm thu công trình: </w:t>
      </w:r>
    </w:p>
    <w:p w14:paraId="60164EB9" w14:textId="77777777" w:rsidR="004104E7" w:rsidRDefault="004104E7" w:rsidP="004104E7">
      <w:pPr>
        <w:widowControl w:val="0"/>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Toàn bộ công tác xây lắp phải thực hiện đúng các Tiêu chuẩn xây dựng hiện  hành. </w:t>
      </w:r>
    </w:p>
    <w:p w14:paraId="52D70272" w14:textId="77777777" w:rsidR="004104E7" w:rsidRDefault="004104E7" w:rsidP="004104E7">
      <w:pPr>
        <w:widowControl w:val="0"/>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Nhà thầu cần tuân thủ đầy đủ theo yêu cầu của hồ sơ bản vẽ thiết vẽ thiết kế kỹ  thuật thi công đã được cơ quan có thẩm quyền thẩm định và các tiêu chuẩn kỹ thuật  hiện hành. </w:t>
      </w:r>
    </w:p>
    <w:p w14:paraId="1D85B731"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2. Yêu cầu chung về tổ chức kỹ thuật thi công, giám sát:</w:t>
      </w:r>
    </w:p>
    <w:p w14:paraId="2DD19C3B"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 </w:t>
      </w:r>
    </w:p>
    <w:p w14:paraId="5D635D92"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thầu phải chịu hoàn toàn trách nhiệm về tính chất ổn định, an toàn của  tất cả các hoạt động ở công trường trong suốt thời gian thi công, hoàn thiện công  trình và trong giai đoạn bảo hành, bên B phải: </w:t>
      </w:r>
    </w:p>
    <w:p w14:paraId="48099796"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Quan tâm đầy đủ đến sức khỏe an toàn của người lao động trên công  trường. Đảm bảo trật tự an toàn cho công trình không để xảy ra tình trạng nguy hiểm  cho người lao động. </w:t>
      </w:r>
    </w:p>
    <w:p w14:paraId="33091E66"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Bằng mọi biện pháp hợp lý, bên B phải bảo vệ môi trường, phòng chống cháy  nổ ở trong và ngoài công trường nhằm tránh gây thiệt hại về tài sản và người ở công  trường và khu vực lân cận. </w:t>
      </w:r>
    </w:p>
    <w:p w14:paraId="7FDFFEC6"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 </w:t>
      </w:r>
    </w:p>
    <w:p w14:paraId="4F3DFC52"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 </w:t>
      </w:r>
    </w:p>
    <w:p w14:paraId="1805C283"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Cung cấp toàn bộ nguyên vật liệu đúng yêu cầu kỹ thuật theo thiết kế đưa  vào thi công công trình. </w:t>
      </w:r>
    </w:p>
    <w:p w14:paraId="3003E492"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xml:space="preserve">- Tổ chức thực hiện thi công công trình đạt yêu cầu kỹ thuật và theo đúng  thời hạn hoàn thành công trình đã nêu trong hồ sơ dự thầu được chấp thuận. </w:t>
      </w:r>
    </w:p>
    <w:p w14:paraId="20648BB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Cung cấp những cán bộ lãnh đạo, cán bộ kỹ thuật, trợ lý kỹ thuật lành nghề  có kinh nghiệm và đủ năng lực đảm bảo thực hiện đúng đắn và đúng thời hạn nghĩa  vụ của bên B theo hợp đồng. </w:t>
      </w:r>
    </w:p>
    <w:p w14:paraId="4C5164D7"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Giám sát theo dõi những khối lượng do mình thực hiện ở công trường trong  thời gian thi công và ngay cả trong thời gian bảo hành công trình.  </w:t>
      </w:r>
    </w:p>
    <w:p w14:paraId="69967920"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14:paraId="4CB1A57A"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thầu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 </w:t>
      </w:r>
    </w:p>
    <w:p w14:paraId="562625E4"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Sau khi thi công hoàn thiện công trình và trước khi nghiệm thu công trình, bên  B phải thu dọn, san trả hiện trường và làm cho khu vực công trường được sạch sẽ. </w:t>
      </w:r>
    </w:p>
    <w:p w14:paraId="10887D3D"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thầu chịu trách nhiệm lập đầy đủ hồ sơ hoàn công công trình theo đúng  yêu cầu của bên A và các tiêu chuẩn nghiệm thu công trình. </w:t>
      </w:r>
    </w:p>
    <w:p w14:paraId="5F3945BB"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Ngoài ra nhà thầu phải tuân thủ đúng quy định hiện hành của nhà nước về  việc tổ chức kỹ thuật thi công, giám sát. </w:t>
      </w:r>
    </w:p>
    <w:p w14:paraId="3334F618"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3. Yêu cầu về chủng loại, chất lượng vật tư: </w:t>
      </w:r>
    </w:p>
    <w:p w14:paraId="11D1C46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Tất cả các loại vật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 </w:t>
      </w:r>
    </w:p>
    <w:p w14:paraId="37692493"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Khi có yêu cầu, nhà thầu phải xuất trình hồ sơ lý lịch về vật tư, thiết bị mà  nhà thầu sử dụng vào công trình. </w:t>
      </w:r>
    </w:p>
    <w:p w14:paraId="57ACDDDD"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Một số mặt hàng cần có mẫu thử, nhà thầu phải tiến hành thử nghiệm tại  nơi kiểm tra theo yêu cầu và có sự giám sát của phía chủ đầu tư. </w:t>
      </w:r>
    </w:p>
    <w:p w14:paraId="1DC8458C"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Những mặt hàng nào không đảm bảo theo yêu cầu về chất lượng, mẫu mã...,  đều phải lập biên bản và đưa ra khỏi công trình trong thời gian không quá 24 giờ. </w:t>
      </w:r>
    </w:p>
    <w:p w14:paraId="2720D2AB"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lastRenderedPageBreak/>
        <w:t xml:space="preserve">4. Các yêu cầu về trình tự thi công, lắp đặt: </w:t>
      </w:r>
    </w:p>
    <w:p w14:paraId="313EB68D"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và gửi Chủ đầu tư để theo dõi và giám sát. </w:t>
      </w:r>
    </w:p>
    <w:p w14:paraId="4DEDFD30"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5. Các yêu cầu về phòng, chống cháy, nổ: </w:t>
      </w:r>
    </w:p>
    <w:p w14:paraId="3E16FC98"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Ngay sau khi nhận bàn giao mặt bằng nhà thầu phải: </w:t>
      </w:r>
    </w:p>
    <w:p w14:paraId="12E52B1D"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5.1 Có nội qui qui định về việc phòng cháy, chữa cháy đặt tại công trình. </w:t>
      </w:r>
    </w:p>
    <w:p w14:paraId="7CB3AD7B"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5.2 Bố trí đầy đủ các thiết bị phòng cháy, chữa cháy và phải thường xuyên kiểm  tra, bổ sung kịp thời. </w:t>
      </w:r>
    </w:p>
    <w:p w14:paraId="14133F7F"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5.3 Có bố trí lực lượng phòng cháy chữa cháy đã qua tập huấn, đảm bảo luôn  luôn có mặt kịp thời khi xảy ra sự cố. </w:t>
      </w:r>
    </w:p>
    <w:p w14:paraId="4177AFB2"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6. Yêu cầu về vệ sinh môi trường; </w:t>
      </w:r>
    </w:p>
    <w:p w14:paraId="279C2139"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Nhà thầu phải thực hiện tất cả các biện pháp phòng ngừa hợp lý nhằm tránh  những tác hại đến môi trường sống và môi trường làm việc, gồm:  </w:t>
      </w:r>
    </w:p>
    <w:p w14:paraId="2BB34E37"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6.1 Chuẩn bị các phương tiện vệ sinh công cộng nhằm ngăn ngừa sự ô nhiễm  về sinh thái hoặc ô nhiễm về công nghiệp tại hiện trường. </w:t>
      </w:r>
    </w:p>
    <w:p w14:paraId="18CC6AE6" w14:textId="23EEA41A"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w:t>
      </w:r>
    </w:p>
    <w:p w14:paraId="752DC800"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6.3 Có giải pháp để giảm tiếng ồn khi thi công, tuân thủ quy định về mức ồn tối  đa cho phép trong công trình xây dựng theo tiêu chuẩn hiện hành. </w:t>
      </w:r>
    </w:p>
    <w:p w14:paraId="785EAF05"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6.4. Nhà thầu phải đổ phế thải đúng bãi đổ đã được quy định cho dự án. </w:t>
      </w:r>
    </w:p>
    <w:p w14:paraId="636D38F1"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7. Yêu cầu về an toàn lao động: </w:t>
      </w:r>
    </w:p>
    <w:p w14:paraId="702E6591"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w:t>
      </w:r>
    </w:p>
    <w:p w14:paraId="3EFB5AB8"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Nhà thầu phải có các giải pháp đảm bảo an toàn giao thông cho xe lưu thông  qua công trường; các xe ra vào, thi công trên công trường… </w:t>
      </w:r>
    </w:p>
    <w:p w14:paraId="4BD4262D"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lastRenderedPageBreak/>
        <w:t xml:space="preserve">8. Biện pháp huy động nhân lực và thiết bị phục vụ thi công: </w:t>
      </w:r>
    </w:p>
    <w:p w14:paraId="24C96451"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Nhà thầu phải có giải pháp huy động nhân lực, máy móc thiết bị thi công để  thực hiện gói thầu theo đúng các yêu cầu đề ra trong hồ sơ mời thầu;</w:t>
      </w:r>
    </w:p>
    <w:p w14:paraId="5D1A3457"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9. Yêu cầu về biện pháp tổ chức thi công tổng thể các hạng mục:</w:t>
      </w:r>
    </w:p>
    <w:p w14:paraId="5156E14B"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Nhà thầu phải có giải pháp thi công tổng thể, bố trí chung mặt bằng thi công  trên công trường, giải pháp thi công chi tiết cho các hạng mục công trình. </w:t>
      </w:r>
    </w:p>
    <w:p w14:paraId="0D0DE579"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10. Yêu cầu về hệ thống kiểm tra, giám sát chất lượng của Nhà thầu: </w:t>
      </w:r>
    </w:p>
    <w:p w14:paraId="692903A9" w14:textId="232F7B5E" w:rsidR="004104E7" w:rsidRPr="00AA03EC" w:rsidRDefault="004104E7" w:rsidP="004104E7">
      <w:pPr>
        <w:widowControl w:val="0"/>
        <w:ind w:firstLine="566"/>
        <w:jc w:val="both"/>
        <w:rPr>
          <w:rFonts w:ascii="Times New Roman" w:eastAsia="Times New Roman" w:hAnsi="Times New Roman" w:cs="Times New Roman"/>
          <w:color w:val="0D0D0D"/>
          <w:sz w:val="28"/>
          <w:szCs w:val="28"/>
          <w:lang w:val="en-GB"/>
        </w:rPr>
      </w:pPr>
      <w:r>
        <w:rPr>
          <w:rFonts w:ascii="Times New Roman" w:eastAsia="Times New Roman" w:hAnsi="Times New Roman" w:cs="Times New Roman"/>
          <w:color w:val="0D0D0D"/>
          <w:sz w:val="28"/>
          <w:szCs w:val="28"/>
        </w:rPr>
        <w:t>Nhà thầu phải có hệ thống kiểm tra, giám sát chất lượng của nhà thầu theo đúng quy định tại Nghị định số 06/2021/NĐ-CP ngày 26/01/2021 của Chính phủ về Quản  lý chất lượng công trình xây dựng</w:t>
      </w:r>
      <w:r w:rsidR="00AA03EC">
        <w:rPr>
          <w:rFonts w:ascii="Times New Roman" w:eastAsia="Times New Roman" w:hAnsi="Times New Roman" w:cs="Times New Roman"/>
          <w:color w:val="0D0D0D"/>
          <w:sz w:val="28"/>
          <w:szCs w:val="28"/>
          <w:lang w:val="en-GB"/>
        </w:rPr>
        <w:t xml:space="preserve"> và </w:t>
      </w:r>
      <w:r w:rsidR="00AA03EC" w:rsidRPr="00AA03EC">
        <w:rPr>
          <w:rFonts w:ascii="Times New Roman" w:eastAsia="Times New Roman" w:hAnsi="Times New Roman" w:cs="Times New Roman"/>
          <w:color w:val="0D0D0D"/>
          <w:sz w:val="28"/>
          <w:szCs w:val="28"/>
          <w:lang w:val="en-GB"/>
        </w:rPr>
        <w:t>Văn bản hợp nhất số 03/VBHN-BXD ngày 20/01/2026 của Bộ Xây dựng</w:t>
      </w:r>
      <w:r w:rsidR="00AA03EC">
        <w:rPr>
          <w:rFonts w:ascii="Times New Roman" w:eastAsia="Times New Roman" w:hAnsi="Times New Roman" w:cs="Times New Roman"/>
          <w:color w:val="0D0D0D"/>
          <w:sz w:val="28"/>
          <w:szCs w:val="28"/>
          <w:lang w:val="en-GB"/>
        </w:rPr>
        <w:t>.</w:t>
      </w:r>
    </w:p>
    <w:p w14:paraId="657E46C7" w14:textId="77777777"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(Các nội dung khác quy định tại Hồ sơ thiết kế bản vẽ thi công được duyệt);</w:t>
      </w:r>
    </w:p>
    <w:p w14:paraId="386E3F13" w14:textId="77777777" w:rsidR="004104E7" w:rsidRDefault="004104E7" w:rsidP="004104E7">
      <w:pPr>
        <w:widowControl w:val="0"/>
        <w:ind w:firstLine="566"/>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11. Các yêu cầu khác: </w:t>
      </w:r>
    </w:p>
    <w:p w14:paraId="748A17AA" w14:textId="29931BE4" w:rsidR="004104E7" w:rsidRDefault="004104E7" w:rsidP="004104E7">
      <w:pPr>
        <w:widowControl w:val="0"/>
        <w:ind w:firstLine="56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Trong quá trình thi công nhà thầu phải phối hợp cụ thể, thường xuyên với các bên liên quan có biện pháp tránh ảnh hưởng và đảm bảo sự hoạt động làm việc và an  toàn của công trình và của các công trình lân cận. </w:t>
      </w:r>
    </w:p>
    <w:p w14:paraId="70BAC260" w14:textId="7FF49E7B" w:rsidR="004104E7" w:rsidRDefault="004104E7" w:rsidP="004104E7">
      <w:pPr>
        <w:widowControl w:val="0"/>
        <w:ind w:firstLine="566"/>
        <w:jc w:val="both"/>
        <w:sectPr w:rsidR="004104E7">
          <w:pgSz w:w="16838" w:h="11906" w:orient="landscape"/>
          <w:pgMar w:top="850" w:right="850" w:bottom="850" w:left="1417" w:header="720" w:footer="403" w:gutter="0"/>
          <w:cols w:space="720"/>
        </w:sectPr>
      </w:pPr>
      <w:r>
        <w:rPr>
          <w:rFonts w:ascii="Times New Roman" w:eastAsia="Times New Roman" w:hAnsi="Times New Roman" w:cs="Times New Roman"/>
          <w:b/>
          <w:bCs/>
          <w:color w:val="0D0D0D"/>
          <w:sz w:val="28"/>
          <w:szCs w:val="28"/>
        </w:rPr>
        <w:t xml:space="preserve">III. Các bản vẽ: </w:t>
      </w:r>
      <w:r>
        <w:rPr>
          <w:rFonts w:ascii="Times New Roman" w:eastAsia="Times New Roman" w:hAnsi="Times New Roman" w:cs="Times New Roman"/>
          <w:color w:val="0D0D0D"/>
          <w:sz w:val="28"/>
          <w:szCs w:val="28"/>
        </w:rPr>
        <w:t>được đính kèm cùng E-HSMT trên Hệ thống</w:t>
      </w:r>
    </w:p>
    <w:p w14:paraId="285A7720" w14:textId="77777777" w:rsidR="0090618F" w:rsidRDefault="0090618F"/>
    <w:sectPr w:rsidR="0090618F" w:rsidSect="004104E7">
      <w:pgSz w:w="16838" w:h="11906"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E7"/>
    <w:rsid w:val="00392253"/>
    <w:rsid w:val="004104E7"/>
    <w:rsid w:val="0090618F"/>
    <w:rsid w:val="00AA03EC"/>
    <w:rsid w:val="00D53524"/>
    <w:rsid w:val="00DA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E0A1"/>
  <w15:chartTrackingRefBased/>
  <w15:docId w15:val="{75491AA7-7FBC-47CD-B451-74C2785E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E7"/>
    <w:pPr>
      <w:spacing w:after="0" w:line="276" w:lineRule="auto"/>
    </w:pPr>
    <w:rPr>
      <w:rFonts w:ascii="Arial" w:eastAsia="Arial" w:hAnsi="Arial" w:cs="Arial"/>
      <w:lang w:val="vi" w:eastAsia="en-GB"/>
    </w:rPr>
  </w:style>
  <w:style w:type="paragraph" w:styleId="Heading1">
    <w:name w:val="heading 1"/>
    <w:basedOn w:val="Normal"/>
    <w:next w:val="Normal"/>
    <w:link w:val="Heading1Char"/>
    <w:uiPriority w:val="9"/>
    <w:qFormat/>
    <w:rsid w:val="004104E7"/>
    <w:pPr>
      <w:keepNext/>
      <w:keepLines/>
      <w:tabs>
        <w:tab w:val="left" w:pos="1418"/>
      </w:tabs>
      <w:spacing w:line="264" w:lineRule="auto"/>
      <w:ind w:left="91"/>
      <w:jc w:val="cente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4E7"/>
    <w:rPr>
      <w:rFonts w:ascii="Times New Roman" w:eastAsia="Times New Roman" w:hAnsi="Times New Roman" w:cs="Times New Roman"/>
      <w:b/>
      <w:bCs/>
      <w:sz w:val="28"/>
      <w:szCs w:val="28"/>
      <w:lang w:val="v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5</cp:revision>
  <dcterms:created xsi:type="dcterms:W3CDTF">2026-03-26T07:34:00Z</dcterms:created>
  <dcterms:modified xsi:type="dcterms:W3CDTF">2026-04-09T01:09:00Z</dcterms:modified>
</cp:coreProperties>
</file>