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DC77" w14:textId="42DA1876" w:rsidR="007803B6" w:rsidRDefault="007803B6"/>
    <w:tbl>
      <w:tblPr>
        <w:tblStyle w:val="TableGrid"/>
        <w:tblW w:w="9640" w:type="dxa"/>
        <w:tblInd w:w="-289" w:type="dxa"/>
        <w:tblLook w:val="04A0" w:firstRow="1" w:lastRow="0" w:firstColumn="1" w:lastColumn="0" w:noHBand="0" w:noVBand="1"/>
      </w:tblPr>
      <w:tblGrid>
        <w:gridCol w:w="7372"/>
        <w:gridCol w:w="2268"/>
      </w:tblGrid>
      <w:tr w:rsidR="00C1373A" w14:paraId="2C2531F2" w14:textId="77777777" w:rsidTr="00C1373A">
        <w:tc>
          <w:tcPr>
            <w:tcW w:w="7372" w:type="dxa"/>
          </w:tcPr>
          <w:p w14:paraId="36D6F2E0" w14:textId="7025E9AF" w:rsidR="00C1373A" w:rsidRPr="00C1373A" w:rsidRDefault="00C1373A">
            <w:pPr>
              <w:rPr>
                <w:rFonts w:ascii="Times New Roman" w:hAnsi="Times New Roman" w:cs="Times New Roman"/>
                <w:b/>
                <w:bCs/>
                <w:sz w:val="28"/>
                <w:szCs w:val="28"/>
              </w:rPr>
            </w:pPr>
            <w:r w:rsidRPr="00C1373A">
              <w:rPr>
                <w:rFonts w:ascii="Times New Roman" w:hAnsi="Times New Roman" w:cs="Times New Roman"/>
                <w:b/>
                <w:bCs/>
                <w:sz w:val="28"/>
                <w:szCs w:val="28"/>
              </w:rPr>
              <w:t>Tiêu chí đánh giá</w:t>
            </w:r>
          </w:p>
        </w:tc>
        <w:tc>
          <w:tcPr>
            <w:tcW w:w="2268" w:type="dxa"/>
          </w:tcPr>
          <w:p w14:paraId="6F305476" w14:textId="6E18FF74" w:rsidR="00C1373A" w:rsidRPr="00C1373A" w:rsidRDefault="00C1373A">
            <w:pPr>
              <w:rPr>
                <w:rFonts w:ascii="Times New Roman" w:hAnsi="Times New Roman" w:cs="Times New Roman"/>
                <w:b/>
                <w:bCs/>
                <w:sz w:val="28"/>
                <w:szCs w:val="28"/>
              </w:rPr>
            </w:pPr>
            <w:r w:rsidRPr="00C1373A">
              <w:rPr>
                <w:rFonts w:ascii="Times New Roman" w:hAnsi="Times New Roman" w:cs="Times New Roman"/>
                <w:b/>
                <w:bCs/>
                <w:sz w:val="28"/>
                <w:szCs w:val="28"/>
              </w:rPr>
              <w:t>Đạt/Không đạt</w:t>
            </w:r>
          </w:p>
        </w:tc>
      </w:tr>
      <w:tr w:rsidR="00C1373A" w14:paraId="012A97EA" w14:textId="77777777" w:rsidTr="00C1373A">
        <w:tc>
          <w:tcPr>
            <w:tcW w:w="9640" w:type="dxa"/>
            <w:gridSpan w:val="2"/>
          </w:tcPr>
          <w:p w14:paraId="740BBBA5" w14:textId="406D83EF" w:rsidR="00C1373A" w:rsidRPr="00C1373A" w:rsidRDefault="00C1373A">
            <w:pPr>
              <w:rPr>
                <w:rFonts w:ascii="Times New Roman" w:hAnsi="Times New Roman" w:cs="Times New Roman"/>
                <w:b/>
                <w:bCs/>
                <w:sz w:val="28"/>
                <w:szCs w:val="28"/>
              </w:rPr>
            </w:pPr>
            <w:r w:rsidRPr="00C1373A">
              <w:rPr>
                <w:rFonts w:ascii="Times New Roman" w:hAnsi="Times New Roman" w:cs="Times New Roman"/>
                <w:b/>
                <w:bCs/>
                <w:sz w:val="28"/>
                <w:szCs w:val="28"/>
              </w:rPr>
              <w:t>1. Đặc tính, thông số kỹ thuật của hàng hóa, tiêu chuẩn sản xuất, tiêu chuẩn chế tạo và công nghệ</w:t>
            </w:r>
          </w:p>
        </w:tc>
      </w:tr>
      <w:tr w:rsidR="00C1373A" w14:paraId="4D5CD80A" w14:textId="77777777" w:rsidTr="008973C3">
        <w:tc>
          <w:tcPr>
            <w:tcW w:w="7372" w:type="dxa"/>
          </w:tcPr>
          <w:p w14:paraId="5A129FEF" w14:textId="7A8A9E44" w:rsidR="00C1373A" w:rsidRDefault="00C1373A" w:rsidP="00C1373A">
            <w:pPr>
              <w:jc w:val="both"/>
              <w:rPr>
                <w:rFonts w:ascii="Times New Roman" w:hAnsi="Times New Roman" w:cs="Times New Roman"/>
                <w:sz w:val="28"/>
                <w:szCs w:val="28"/>
              </w:rPr>
            </w:pPr>
            <w:r w:rsidRPr="00C1373A">
              <w:rPr>
                <w:rFonts w:ascii="Times New Roman" w:hAnsi="Times New Roman" w:cs="Times New Roman"/>
                <w:sz w:val="28"/>
                <w:szCs w:val="28"/>
              </w:rPr>
              <w:t>Sản phẩm dự thầu có đặc tính, thông số kỹ thuật, tiêu chuẩn sản xuất, tiêu chuẩn chế tạo và công nghệ tương đương, chấp nhận được hoặc ưu việt hơn so với yêu cầu về kỹ thuật quy định tại Chương V E-HSMT. Thông số kỹ thuật trong catalogue, tài liệu kỹ thuật của sản phẩm phù hợp, logic với thông số kỹ thuật nhà thầu đề xuất</w:t>
            </w:r>
          </w:p>
        </w:tc>
        <w:tc>
          <w:tcPr>
            <w:tcW w:w="2268" w:type="dxa"/>
            <w:vAlign w:val="center"/>
          </w:tcPr>
          <w:p w14:paraId="178E68F2" w14:textId="6E34756A" w:rsidR="00C1373A" w:rsidRPr="008973C3" w:rsidRDefault="008973C3" w:rsidP="008973C3">
            <w:pPr>
              <w:jc w:val="center"/>
              <w:rPr>
                <w:rFonts w:ascii="Times New Roman" w:hAnsi="Times New Roman" w:cs="Times New Roman"/>
                <w:b/>
                <w:bCs/>
                <w:sz w:val="28"/>
                <w:szCs w:val="28"/>
              </w:rPr>
            </w:pPr>
            <w:r w:rsidRPr="008973C3">
              <w:rPr>
                <w:rFonts w:ascii="Times New Roman" w:hAnsi="Times New Roman" w:cs="Times New Roman"/>
                <w:b/>
                <w:bCs/>
                <w:sz w:val="28"/>
                <w:szCs w:val="28"/>
              </w:rPr>
              <w:t>Đạt</w:t>
            </w:r>
          </w:p>
        </w:tc>
      </w:tr>
      <w:tr w:rsidR="00C1373A" w14:paraId="7B022B69" w14:textId="77777777" w:rsidTr="008973C3">
        <w:tc>
          <w:tcPr>
            <w:tcW w:w="7372" w:type="dxa"/>
          </w:tcPr>
          <w:p w14:paraId="7DD8E673" w14:textId="5FEAA8DD" w:rsidR="00C1373A" w:rsidRDefault="00C1373A" w:rsidP="00C1373A">
            <w:pPr>
              <w:jc w:val="both"/>
              <w:rPr>
                <w:rFonts w:ascii="Times New Roman" w:hAnsi="Times New Roman" w:cs="Times New Roman"/>
                <w:sz w:val="28"/>
                <w:szCs w:val="28"/>
              </w:rPr>
            </w:pPr>
            <w:r w:rsidRPr="00C1373A">
              <w:rPr>
                <w:rFonts w:ascii="Times New Roman" w:hAnsi="Times New Roman" w:cs="Times New Roman"/>
                <w:sz w:val="28"/>
                <w:szCs w:val="28"/>
              </w:rPr>
              <w:t>Sản phẩm dự thầu có đặc tính, thông số kỹ thuật, tiêu chuẩn sản xuất, tiêu chuẩn chế tạo và công nghệ không đáp ứng yêu cầu về kỹ thuật quy định tại Chương V E-HSMT. Hoặc thông số kỹ thuật trong catalogue, tài liệu kỹ thuật của sản phẩm không phù hợp, không logic với thông số kỹ thuật nhà thầu đề xuất.</w:t>
            </w:r>
          </w:p>
        </w:tc>
        <w:tc>
          <w:tcPr>
            <w:tcW w:w="2268" w:type="dxa"/>
            <w:vAlign w:val="center"/>
          </w:tcPr>
          <w:p w14:paraId="050DBC6C" w14:textId="5D858A36" w:rsidR="00C1373A" w:rsidRPr="008973C3" w:rsidRDefault="008973C3" w:rsidP="008973C3">
            <w:pPr>
              <w:jc w:val="center"/>
              <w:rPr>
                <w:rFonts w:ascii="Times New Roman" w:hAnsi="Times New Roman" w:cs="Times New Roman"/>
                <w:b/>
                <w:bCs/>
                <w:sz w:val="28"/>
                <w:szCs w:val="28"/>
              </w:rPr>
            </w:pPr>
            <w:r w:rsidRPr="008973C3">
              <w:rPr>
                <w:rFonts w:ascii="Times New Roman" w:hAnsi="Times New Roman" w:cs="Times New Roman"/>
                <w:b/>
                <w:bCs/>
                <w:sz w:val="28"/>
                <w:szCs w:val="28"/>
              </w:rPr>
              <w:t>Không đạt</w:t>
            </w:r>
          </w:p>
        </w:tc>
      </w:tr>
      <w:tr w:rsidR="00C1373A" w14:paraId="68A04BF9" w14:textId="77777777" w:rsidTr="002D0229">
        <w:tc>
          <w:tcPr>
            <w:tcW w:w="9640" w:type="dxa"/>
            <w:gridSpan w:val="2"/>
          </w:tcPr>
          <w:p w14:paraId="7AB764BB" w14:textId="04CC8ED6" w:rsidR="00C1373A" w:rsidRPr="00C1373A" w:rsidRDefault="00C1373A">
            <w:pPr>
              <w:rPr>
                <w:rFonts w:ascii="Times New Roman" w:hAnsi="Times New Roman" w:cs="Times New Roman"/>
                <w:b/>
                <w:bCs/>
                <w:sz w:val="28"/>
                <w:szCs w:val="28"/>
              </w:rPr>
            </w:pPr>
            <w:r w:rsidRPr="00C1373A">
              <w:rPr>
                <w:rFonts w:ascii="Times New Roman" w:hAnsi="Times New Roman" w:cs="Times New Roman"/>
                <w:b/>
                <w:bCs/>
                <w:sz w:val="28"/>
                <w:szCs w:val="28"/>
              </w:rPr>
              <w:t>2. Tài liệu chứng minh tính hợp lệ của hàng hóa</w:t>
            </w:r>
          </w:p>
        </w:tc>
      </w:tr>
      <w:tr w:rsidR="008973C3" w14:paraId="03C8F3BF" w14:textId="77777777" w:rsidTr="00F041A0">
        <w:tc>
          <w:tcPr>
            <w:tcW w:w="7372" w:type="dxa"/>
          </w:tcPr>
          <w:p w14:paraId="03445C74" w14:textId="77777777" w:rsidR="008973C3" w:rsidRDefault="008973C3" w:rsidP="008973C3">
            <w:pPr>
              <w:jc w:val="both"/>
              <w:rPr>
                <w:rFonts w:ascii="Times New Roman" w:hAnsi="Times New Roman" w:cs="Times New Roman"/>
                <w:sz w:val="28"/>
                <w:szCs w:val="28"/>
              </w:rPr>
            </w:pPr>
            <w:r w:rsidRPr="00C1373A">
              <w:rPr>
                <w:rFonts w:ascii="Times New Roman" w:hAnsi="Times New Roman" w:cs="Times New Roman"/>
                <w:sz w:val="28"/>
                <w:szCs w:val="28"/>
              </w:rPr>
              <w:t xml:space="preserve">Nhà thầu cung cấp các tài liệu sau: </w:t>
            </w:r>
          </w:p>
          <w:p w14:paraId="2E2A5599" w14:textId="2922AB7F"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Tài liệu kỹ thuật, catalogue, hình ảnh của sản phẩm dự thầu. </w:t>
            </w:r>
          </w:p>
          <w:p w14:paraId="199A32A2" w14:textId="3219E39B"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Giấy chứng nhận ISO đối với nhà thầu là nhà sản xuất. </w:t>
            </w:r>
          </w:p>
          <w:p w14:paraId="21943EB3" w14:textId="263D7B31"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Đối với sản phẩm dự thầu là trang thiết bị y tế loại A, B: </w:t>
            </w:r>
          </w:p>
          <w:p w14:paraId="37E98AC9" w14:textId="7344041C"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Phiếu tiếp nhận hồ sơ công bố tiêu chuẩn áp dụng của cơ quan có thẩm quyền; </w:t>
            </w:r>
          </w:p>
          <w:p w14:paraId="6ACC1D07" w14:textId="21CD611E"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Tài liệu chứng minh Số công bố tiêu chuẩn đã được công khai trên Cổng thông tin điện tử về quản lý trang thiết bị y tế của Bộ Y tế. </w:t>
            </w:r>
          </w:p>
          <w:p w14:paraId="32C61CFF" w14:textId="5F137943"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Đối với sản phẩm dự thầu là trang thiết bị y tế loại C, D: </w:t>
            </w:r>
          </w:p>
          <w:p w14:paraId="16607931" w14:textId="101F1088"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Giấy chứng nhận đăng ký lưu hành (Số lưu hành) do Bộ Y tế cấp; </w:t>
            </w:r>
          </w:p>
          <w:p w14:paraId="2FA56B13" w14:textId="45CDFE06"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Hoặc Số giấy phép nhập khẩu phù hợp với trang thiết bị y tế dự thầu.</w:t>
            </w:r>
          </w:p>
          <w:p w14:paraId="7F209DED" w14:textId="0A96FA1C"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Đối đối với sản phẩm dự thầu là trang thiết bị y tế loại B, C, D: Nhà thầu phải đủ điều kiện mua bán trang thiết bị y tế (Phiếu tiếp nhận hồ sơ công bố đủ điều kiện mua bán trang thiết bị y tế). </w:t>
            </w:r>
          </w:p>
          <w:p w14:paraId="3398B9F7" w14:textId="5D05B40D"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Đối với sản phẩm dự thầu không phải là trang thiết bị y tế: Tài liệu lưu hành hàng hoá tại Việt Nam gồm Tiêu chuẩn cơ sở/Phiếu công bố sản phẩm/Tờ khai hàng hóa nhập khẩu (thông quan) chứng minh hàng hóa được nhập khẩu hợp pháp vào thị trường Việt Nam hoặc tài liệu tương đương. </w:t>
            </w:r>
          </w:p>
          <w:p w14:paraId="688F7AFA" w14:textId="215777B9" w:rsidR="008973C3" w:rsidRDefault="008973C3" w:rsidP="008973C3">
            <w:pPr>
              <w:jc w:val="both"/>
              <w:rPr>
                <w:rFonts w:ascii="Times New Roman" w:hAnsi="Times New Roman" w:cs="Times New Roman"/>
                <w:sz w:val="28"/>
                <w:szCs w:val="28"/>
              </w:rPr>
            </w:pPr>
            <w:r w:rsidRPr="00C1373A">
              <w:rPr>
                <w:rFonts w:ascii="Times New Roman" w:hAnsi="Times New Roman" w:cs="Times New Roman"/>
                <w:sz w:val="28"/>
                <w:szCs w:val="28"/>
              </w:rPr>
              <w:t>Trường hợp nhà thầu không có các tài liệu theo yêu cầu nêu trên hoặc có nhưng nội dung chưa rõ thì Chủ đầu tư yêu cầu nhà thầu bổ sung, làm rõ.</w:t>
            </w:r>
          </w:p>
        </w:tc>
        <w:tc>
          <w:tcPr>
            <w:tcW w:w="2268" w:type="dxa"/>
            <w:vAlign w:val="center"/>
          </w:tcPr>
          <w:p w14:paraId="636DBBC2" w14:textId="5C849C6A" w:rsidR="008973C3" w:rsidRDefault="008973C3" w:rsidP="003B6B49">
            <w:pPr>
              <w:jc w:val="center"/>
              <w:rPr>
                <w:rFonts w:ascii="Times New Roman" w:hAnsi="Times New Roman" w:cs="Times New Roman"/>
                <w:sz w:val="28"/>
                <w:szCs w:val="28"/>
              </w:rPr>
            </w:pPr>
            <w:r w:rsidRPr="008973C3">
              <w:rPr>
                <w:rFonts w:ascii="Times New Roman" w:hAnsi="Times New Roman" w:cs="Times New Roman"/>
                <w:b/>
                <w:bCs/>
                <w:sz w:val="28"/>
                <w:szCs w:val="28"/>
              </w:rPr>
              <w:t>Đạt</w:t>
            </w:r>
          </w:p>
        </w:tc>
      </w:tr>
      <w:tr w:rsidR="008973C3" w14:paraId="31C6FBB8" w14:textId="77777777" w:rsidTr="00F041A0">
        <w:tc>
          <w:tcPr>
            <w:tcW w:w="7372" w:type="dxa"/>
          </w:tcPr>
          <w:p w14:paraId="5FD24F97" w14:textId="066F0C37" w:rsidR="008973C3" w:rsidRDefault="008973C3" w:rsidP="008973C3">
            <w:pPr>
              <w:rPr>
                <w:rFonts w:ascii="Times New Roman" w:hAnsi="Times New Roman" w:cs="Times New Roman"/>
                <w:sz w:val="28"/>
                <w:szCs w:val="28"/>
              </w:rPr>
            </w:pPr>
            <w:r w:rsidRPr="00C1373A">
              <w:rPr>
                <w:rFonts w:ascii="Times New Roman" w:hAnsi="Times New Roman" w:cs="Times New Roman"/>
                <w:sz w:val="28"/>
                <w:szCs w:val="28"/>
              </w:rPr>
              <w:t>Không đáp ứng yêu cầu nêu trên.</w:t>
            </w:r>
          </w:p>
        </w:tc>
        <w:tc>
          <w:tcPr>
            <w:tcW w:w="2268" w:type="dxa"/>
            <w:vAlign w:val="center"/>
          </w:tcPr>
          <w:p w14:paraId="2244503D" w14:textId="66717EC0" w:rsidR="008973C3" w:rsidRDefault="008973C3" w:rsidP="003B6B49">
            <w:pPr>
              <w:jc w:val="center"/>
              <w:rPr>
                <w:rFonts w:ascii="Times New Roman" w:hAnsi="Times New Roman" w:cs="Times New Roman"/>
                <w:sz w:val="28"/>
                <w:szCs w:val="28"/>
              </w:rPr>
            </w:pPr>
            <w:r w:rsidRPr="008973C3">
              <w:rPr>
                <w:rFonts w:ascii="Times New Roman" w:hAnsi="Times New Roman" w:cs="Times New Roman"/>
                <w:b/>
                <w:bCs/>
                <w:sz w:val="28"/>
                <w:szCs w:val="28"/>
              </w:rPr>
              <w:t>Không đạt</w:t>
            </w:r>
          </w:p>
        </w:tc>
      </w:tr>
      <w:tr w:rsidR="00C1373A" w14:paraId="5C6D138E" w14:textId="77777777" w:rsidTr="00686778">
        <w:tc>
          <w:tcPr>
            <w:tcW w:w="9640" w:type="dxa"/>
            <w:gridSpan w:val="2"/>
          </w:tcPr>
          <w:p w14:paraId="38597F15" w14:textId="29CF8874" w:rsidR="00C1373A" w:rsidRPr="00C1373A" w:rsidRDefault="00C1373A">
            <w:pPr>
              <w:rPr>
                <w:rFonts w:ascii="Times New Roman" w:hAnsi="Times New Roman" w:cs="Times New Roman"/>
                <w:b/>
                <w:bCs/>
                <w:sz w:val="28"/>
                <w:szCs w:val="28"/>
              </w:rPr>
            </w:pPr>
            <w:r w:rsidRPr="00C1373A">
              <w:rPr>
                <w:rFonts w:ascii="Times New Roman" w:hAnsi="Times New Roman" w:cs="Times New Roman"/>
                <w:b/>
                <w:bCs/>
                <w:sz w:val="28"/>
                <w:szCs w:val="28"/>
              </w:rPr>
              <w:t>3. Thời gian giao hàng</w:t>
            </w:r>
          </w:p>
        </w:tc>
      </w:tr>
      <w:tr w:rsidR="008973C3" w14:paraId="020988C0" w14:textId="77777777" w:rsidTr="00CC1472">
        <w:tc>
          <w:tcPr>
            <w:tcW w:w="7372" w:type="dxa"/>
          </w:tcPr>
          <w:p w14:paraId="4A29700D" w14:textId="3EBF89A9" w:rsidR="008973C3" w:rsidRDefault="008973C3" w:rsidP="008973C3">
            <w:pPr>
              <w:rPr>
                <w:rFonts w:ascii="Times New Roman" w:hAnsi="Times New Roman" w:cs="Times New Roman"/>
                <w:sz w:val="28"/>
                <w:szCs w:val="28"/>
              </w:rPr>
            </w:pPr>
            <w:r w:rsidRPr="00C1373A">
              <w:rPr>
                <w:rFonts w:ascii="Times New Roman" w:hAnsi="Times New Roman" w:cs="Times New Roman"/>
                <w:sz w:val="28"/>
                <w:szCs w:val="28"/>
              </w:rPr>
              <w:lastRenderedPageBreak/>
              <w:t>Ngày giao hàng do nhà thầu đề xuất không quá 03 ngày kể từ ngày chủ đầu tư yêu cầu giao hàng.</w:t>
            </w:r>
          </w:p>
        </w:tc>
        <w:tc>
          <w:tcPr>
            <w:tcW w:w="2268" w:type="dxa"/>
            <w:vAlign w:val="center"/>
          </w:tcPr>
          <w:p w14:paraId="32BC6F60" w14:textId="07FFA106" w:rsidR="008973C3" w:rsidRDefault="008973C3" w:rsidP="003B6B49">
            <w:pPr>
              <w:jc w:val="center"/>
              <w:rPr>
                <w:rFonts w:ascii="Times New Roman" w:hAnsi="Times New Roman" w:cs="Times New Roman"/>
                <w:sz w:val="28"/>
                <w:szCs w:val="28"/>
              </w:rPr>
            </w:pPr>
            <w:r w:rsidRPr="008973C3">
              <w:rPr>
                <w:rFonts w:ascii="Times New Roman" w:hAnsi="Times New Roman" w:cs="Times New Roman"/>
                <w:b/>
                <w:bCs/>
                <w:sz w:val="28"/>
                <w:szCs w:val="28"/>
              </w:rPr>
              <w:t>Đạt</w:t>
            </w:r>
          </w:p>
        </w:tc>
      </w:tr>
      <w:tr w:rsidR="008973C3" w14:paraId="078C75D2" w14:textId="77777777" w:rsidTr="00CC1472">
        <w:tc>
          <w:tcPr>
            <w:tcW w:w="7372" w:type="dxa"/>
          </w:tcPr>
          <w:p w14:paraId="0C24864D" w14:textId="4ED40A34" w:rsidR="008973C3" w:rsidRDefault="008973C3" w:rsidP="008973C3">
            <w:pPr>
              <w:rPr>
                <w:rFonts w:ascii="Times New Roman" w:hAnsi="Times New Roman" w:cs="Times New Roman"/>
                <w:sz w:val="28"/>
                <w:szCs w:val="28"/>
              </w:rPr>
            </w:pPr>
            <w:r w:rsidRPr="00C1373A">
              <w:rPr>
                <w:rFonts w:ascii="Times New Roman" w:hAnsi="Times New Roman" w:cs="Times New Roman"/>
                <w:sz w:val="28"/>
                <w:szCs w:val="28"/>
              </w:rPr>
              <w:t>Ngày giao hàng do nhà thầu đề xuất muộn hơn 03 ngày kể từ ngày chủ đầu tư yêu cầu giao hàng</w:t>
            </w:r>
          </w:p>
        </w:tc>
        <w:tc>
          <w:tcPr>
            <w:tcW w:w="2268" w:type="dxa"/>
            <w:vAlign w:val="center"/>
          </w:tcPr>
          <w:p w14:paraId="7040F88F" w14:textId="74D10CFD" w:rsidR="008973C3" w:rsidRDefault="008973C3" w:rsidP="003B6B49">
            <w:pPr>
              <w:jc w:val="center"/>
              <w:rPr>
                <w:rFonts w:ascii="Times New Roman" w:hAnsi="Times New Roman" w:cs="Times New Roman"/>
                <w:sz w:val="28"/>
                <w:szCs w:val="28"/>
              </w:rPr>
            </w:pPr>
            <w:r w:rsidRPr="008973C3">
              <w:rPr>
                <w:rFonts w:ascii="Times New Roman" w:hAnsi="Times New Roman" w:cs="Times New Roman"/>
                <w:b/>
                <w:bCs/>
                <w:sz w:val="28"/>
                <w:szCs w:val="28"/>
              </w:rPr>
              <w:t>Không đạt</w:t>
            </w:r>
          </w:p>
        </w:tc>
      </w:tr>
      <w:tr w:rsidR="00C1373A" w14:paraId="0C11B992" w14:textId="77777777" w:rsidTr="00F10E2A">
        <w:tc>
          <w:tcPr>
            <w:tcW w:w="9640" w:type="dxa"/>
            <w:gridSpan w:val="2"/>
          </w:tcPr>
          <w:p w14:paraId="58F3625F" w14:textId="0BDA8632" w:rsidR="00C1373A" w:rsidRPr="00C1373A" w:rsidRDefault="00C1373A">
            <w:pPr>
              <w:rPr>
                <w:rFonts w:ascii="Times New Roman" w:hAnsi="Times New Roman" w:cs="Times New Roman"/>
                <w:b/>
                <w:bCs/>
                <w:sz w:val="28"/>
                <w:szCs w:val="28"/>
              </w:rPr>
            </w:pPr>
            <w:r w:rsidRPr="00C1373A">
              <w:rPr>
                <w:rFonts w:ascii="Times New Roman" w:hAnsi="Times New Roman" w:cs="Times New Roman"/>
                <w:b/>
                <w:bCs/>
                <w:sz w:val="28"/>
                <w:szCs w:val="28"/>
              </w:rPr>
              <w:t>4. Cam kết của nhà thầu</w:t>
            </w:r>
          </w:p>
        </w:tc>
      </w:tr>
      <w:tr w:rsidR="008973C3" w14:paraId="7A223DD3" w14:textId="77777777" w:rsidTr="00943D54">
        <w:tc>
          <w:tcPr>
            <w:tcW w:w="7372" w:type="dxa"/>
          </w:tcPr>
          <w:p w14:paraId="14C2B4EF" w14:textId="77777777" w:rsidR="008973C3" w:rsidRDefault="008973C3" w:rsidP="008973C3">
            <w:pPr>
              <w:jc w:val="both"/>
              <w:rPr>
                <w:rFonts w:ascii="Times New Roman" w:hAnsi="Times New Roman" w:cs="Times New Roman"/>
                <w:sz w:val="28"/>
                <w:szCs w:val="28"/>
              </w:rPr>
            </w:pPr>
            <w:r w:rsidRPr="00C1373A">
              <w:rPr>
                <w:rFonts w:ascii="Times New Roman" w:hAnsi="Times New Roman" w:cs="Times New Roman"/>
                <w:sz w:val="28"/>
                <w:szCs w:val="28"/>
              </w:rPr>
              <w:t xml:space="preserve">Nhà thầu cam kết: </w:t>
            </w:r>
          </w:p>
          <w:p w14:paraId="07C63565" w14:textId="77777777"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Nhà thầu cung cấp đầy đủ dụng cụ, thiết bị hỗ trợ để thực hiện các dịch vụ kỹ thuật theo yêu cầu của Chủ đầu tư và có đầy đủ tài liệu pháp lý của dụng cụ, thiết bị hỗ trợ (nếu có) để đưa vào sử dụng tại Bệnh viện. </w:t>
            </w:r>
          </w:p>
          <w:p w14:paraId="75D93EE8" w14:textId="77777777"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Hàng hóa được giao mới 100%, còn nguyên bao bì. </w:t>
            </w:r>
          </w:p>
          <w:p w14:paraId="18BF9262" w14:textId="77777777"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Hàng hóa khi giao đảm bảo phẩm chất, chất lượng, bao bì đóng gói, thông số kỹ thuật theo đúng tiêu chuẩn của nhà sản xuất và theo yêu cầu của HSMT, đảm bảo không có các khuyết tật nảy sinh dẫn đến bất lợi trong quá trình sử dụng. </w:t>
            </w:r>
          </w:p>
          <w:p w14:paraId="3711349E" w14:textId="085F86DB"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Hàng hóa được giao đến kho của chủ đầu tư, mọi chi phí vận chuyển do nhà thầu chịu.</w:t>
            </w:r>
          </w:p>
          <w:p w14:paraId="5349C2BE" w14:textId="77777777"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Hạn sử dụng còn lại của hàng hóa tính từ thời điểm cung ứng cho chủ đầu tư đảm bảo tối thiểu còn 06 tháng đối với hàng hóa có hạn dùng từ 02 năm trở lên; 03 tháng đối với hàng hóa có hạn dùng từ 01 đến dưới 02 năm; ¼ hạn dùng đối với hàng hóa có hạn dùng dưới 01 năm. </w:t>
            </w:r>
          </w:p>
          <w:p w14:paraId="050B2456" w14:textId="77777777" w:rsidR="008973C3" w:rsidRDefault="008973C3" w:rsidP="008973C3">
            <w:pPr>
              <w:jc w:val="both"/>
              <w:rPr>
                <w:rFonts w:ascii="Times New Roman" w:hAnsi="Times New Roman" w:cs="Times New Roman"/>
                <w:sz w:val="28"/>
                <w:szCs w:val="28"/>
              </w:rPr>
            </w:pPr>
            <w:r>
              <w:rPr>
                <w:rFonts w:ascii="Times New Roman" w:hAnsi="Times New Roman" w:cs="Times New Roman"/>
                <w:sz w:val="28"/>
                <w:szCs w:val="28"/>
              </w:rPr>
              <w:t xml:space="preserve"> </w:t>
            </w:r>
            <w:r w:rsidRPr="00C1373A">
              <w:rPr>
                <w:rFonts w:ascii="Times New Roman" w:hAnsi="Times New Roman" w:cs="Times New Roman"/>
                <w:sz w:val="28"/>
                <w:szCs w:val="28"/>
              </w:rPr>
              <w:t xml:space="preserve">- Thu hồi hàng hóa không đảm bảo chất lượng trong quá trình kiểm tra, kiểm nghiệm, sử dụng hoặc khi có công bố của cơ quan có thẩm quyền và cung cấp lại hàng hóa theo đúng tiêu chuẩn chất lượng. </w:t>
            </w:r>
          </w:p>
          <w:p w14:paraId="19AEE75A" w14:textId="32D08856" w:rsidR="008973C3" w:rsidRDefault="008973C3" w:rsidP="008973C3">
            <w:pPr>
              <w:jc w:val="both"/>
              <w:rPr>
                <w:rFonts w:ascii="Times New Roman" w:hAnsi="Times New Roman" w:cs="Times New Roman"/>
                <w:sz w:val="28"/>
                <w:szCs w:val="28"/>
              </w:rPr>
            </w:pPr>
            <w:r w:rsidRPr="00C1373A">
              <w:rPr>
                <w:rFonts w:ascii="Times New Roman" w:hAnsi="Times New Roman" w:cs="Times New Roman"/>
                <w:sz w:val="28"/>
                <w:szCs w:val="28"/>
              </w:rPr>
              <w:t>Trường hợp nhà thầu thiếu cam kết hoặc có nhưng nội dung chưa rõ thì được bổ sung trong quá trình đánh giá E-HSDT. Trường hợp nhà thầu không bổ sung cam kết trong khoảng thời gian hợp lý theo yêu cầu của Chủ đầu tư thì E-HSDT của nhà thầu được coi là không đáp ứng yêu cầu.</w:t>
            </w:r>
          </w:p>
        </w:tc>
        <w:tc>
          <w:tcPr>
            <w:tcW w:w="2268" w:type="dxa"/>
            <w:vAlign w:val="center"/>
          </w:tcPr>
          <w:p w14:paraId="65EE182C" w14:textId="762FC84D" w:rsidR="008973C3" w:rsidRDefault="008973C3" w:rsidP="003B6B49">
            <w:pPr>
              <w:jc w:val="center"/>
              <w:rPr>
                <w:rFonts w:ascii="Times New Roman" w:hAnsi="Times New Roman" w:cs="Times New Roman"/>
                <w:sz w:val="28"/>
                <w:szCs w:val="28"/>
              </w:rPr>
            </w:pPr>
            <w:r w:rsidRPr="008973C3">
              <w:rPr>
                <w:rFonts w:ascii="Times New Roman" w:hAnsi="Times New Roman" w:cs="Times New Roman"/>
                <w:b/>
                <w:bCs/>
                <w:sz w:val="28"/>
                <w:szCs w:val="28"/>
              </w:rPr>
              <w:t>Đạt</w:t>
            </w:r>
          </w:p>
        </w:tc>
      </w:tr>
      <w:tr w:rsidR="008973C3" w14:paraId="6590A5F3" w14:textId="77777777" w:rsidTr="00943D54">
        <w:tc>
          <w:tcPr>
            <w:tcW w:w="7372" w:type="dxa"/>
          </w:tcPr>
          <w:p w14:paraId="5C8E5EFB" w14:textId="042340CB" w:rsidR="008973C3" w:rsidRDefault="008973C3" w:rsidP="008973C3">
            <w:pPr>
              <w:rPr>
                <w:rFonts w:ascii="Times New Roman" w:hAnsi="Times New Roman" w:cs="Times New Roman"/>
                <w:sz w:val="28"/>
                <w:szCs w:val="28"/>
              </w:rPr>
            </w:pPr>
            <w:r w:rsidRPr="00C1373A">
              <w:rPr>
                <w:rFonts w:ascii="Times New Roman" w:hAnsi="Times New Roman" w:cs="Times New Roman"/>
                <w:sz w:val="28"/>
                <w:szCs w:val="28"/>
              </w:rPr>
              <w:t>Không đáp ứng yêu cầu nêu trên.</w:t>
            </w:r>
          </w:p>
        </w:tc>
        <w:tc>
          <w:tcPr>
            <w:tcW w:w="2268" w:type="dxa"/>
            <w:vAlign w:val="center"/>
          </w:tcPr>
          <w:p w14:paraId="5CDEAC9B" w14:textId="222419C0" w:rsidR="008973C3" w:rsidRDefault="008973C3" w:rsidP="003B6B49">
            <w:pPr>
              <w:jc w:val="center"/>
              <w:rPr>
                <w:rFonts w:ascii="Times New Roman" w:hAnsi="Times New Roman" w:cs="Times New Roman"/>
                <w:sz w:val="28"/>
                <w:szCs w:val="28"/>
              </w:rPr>
            </w:pPr>
            <w:r w:rsidRPr="008973C3">
              <w:rPr>
                <w:rFonts w:ascii="Times New Roman" w:hAnsi="Times New Roman" w:cs="Times New Roman"/>
                <w:b/>
                <w:bCs/>
                <w:sz w:val="28"/>
                <w:szCs w:val="28"/>
              </w:rPr>
              <w:t>Không đạt</w:t>
            </w:r>
          </w:p>
        </w:tc>
      </w:tr>
    </w:tbl>
    <w:p w14:paraId="4A36A468" w14:textId="77777777" w:rsidR="00C1373A" w:rsidRPr="00C1373A" w:rsidRDefault="00C1373A">
      <w:pPr>
        <w:rPr>
          <w:rFonts w:ascii="Times New Roman" w:hAnsi="Times New Roman" w:cs="Times New Roman"/>
          <w:sz w:val="28"/>
          <w:szCs w:val="28"/>
        </w:rPr>
      </w:pPr>
    </w:p>
    <w:sectPr w:rsidR="00C1373A" w:rsidRPr="00C1373A" w:rsidSect="00A43CB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6B"/>
    <w:rsid w:val="00260FBD"/>
    <w:rsid w:val="003B6B49"/>
    <w:rsid w:val="00455D87"/>
    <w:rsid w:val="007803B6"/>
    <w:rsid w:val="007A0ED8"/>
    <w:rsid w:val="00887CD4"/>
    <w:rsid w:val="008973C3"/>
    <w:rsid w:val="009A4DC3"/>
    <w:rsid w:val="00A43CBA"/>
    <w:rsid w:val="00B133A0"/>
    <w:rsid w:val="00B20DBF"/>
    <w:rsid w:val="00C1373A"/>
    <w:rsid w:val="00CE1F6B"/>
    <w:rsid w:val="00E028FD"/>
    <w:rsid w:val="00E6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FF55"/>
  <w15:chartTrackingRefBased/>
  <w15:docId w15:val="{A212C7B5-77E2-439A-BAC8-D9F66D25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E1F6B"/>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F6B"/>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F6B"/>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F6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E1F6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E1F6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CE1F6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CE1F6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CE1F6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E1F6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E1F6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E1F6B"/>
    <w:rPr>
      <w:rFonts w:eastAsiaTheme="majorEastAsia" w:cstheme="majorBidi"/>
      <w:noProof/>
      <w:color w:val="272727" w:themeColor="text1" w:themeTint="D8"/>
    </w:rPr>
  </w:style>
  <w:style w:type="paragraph" w:styleId="Title">
    <w:name w:val="Title"/>
    <w:basedOn w:val="Normal"/>
    <w:next w:val="Normal"/>
    <w:link w:val="TitleChar"/>
    <w:uiPriority w:val="10"/>
    <w:qFormat/>
    <w:rsid w:val="00CE1F6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F6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E1F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F6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E1F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1F6B"/>
    <w:rPr>
      <w:i/>
      <w:iCs/>
      <w:noProof/>
      <w:color w:val="404040" w:themeColor="text1" w:themeTint="BF"/>
    </w:rPr>
  </w:style>
  <w:style w:type="paragraph" w:styleId="ListParagraph">
    <w:name w:val="List Paragraph"/>
    <w:basedOn w:val="Normal"/>
    <w:uiPriority w:val="34"/>
    <w:qFormat/>
    <w:rsid w:val="00CE1F6B"/>
    <w:pPr>
      <w:ind w:left="720"/>
      <w:contextualSpacing/>
    </w:pPr>
  </w:style>
  <w:style w:type="character" w:styleId="IntenseEmphasis">
    <w:name w:val="Intense Emphasis"/>
    <w:basedOn w:val="DefaultParagraphFont"/>
    <w:uiPriority w:val="21"/>
    <w:qFormat/>
    <w:rsid w:val="00CE1F6B"/>
    <w:rPr>
      <w:i/>
      <w:iCs/>
      <w:color w:val="0F4761" w:themeColor="accent1" w:themeShade="BF"/>
    </w:rPr>
  </w:style>
  <w:style w:type="paragraph" w:styleId="IntenseQuote">
    <w:name w:val="Intense Quote"/>
    <w:basedOn w:val="Normal"/>
    <w:next w:val="Normal"/>
    <w:link w:val="IntenseQuoteChar"/>
    <w:uiPriority w:val="30"/>
    <w:qFormat/>
    <w:rsid w:val="00CE1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F6B"/>
    <w:rPr>
      <w:i/>
      <w:iCs/>
      <w:noProof/>
      <w:color w:val="0F4761" w:themeColor="accent1" w:themeShade="BF"/>
    </w:rPr>
  </w:style>
  <w:style w:type="character" w:styleId="IntenseReference">
    <w:name w:val="Intense Reference"/>
    <w:basedOn w:val="DefaultParagraphFont"/>
    <w:uiPriority w:val="32"/>
    <w:qFormat/>
    <w:rsid w:val="00CE1F6B"/>
    <w:rPr>
      <w:b/>
      <w:bCs/>
      <w:smallCaps/>
      <w:color w:val="0F4761" w:themeColor="accent1" w:themeShade="BF"/>
      <w:spacing w:val="5"/>
    </w:rPr>
  </w:style>
  <w:style w:type="table" w:styleId="TableGrid">
    <w:name w:val="Table Grid"/>
    <w:basedOn w:val="TableNormal"/>
    <w:uiPriority w:val="39"/>
    <w:rsid w:val="00C1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3</cp:revision>
  <dcterms:created xsi:type="dcterms:W3CDTF">2026-03-25T06:50:00Z</dcterms:created>
  <dcterms:modified xsi:type="dcterms:W3CDTF">2026-03-27T02:18:00Z</dcterms:modified>
</cp:coreProperties>
</file>