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7A9" w:rsidRPr="00C537A9" w:rsidRDefault="00C537A9" w:rsidP="00C537A9">
      <w:pPr>
        <w:spacing w:before="120" w:after="120"/>
        <w:jc w:val="center"/>
        <w:outlineLvl w:val="0"/>
        <w:rPr>
          <w:b/>
          <w:bCs/>
          <w:color w:val="000000" w:themeColor="text1"/>
          <w:sz w:val="28"/>
          <w:szCs w:val="28"/>
          <w:lang w:val="nl-NL"/>
        </w:rPr>
      </w:pPr>
      <w:bookmarkStart w:id="0" w:name="_Toc104800534"/>
      <w:r w:rsidRPr="00C537A9">
        <w:rPr>
          <w:b/>
          <w:bCs/>
          <w:color w:val="000000" w:themeColor="text1"/>
          <w:sz w:val="28"/>
          <w:szCs w:val="28"/>
          <w:lang w:val="nl-NL"/>
        </w:rPr>
        <w:t>Phần 2. YÊU CẦU VỀ KỸ THUẬT</w:t>
      </w:r>
      <w:bookmarkEnd w:id="0"/>
    </w:p>
    <w:p w:rsidR="00C537A9" w:rsidRPr="00C537A9" w:rsidRDefault="00C537A9" w:rsidP="00C537A9">
      <w:pPr>
        <w:spacing w:before="120" w:after="120"/>
        <w:jc w:val="center"/>
        <w:outlineLvl w:val="0"/>
        <w:rPr>
          <w:b/>
          <w:bCs/>
          <w:color w:val="000000" w:themeColor="text1"/>
          <w:sz w:val="28"/>
          <w:szCs w:val="28"/>
          <w:lang w:val="nl-NL"/>
        </w:rPr>
      </w:pPr>
      <w:bookmarkStart w:id="1" w:name="_Toc104800535"/>
      <w:r w:rsidRPr="00C537A9">
        <w:rPr>
          <w:b/>
          <w:bCs/>
          <w:color w:val="000000" w:themeColor="text1"/>
          <w:sz w:val="28"/>
          <w:szCs w:val="28"/>
          <w:lang w:val="nl-NL"/>
        </w:rPr>
        <w:t>Chương V. YÊU CẦU VỀ KỸ THUẬT</w:t>
      </w:r>
      <w:bookmarkEnd w:id="1"/>
    </w:p>
    <w:p w:rsidR="00C537A9" w:rsidRPr="00C537A9" w:rsidRDefault="00C537A9" w:rsidP="00C537A9">
      <w:pPr>
        <w:spacing w:before="120" w:after="120"/>
        <w:ind w:firstLine="709"/>
        <w:rPr>
          <w:b/>
          <w:color w:val="000000" w:themeColor="text1"/>
          <w:sz w:val="28"/>
          <w:szCs w:val="28"/>
          <w:lang w:val="nl-NL"/>
        </w:rPr>
      </w:pPr>
      <w:r w:rsidRPr="00C537A9">
        <w:rPr>
          <w:b/>
          <w:color w:val="000000" w:themeColor="text1"/>
          <w:sz w:val="28"/>
          <w:szCs w:val="28"/>
          <w:lang w:val="nl-NL"/>
        </w:rPr>
        <w:t>1. Giới thiệu chung về gói thầu:</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Chủ đầu tư: Viện Các Khoa học Trái đất</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Tên gói thầu: Cung cấp phương tiện vận chuyển cán bộ đi khảo sát thực địa, lấy mẫu khu vực các tỉnh miền núi phía Bắc năm 2026 phục vụ nội dung nghiên cứu của đề án mã số TĐĐHQG.00/26-28.</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Tên dự toán: Nội dung và dự toán chi tiết gói thầu Cung cấp phương tiện vận chuyển cán bộ đi khảo sát thực địa, lấy mẫu khu vực các tỉnh miền núi phía Bắc năm 2026 phục vụ nội dung nghiên cứu của đề án mã số TĐĐHQG.00/26-28.</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Nguồn vốn: Ngân sách nhà nước</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Hình thức lựa chọn nhà thầu: Chào hàng cạnh tranh, qua mạng</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Phương thức lựa chọn nhà thầu: Một giai đoạn một túi hồ sơ</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Hình thức hợp đồng: Trọn gói</w:t>
      </w:r>
    </w:p>
    <w:p w:rsidR="00C537A9" w:rsidRPr="00C537A9" w:rsidRDefault="00C537A9" w:rsidP="00C537A9">
      <w:pPr>
        <w:spacing w:before="120" w:after="120"/>
        <w:ind w:firstLine="709"/>
        <w:rPr>
          <w:color w:val="000000" w:themeColor="text1"/>
          <w:spacing w:val="-4"/>
          <w:sz w:val="28"/>
          <w:szCs w:val="28"/>
          <w:lang w:val="nl-NL"/>
        </w:rPr>
      </w:pPr>
      <w:r w:rsidRPr="00C537A9">
        <w:rPr>
          <w:color w:val="000000" w:themeColor="text1"/>
          <w:spacing w:val="-4"/>
          <w:sz w:val="28"/>
          <w:szCs w:val="28"/>
          <w:lang w:val="nl-NL"/>
        </w:rPr>
        <w:t>- Thời gian thực hiện hợp đồng: 09 tháng kể từ ngày hợp đồng có hiệu lực</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nl-NL"/>
        </w:rPr>
        <w:t>- Địa điểm thực hiện: Tây Bắc, Tỉnh Sơn La, Tỉnh Điện Biên, Tỉnh Phú Thọ (Hòa Bình cũ)</w:t>
      </w:r>
    </w:p>
    <w:p w:rsidR="00C537A9" w:rsidRPr="00C537A9" w:rsidRDefault="00C537A9" w:rsidP="00C537A9">
      <w:pPr>
        <w:spacing w:before="120" w:after="120"/>
        <w:ind w:firstLine="709"/>
        <w:rPr>
          <w:b/>
          <w:color w:val="000000" w:themeColor="text1"/>
          <w:sz w:val="28"/>
          <w:szCs w:val="28"/>
          <w:lang w:val="vi-VN"/>
        </w:rPr>
      </w:pPr>
      <w:r w:rsidRPr="00C537A9">
        <w:rPr>
          <w:b/>
          <w:color w:val="000000" w:themeColor="text1"/>
          <w:sz w:val="28"/>
          <w:szCs w:val="28"/>
          <w:lang w:val="vi-VN"/>
        </w:rPr>
        <w:t>2. Mục tiêu công việc:</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Nhà thầu cung cấp phương tiện vận chuyển cán bộ đi khảo sát thực địa, lấy mẫu khu vực các tỉnh miền núi phía Bắc năm 2026 phục vụ nội dung nghiên cứu của đề án mã số TĐĐHQG.00/26-28. Các dịch vụ cần thực hiện sẽ nêu cụ thể chi tiết tại Mục 3 dưới đây.</w:t>
      </w:r>
      <w:r w:rsidRPr="00C537A9">
        <w:rPr>
          <w:i/>
          <w:color w:val="000000" w:themeColor="text1"/>
          <w:spacing w:val="-4"/>
          <w:sz w:val="28"/>
          <w:szCs w:val="28"/>
          <w:lang w:val="vi-VN"/>
        </w:rPr>
        <w:t xml:space="preserve"> </w:t>
      </w:r>
    </w:p>
    <w:p w:rsidR="00C537A9" w:rsidRPr="00C537A9" w:rsidRDefault="00C537A9" w:rsidP="00C537A9">
      <w:pPr>
        <w:spacing w:before="120" w:after="120"/>
        <w:ind w:firstLine="709"/>
        <w:rPr>
          <w:b/>
          <w:color w:val="000000" w:themeColor="text1"/>
          <w:sz w:val="28"/>
          <w:szCs w:val="28"/>
          <w:lang w:val="vi-VN"/>
        </w:rPr>
      </w:pPr>
      <w:r w:rsidRPr="00C537A9">
        <w:rPr>
          <w:b/>
          <w:color w:val="000000" w:themeColor="text1"/>
          <w:sz w:val="28"/>
          <w:szCs w:val="28"/>
          <w:lang w:val="vi-VN"/>
        </w:rPr>
        <w:t>3. Yêu cầu kỹ thuật của gói thầu:</w:t>
      </w:r>
    </w:p>
    <w:p w:rsidR="00C537A9" w:rsidRPr="00C537A9" w:rsidRDefault="00C537A9" w:rsidP="00C537A9">
      <w:pPr>
        <w:spacing w:before="120" w:after="120"/>
        <w:ind w:firstLine="709"/>
        <w:rPr>
          <w:b/>
          <w:i/>
          <w:color w:val="000000" w:themeColor="text1"/>
          <w:spacing w:val="-2"/>
          <w:sz w:val="28"/>
          <w:szCs w:val="28"/>
        </w:rPr>
      </w:pPr>
      <w:r w:rsidRPr="00C537A9">
        <w:rPr>
          <w:b/>
          <w:i/>
          <w:color w:val="000000" w:themeColor="text1"/>
          <w:spacing w:val="-2"/>
          <w:sz w:val="28"/>
          <w:szCs w:val="28"/>
          <w:lang w:val="vi-VN"/>
        </w:rPr>
        <w:t>3.1</w:t>
      </w:r>
      <w:r w:rsidRPr="00C537A9">
        <w:rPr>
          <w:b/>
          <w:i/>
          <w:color w:val="000000" w:themeColor="text1"/>
          <w:spacing w:val="-2"/>
          <w:sz w:val="28"/>
          <w:szCs w:val="28"/>
        </w:rPr>
        <w:t>.</w:t>
      </w:r>
      <w:r w:rsidRPr="00C537A9">
        <w:rPr>
          <w:b/>
          <w:i/>
          <w:color w:val="000000" w:themeColor="text1"/>
          <w:spacing w:val="-2"/>
          <w:sz w:val="28"/>
          <w:szCs w:val="28"/>
          <w:lang w:val="vi-VN"/>
        </w:rPr>
        <w:t xml:space="preserve"> Yêu cầu </w:t>
      </w:r>
      <w:r w:rsidRPr="00C537A9">
        <w:rPr>
          <w:b/>
          <w:i/>
          <w:color w:val="000000" w:themeColor="text1"/>
          <w:spacing w:val="-2"/>
          <w:sz w:val="28"/>
          <w:szCs w:val="28"/>
        </w:rPr>
        <w:t>chung</w:t>
      </w:r>
    </w:p>
    <w:p w:rsidR="00C537A9" w:rsidRPr="00C537A9" w:rsidRDefault="00C537A9" w:rsidP="00C537A9">
      <w:pPr>
        <w:spacing w:before="120" w:after="120"/>
        <w:ind w:firstLine="709"/>
        <w:rPr>
          <w:color w:val="000000" w:themeColor="text1"/>
          <w:spacing w:val="-4"/>
          <w:sz w:val="28"/>
          <w:szCs w:val="28"/>
        </w:rPr>
      </w:pPr>
      <w:r w:rsidRPr="00C537A9">
        <w:rPr>
          <w:color w:val="000000" w:themeColor="text1"/>
          <w:spacing w:val="-4"/>
          <w:sz w:val="28"/>
          <w:szCs w:val="28"/>
          <w:lang w:val="vi-VN"/>
        </w:rPr>
        <w:t>- Đáp ứng đầy đủ tài liệu theo yêu cầu tại E-CDNT 10.8</w:t>
      </w:r>
      <w:r w:rsidRPr="00C537A9">
        <w:rPr>
          <w:color w:val="000000" w:themeColor="text1"/>
          <w:spacing w:val="-4"/>
          <w:sz w:val="28"/>
          <w:szCs w:val="28"/>
        </w:rPr>
        <w:t>.</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 Chịu mọi trách nhiệm liên quan đến việc đáp ứng yêu cầu của pháp luật hiện hành đối với kinh doanh vận tải bằng xe ô tô.</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 xml:space="preserve">- Thực hiện đầy đủ các quy định về an toàn giao thông, tiêu chuẩn xe vận chuyển hành khách theo quy định, thực hiện đảm bảo PCCC, vệ sinh môi trường. </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 xml:space="preserve">- Không được chở vượt quá trọng tải và đảm bảo chỗ ngồi cho </w:t>
      </w:r>
      <w:r w:rsidRPr="00C537A9">
        <w:rPr>
          <w:color w:val="000000" w:themeColor="text1"/>
          <w:spacing w:val="-4"/>
          <w:sz w:val="28"/>
          <w:szCs w:val="28"/>
        </w:rPr>
        <w:t>nhân viên</w:t>
      </w:r>
      <w:r w:rsidRPr="00C537A9">
        <w:rPr>
          <w:color w:val="000000" w:themeColor="text1"/>
          <w:spacing w:val="-4"/>
          <w:sz w:val="28"/>
          <w:szCs w:val="28"/>
          <w:lang w:val="vi-VN"/>
        </w:rPr>
        <w:t xml:space="preserve"> của Chủ đầu tư. </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 Chịu toàn bộ chi phí cho việc lưu thông xe trên đường đảm bảo an toàn, đúng thời gian yêu cầu, chi phí ăn, nghỉ cho lái xe, chi phí gửi xe</w:t>
      </w:r>
      <w:r w:rsidRPr="00C537A9">
        <w:rPr>
          <w:color w:val="000000" w:themeColor="text1"/>
          <w:spacing w:val="-4"/>
          <w:sz w:val="28"/>
          <w:szCs w:val="28"/>
        </w:rPr>
        <w:t xml:space="preserve"> </w:t>
      </w:r>
      <w:r w:rsidRPr="00C537A9">
        <w:rPr>
          <w:color w:val="000000" w:themeColor="text1"/>
          <w:spacing w:val="-4"/>
          <w:sz w:val="28"/>
          <w:szCs w:val="28"/>
          <w:lang w:val="vi-VN"/>
        </w:rPr>
        <w:t xml:space="preserve">… </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lastRenderedPageBreak/>
        <w:t xml:space="preserve">- Bố trí đủ, đúng nhân sự theo thời gian, kế hoạch sử dụng xe của Chủ đầu tư. Nhân sự tham gia thực hiện dịch vụ có năng lực hành vi dân sự đầy đủ theo quy định pháp luật, có giấy phép lái xe (GPLX) phù hợp với loại xe gói thầu yêu cầu. </w:t>
      </w:r>
    </w:p>
    <w:p w:rsidR="00C537A9" w:rsidRPr="00C537A9" w:rsidRDefault="00C537A9" w:rsidP="00C537A9">
      <w:pPr>
        <w:spacing w:before="120" w:after="120"/>
        <w:ind w:firstLine="709"/>
        <w:rPr>
          <w:color w:val="000000" w:themeColor="text1"/>
          <w:spacing w:val="-4"/>
          <w:sz w:val="28"/>
          <w:szCs w:val="28"/>
          <w:lang w:val="vi-VN"/>
        </w:rPr>
      </w:pPr>
      <w:r w:rsidRPr="00C537A9">
        <w:rPr>
          <w:color w:val="000000" w:themeColor="text1"/>
          <w:spacing w:val="-4"/>
          <w:sz w:val="28"/>
          <w:szCs w:val="28"/>
          <w:lang w:val="vi-VN"/>
        </w:rPr>
        <w:t>- Chủ đầu tư toàn quyền sử dụng xe và lái xe trong suốt các đợt công tác.</w:t>
      </w:r>
    </w:p>
    <w:p w:rsidR="00C537A9" w:rsidRPr="00C537A9" w:rsidRDefault="00C537A9" w:rsidP="00C537A9">
      <w:pPr>
        <w:spacing w:before="120" w:after="120"/>
        <w:ind w:firstLine="709"/>
        <w:rPr>
          <w:b/>
          <w:i/>
          <w:color w:val="000000" w:themeColor="text1"/>
          <w:spacing w:val="-2"/>
          <w:sz w:val="28"/>
          <w:szCs w:val="28"/>
        </w:rPr>
      </w:pPr>
      <w:bookmarkStart w:id="2" w:name="_GoBack"/>
      <w:bookmarkEnd w:id="2"/>
      <w:r w:rsidRPr="00C537A9">
        <w:rPr>
          <w:i/>
          <w:color w:val="000000" w:themeColor="text1"/>
          <w:spacing w:val="-2"/>
          <w:sz w:val="28"/>
          <w:szCs w:val="28"/>
        </w:rPr>
        <w:t xml:space="preserve"> </w:t>
      </w:r>
      <w:r w:rsidRPr="00C537A9">
        <w:rPr>
          <w:b/>
          <w:i/>
          <w:color w:val="000000" w:themeColor="text1"/>
          <w:spacing w:val="-2"/>
          <w:sz w:val="28"/>
          <w:szCs w:val="28"/>
        </w:rPr>
        <w:t>3.2. Yêu cầu cụ thể</w:t>
      </w:r>
    </w:p>
    <w:p w:rsidR="00C537A9" w:rsidRPr="00C537A9" w:rsidRDefault="00C537A9" w:rsidP="00C537A9">
      <w:pPr>
        <w:spacing w:line="276" w:lineRule="auto"/>
        <w:ind w:firstLine="720"/>
        <w:rPr>
          <w:color w:val="000000" w:themeColor="text1"/>
          <w:sz w:val="28"/>
          <w:szCs w:val="24"/>
        </w:rPr>
      </w:pPr>
      <w:r w:rsidRPr="00C537A9">
        <w:rPr>
          <w:color w:val="000000" w:themeColor="text1"/>
          <w:sz w:val="28"/>
          <w:szCs w:val="24"/>
        </w:rPr>
        <w:t xml:space="preserve">Nhằm thực hiện việc vận chuyển hành khách một cách an toàn và hiệu quả trong những khu vực khó khăn, hiểm trở tại ba tỉnh miền núi phía Bắc (Tây Bắc, Điện Biên, Sơn La, Phú Thọ (Hòa Bình cũ)), yêu cầu nhà thầu </w:t>
      </w:r>
      <w:r w:rsidRPr="00C537A9">
        <w:rPr>
          <w:color w:val="000000" w:themeColor="text1"/>
          <w:spacing w:val="-2"/>
          <w:sz w:val="28"/>
          <w:szCs w:val="28"/>
        </w:rPr>
        <w:t>bố trí phương tiện và nhân sự đáp ứng yêu cầu kế hoạch như sau</w:t>
      </w:r>
      <w:r w:rsidRPr="00C537A9">
        <w:rPr>
          <w:color w:val="000000" w:themeColor="text1"/>
          <w:sz w:val="28"/>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55"/>
        <w:gridCol w:w="1428"/>
        <w:gridCol w:w="1321"/>
        <w:gridCol w:w="969"/>
      </w:tblGrid>
      <w:tr w:rsidR="00C537A9" w:rsidRPr="00C537A9" w:rsidTr="00B2085F">
        <w:trPr>
          <w:trHeight w:val="629"/>
          <w:jc w:val="center"/>
        </w:trPr>
        <w:tc>
          <w:tcPr>
            <w:tcW w:w="412" w:type="pct"/>
            <w:shd w:val="clear" w:color="auto" w:fill="auto"/>
            <w:noWrap/>
            <w:vAlign w:val="center"/>
          </w:tcPr>
          <w:p w:rsidR="00C537A9" w:rsidRPr="00C537A9" w:rsidRDefault="00C537A9" w:rsidP="00B2085F">
            <w:pPr>
              <w:jc w:val="center"/>
              <w:rPr>
                <w:b/>
                <w:bCs/>
                <w:color w:val="000000" w:themeColor="text1"/>
                <w:sz w:val="28"/>
                <w:szCs w:val="28"/>
              </w:rPr>
            </w:pPr>
            <w:r w:rsidRPr="00C537A9">
              <w:rPr>
                <w:b/>
                <w:bCs/>
                <w:color w:val="000000" w:themeColor="text1"/>
                <w:sz w:val="28"/>
                <w:szCs w:val="28"/>
              </w:rPr>
              <w:t>STT</w:t>
            </w:r>
          </w:p>
        </w:tc>
        <w:tc>
          <w:tcPr>
            <w:tcW w:w="2499" w:type="pct"/>
            <w:shd w:val="clear" w:color="auto" w:fill="auto"/>
            <w:vAlign w:val="center"/>
          </w:tcPr>
          <w:p w:rsidR="00C537A9" w:rsidRPr="00C537A9" w:rsidRDefault="00C537A9" w:rsidP="00B2085F">
            <w:pPr>
              <w:jc w:val="center"/>
              <w:rPr>
                <w:b/>
                <w:bCs/>
                <w:color w:val="000000" w:themeColor="text1"/>
                <w:sz w:val="28"/>
                <w:szCs w:val="28"/>
              </w:rPr>
            </w:pPr>
            <w:r w:rsidRPr="00C537A9">
              <w:rPr>
                <w:b/>
                <w:bCs/>
                <w:color w:val="000000" w:themeColor="text1"/>
                <w:sz w:val="28"/>
                <w:szCs w:val="28"/>
              </w:rPr>
              <w:t>Nội dung</w:t>
            </w:r>
          </w:p>
        </w:tc>
        <w:tc>
          <w:tcPr>
            <w:tcW w:w="802" w:type="pct"/>
            <w:vAlign w:val="center"/>
          </w:tcPr>
          <w:p w:rsidR="00C537A9" w:rsidRPr="00C537A9" w:rsidRDefault="00C537A9" w:rsidP="00B2085F">
            <w:pPr>
              <w:jc w:val="center"/>
              <w:rPr>
                <w:b/>
                <w:bCs/>
                <w:color w:val="000000" w:themeColor="text1"/>
                <w:sz w:val="28"/>
                <w:szCs w:val="28"/>
              </w:rPr>
            </w:pPr>
            <w:r w:rsidRPr="00C537A9">
              <w:rPr>
                <w:b/>
                <w:bCs/>
                <w:color w:val="000000" w:themeColor="text1"/>
                <w:sz w:val="28"/>
                <w:szCs w:val="28"/>
              </w:rPr>
              <w:t>Đơn vị tính</w:t>
            </w:r>
          </w:p>
        </w:tc>
        <w:tc>
          <w:tcPr>
            <w:tcW w:w="742" w:type="pct"/>
            <w:shd w:val="clear" w:color="auto" w:fill="auto"/>
            <w:noWrap/>
            <w:vAlign w:val="center"/>
          </w:tcPr>
          <w:p w:rsidR="00C537A9" w:rsidRPr="00C537A9" w:rsidRDefault="00C537A9" w:rsidP="00B2085F">
            <w:pPr>
              <w:jc w:val="center"/>
              <w:rPr>
                <w:b/>
                <w:bCs/>
                <w:color w:val="000000" w:themeColor="text1"/>
                <w:sz w:val="28"/>
                <w:szCs w:val="28"/>
              </w:rPr>
            </w:pPr>
            <w:r w:rsidRPr="00C537A9">
              <w:rPr>
                <w:b/>
                <w:bCs/>
                <w:color w:val="000000" w:themeColor="text1"/>
                <w:sz w:val="28"/>
                <w:szCs w:val="28"/>
              </w:rPr>
              <w:t>Số lượng</w:t>
            </w:r>
          </w:p>
        </w:tc>
        <w:tc>
          <w:tcPr>
            <w:tcW w:w="545" w:type="pct"/>
            <w:vAlign w:val="center"/>
          </w:tcPr>
          <w:p w:rsidR="00C537A9" w:rsidRPr="00C537A9" w:rsidRDefault="00C537A9" w:rsidP="00B2085F">
            <w:pPr>
              <w:jc w:val="center"/>
              <w:rPr>
                <w:b/>
                <w:bCs/>
                <w:color w:val="000000" w:themeColor="text1"/>
                <w:sz w:val="28"/>
                <w:szCs w:val="28"/>
              </w:rPr>
            </w:pPr>
            <w:r w:rsidRPr="00C537A9">
              <w:rPr>
                <w:b/>
                <w:bCs/>
                <w:color w:val="000000" w:themeColor="text1"/>
                <w:sz w:val="28"/>
                <w:szCs w:val="28"/>
              </w:rPr>
              <w:t>Số xe</w:t>
            </w:r>
          </w:p>
        </w:tc>
      </w:tr>
      <w:tr w:rsidR="00C537A9" w:rsidRPr="00C537A9" w:rsidTr="00B2085F">
        <w:trPr>
          <w:trHeight w:val="983"/>
          <w:jc w:val="center"/>
        </w:trPr>
        <w:tc>
          <w:tcPr>
            <w:tcW w:w="41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1</w:t>
            </w:r>
          </w:p>
        </w:tc>
        <w:tc>
          <w:tcPr>
            <w:tcW w:w="2499" w:type="pct"/>
            <w:shd w:val="clear" w:color="auto" w:fill="auto"/>
            <w:vAlign w:val="center"/>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tổng quan khu vực 3 tỉnh tiểu vùng Tây Bắc</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30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994"/>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1 khu vực tỉnh Điện Biên</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895"/>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3</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2 khu vực tỉnh Điện Biên</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884"/>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4</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3 khu vực tỉnh Điện Biên</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994"/>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5</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1 khu vực tỉnh Sơn La</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983"/>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6</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2 khu vực tỉnh Sơn La</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r w:rsidR="00C537A9" w:rsidRPr="00C537A9" w:rsidTr="00B2085F">
        <w:trPr>
          <w:trHeight w:val="942"/>
          <w:jc w:val="center"/>
        </w:trPr>
        <w:tc>
          <w:tcPr>
            <w:tcW w:w="412" w:type="pct"/>
            <w:shd w:val="clear" w:color="auto" w:fill="auto"/>
            <w:noWrap/>
            <w:vAlign w:val="center"/>
            <w:hideMark/>
          </w:tcPr>
          <w:p w:rsidR="00C537A9" w:rsidRPr="00C537A9" w:rsidRDefault="00C537A9" w:rsidP="00B2085F">
            <w:pPr>
              <w:jc w:val="center"/>
              <w:rPr>
                <w:color w:val="000000" w:themeColor="text1"/>
                <w:sz w:val="28"/>
                <w:szCs w:val="28"/>
              </w:rPr>
            </w:pPr>
            <w:r w:rsidRPr="00C537A9">
              <w:rPr>
                <w:color w:val="000000" w:themeColor="text1"/>
                <w:sz w:val="28"/>
                <w:szCs w:val="28"/>
              </w:rPr>
              <w:t>7</w:t>
            </w:r>
          </w:p>
        </w:tc>
        <w:tc>
          <w:tcPr>
            <w:tcW w:w="2499" w:type="pct"/>
            <w:shd w:val="clear" w:color="auto" w:fill="auto"/>
            <w:vAlign w:val="center"/>
            <w:hideMark/>
          </w:tcPr>
          <w:p w:rsidR="00C537A9" w:rsidRPr="00C537A9" w:rsidRDefault="00C537A9" w:rsidP="00B2085F">
            <w:pPr>
              <w:rPr>
                <w:color w:val="000000" w:themeColor="text1"/>
                <w:sz w:val="28"/>
                <w:szCs w:val="28"/>
              </w:rPr>
            </w:pPr>
            <w:r w:rsidRPr="00C537A9">
              <w:rPr>
                <w:color w:val="000000" w:themeColor="text1"/>
                <w:sz w:val="28"/>
                <w:szCs w:val="28"/>
              </w:rPr>
              <w:t>Xe ô tô 7 chỗ đi khảo sát thực địa, lấy mẫu đợt 3 khu vực tỉnh Sơn La</w:t>
            </w:r>
          </w:p>
        </w:tc>
        <w:tc>
          <w:tcPr>
            <w:tcW w:w="802"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Ngày</w:t>
            </w:r>
          </w:p>
        </w:tc>
        <w:tc>
          <w:tcPr>
            <w:tcW w:w="742" w:type="pct"/>
            <w:shd w:val="clear" w:color="auto" w:fill="auto"/>
            <w:noWrap/>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40</w:t>
            </w:r>
          </w:p>
        </w:tc>
        <w:tc>
          <w:tcPr>
            <w:tcW w:w="545" w:type="pct"/>
            <w:vAlign w:val="center"/>
          </w:tcPr>
          <w:p w:rsidR="00C537A9" w:rsidRPr="00C537A9" w:rsidRDefault="00C537A9" w:rsidP="00B2085F">
            <w:pPr>
              <w:jc w:val="center"/>
              <w:rPr>
                <w:color w:val="000000" w:themeColor="text1"/>
                <w:sz w:val="28"/>
                <w:szCs w:val="28"/>
              </w:rPr>
            </w:pPr>
            <w:r w:rsidRPr="00C537A9">
              <w:rPr>
                <w:color w:val="000000" w:themeColor="text1"/>
                <w:sz w:val="28"/>
                <w:szCs w:val="28"/>
              </w:rPr>
              <w:t>2</w:t>
            </w:r>
          </w:p>
        </w:tc>
      </w:tr>
    </w:tbl>
    <w:p w:rsidR="00C537A9" w:rsidRPr="00C537A9" w:rsidRDefault="00C537A9" w:rsidP="00C537A9">
      <w:pPr>
        <w:pStyle w:val="ListParagraph"/>
        <w:numPr>
          <w:ilvl w:val="0"/>
          <w:numId w:val="3"/>
        </w:numPr>
        <w:spacing w:before="120" w:after="120"/>
        <w:ind w:left="993"/>
        <w:rPr>
          <w:b/>
          <w:i/>
          <w:color w:val="000000" w:themeColor="text1"/>
          <w:spacing w:val="-2"/>
          <w:sz w:val="28"/>
          <w:szCs w:val="28"/>
        </w:rPr>
      </w:pPr>
      <w:r w:rsidRPr="00C537A9">
        <w:rPr>
          <w:b/>
          <w:i/>
          <w:color w:val="000000" w:themeColor="text1"/>
          <w:spacing w:val="-2"/>
          <w:sz w:val="28"/>
          <w:szCs w:val="28"/>
        </w:rPr>
        <w:t>Yêu cầu đối với xe ô tô tối thiểu đáp ứng các yêu cầu:</w:t>
      </w:r>
    </w:p>
    <w:p w:rsidR="00C537A9" w:rsidRPr="00C537A9" w:rsidRDefault="00C537A9" w:rsidP="00C537A9">
      <w:pPr>
        <w:spacing w:before="120" w:after="120" w:line="276" w:lineRule="auto"/>
        <w:ind w:firstLine="709"/>
        <w:rPr>
          <w:color w:val="000000" w:themeColor="text1"/>
          <w:spacing w:val="-2"/>
          <w:sz w:val="28"/>
          <w:szCs w:val="28"/>
        </w:rPr>
      </w:pPr>
      <w:r w:rsidRPr="00C537A9">
        <w:rPr>
          <w:color w:val="000000" w:themeColor="text1"/>
          <w:spacing w:val="-2"/>
          <w:sz w:val="28"/>
          <w:szCs w:val="28"/>
        </w:rPr>
        <w:t>- Về số lượng tối thiểu: 06 xe ô tô 7 chỗ ngồi (Ford Everest, Toyota Fortuner, ... hoặc các dòng xe tương đương) để phục vụ vận chuyển cán bộ khảo sát thực địa tại các khu vực vùng sâu vùng xa thuộc 03 tỉnh miền núi phía Bắc (</w:t>
      </w:r>
      <w:r w:rsidRPr="00C537A9">
        <w:rPr>
          <w:color w:val="000000" w:themeColor="text1"/>
          <w:sz w:val="28"/>
          <w:szCs w:val="24"/>
        </w:rPr>
        <w:t xml:space="preserve">Tây Bắc, </w:t>
      </w:r>
      <w:r w:rsidRPr="00C537A9">
        <w:rPr>
          <w:color w:val="000000" w:themeColor="text1"/>
          <w:spacing w:val="-2"/>
          <w:sz w:val="28"/>
          <w:szCs w:val="28"/>
        </w:rPr>
        <w:t xml:space="preserve">Điện Biên, Sơn La, </w:t>
      </w:r>
      <w:r w:rsidRPr="00C537A9">
        <w:rPr>
          <w:color w:val="000000" w:themeColor="text1"/>
          <w:sz w:val="28"/>
          <w:szCs w:val="24"/>
        </w:rPr>
        <w:t>Phú Thọ (Hòa Bình cũ)</w:t>
      </w:r>
      <w:r w:rsidRPr="00C537A9">
        <w:rPr>
          <w:color w:val="000000" w:themeColor="text1"/>
          <w:spacing w:val="-2"/>
          <w:sz w:val="28"/>
          <w:szCs w:val="28"/>
        </w:rPr>
        <w:t>).</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Về chất lượng xe: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Xe sản xuất từ năm 2019 trở lại đây và phải có đăng ký/ đăng kiểm còn hiệu lực theo quy định hiện hành (nhà thầu phải cung cấp bản scan các tài liệu liên quan chứng minh tính đáp ứng của phương tiện đề xuất).</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Xe có lắp điều hòa theo tiêu chuẩn của hãng nhà xe cung cấp và điều hoà phải chạy tốt.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Xe đảm bảo nội thất sạch sẽ, ghế ngồi đảm bảo đủ theo tiêu chuẩn xe.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Cung cấp đúng loại xe nhà thầu chào thầu và đầy đủ giấy tờ theo quy định của pháp luật.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Luôn có phương án dự phòng trong trường hợp xe đang phục vụ đoàn gặp sự cố không phục vụ được đoàn công tác, đảm bảo cho công việc của đoàn được liên tục.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Đưa đón đoàn đúng giờ, đúng nơi quy định một cách an toàn, theo đúng lộ trình đã được thông báo.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Trong trường hợp xe bị hỏng hoặc bảo dưỡng định kỳ, Nhà thầu phải cung cấp cho Chủ đầu tư đúng số lượng xe cùng chủng loại như xe bị hỏng hoặc bảo dưỡng định kỳ, chất lượng tốt và đảm bảo về mặt thời gian của chuyến xe theo yêu cầu của Chủ đầu tư. </w:t>
      </w:r>
    </w:p>
    <w:p w:rsidR="00C537A9" w:rsidRPr="00C537A9" w:rsidRDefault="00C537A9" w:rsidP="00C537A9">
      <w:pPr>
        <w:pStyle w:val="ListParagraph"/>
        <w:numPr>
          <w:ilvl w:val="0"/>
          <w:numId w:val="2"/>
        </w:numPr>
        <w:spacing w:before="120" w:after="120"/>
        <w:ind w:left="1134"/>
        <w:rPr>
          <w:b/>
          <w:i/>
          <w:color w:val="000000" w:themeColor="text1"/>
          <w:spacing w:val="-2"/>
          <w:sz w:val="28"/>
          <w:szCs w:val="28"/>
        </w:rPr>
      </w:pPr>
      <w:r w:rsidRPr="00C537A9">
        <w:rPr>
          <w:b/>
          <w:i/>
          <w:color w:val="000000" w:themeColor="text1"/>
          <w:spacing w:val="-2"/>
          <w:sz w:val="28"/>
          <w:szCs w:val="28"/>
        </w:rPr>
        <w:t xml:space="preserve">Yêu cầu đối với lái xe thực hiện dịch vụ: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Lái xe đáp ứng yêu cầu về số lượng tối thiểu: 06 lái xe.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Nhà thầu cung cấp bản scan các tài liệu liên quan chứng minh tính đáp ứng yêu cầu của nhân sự lái xe, cụ thể như sau:</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Giấy phép lái xe (GPLX) phù hợp với loại xe gói thầu yêu cầu;</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Có kinh nghiệm tối thiểu 10 năm;</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Có Chứng nhận tập huấn nghiệp vụ lái xe kinh doanh vận tải nhằm đảm bảo an toàn khi lái xe tại các khu vực khó khăn, hiểm trở;</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Có giấy khám sức khoẻ còn hạn theo quy định;</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Tài liệu chứng minh khả năng huy động nhân sự của nhà thầu (hợp đồng lao động, hợp đồng cộng tác viên, ... hoặc các tài liệu khác tương đương).</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Luôn có vị trí lái xe dự phòng trong trường hợp lái xe chính gặp sự cố.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Thời gian sử dụng xe thuê và vị trí lái xe trong ngày không quá 10 giờ/ngày và không được lái xe liên tục 4 giờ.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Nếu vị trí lái xe chạy nhiều hơn 10 giờ/ngày thì thời gian tăng thêm được tính vào thời gian ngoài giờ làm việc. Tuy nhiên, nhà thầu phải chịu trách nhiệm thay đổi tài xế trong ngày để bảo đảm giờ làm việc của một lái xe không quá 10 giờ/ngày theo quy định pháp luật.</w:t>
      </w:r>
    </w:p>
    <w:p w:rsidR="00C537A9" w:rsidRPr="00C537A9" w:rsidRDefault="00C537A9" w:rsidP="00C537A9">
      <w:pPr>
        <w:pStyle w:val="ListParagraph"/>
        <w:numPr>
          <w:ilvl w:val="0"/>
          <w:numId w:val="1"/>
        </w:numPr>
        <w:spacing w:before="120" w:after="120"/>
        <w:rPr>
          <w:b/>
          <w:bCs/>
          <w:color w:val="000000" w:themeColor="text1"/>
          <w:spacing w:val="-2"/>
          <w:sz w:val="28"/>
          <w:szCs w:val="28"/>
        </w:rPr>
      </w:pPr>
      <w:r w:rsidRPr="00C537A9">
        <w:rPr>
          <w:b/>
          <w:bCs/>
          <w:color w:val="000000" w:themeColor="text1"/>
          <w:spacing w:val="-2"/>
          <w:sz w:val="28"/>
          <w:szCs w:val="28"/>
        </w:rPr>
        <w:t>Mô tả chi tiết nội dung yêu cầu dịch vụ</w:t>
      </w:r>
    </w:p>
    <w:p w:rsidR="00C537A9" w:rsidRPr="00C537A9" w:rsidRDefault="00C537A9" w:rsidP="00C537A9">
      <w:pPr>
        <w:spacing w:before="120" w:after="120"/>
        <w:ind w:firstLine="720"/>
        <w:rPr>
          <w:color w:val="000000" w:themeColor="text1"/>
          <w:spacing w:val="-2"/>
          <w:sz w:val="28"/>
          <w:szCs w:val="28"/>
        </w:rPr>
      </w:pPr>
      <w:r w:rsidRPr="00C537A9">
        <w:rPr>
          <w:color w:val="000000" w:themeColor="text1"/>
          <w:spacing w:val="-2"/>
          <w:sz w:val="28"/>
          <w:szCs w:val="28"/>
        </w:rPr>
        <w:t>- Khu vực di chuyển: Tất cả các thôn, xã vùng sâu, vùng xa thuộc địa bàn ba tỉnh miền núi phía Bắc (</w:t>
      </w:r>
      <w:r w:rsidRPr="00C537A9">
        <w:rPr>
          <w:color w:val="000000" w:themeColor="text1"/>
          <w:sz w:val="28"/>
          <w:szCs w:val="24"/>
        </w:rPr>
        <w:t xml:space="preserve">Tây Bắc, </w:t>
      </w:r>
      <w:r w:rsidRPr="00C537A9">
        <w:rPr>
          <w:color w:val="000000" w:themeColor="text1"/>
          <w:spacing w:val="-2"/>
          <w:sz w:val="28"/>
          <w:szCs w:val="28"/>
        </w:rPr>
        <w:t>Điện Biên, Sơn La, Phú Thọ (Hòa Bình cũ)).</w:t>
      </w:r>
    </w:p>
    <w:p w:rsidR="00C537A9" w:rsidRPr="00C537A9" w:rsidRDefault="00C537A9" w:rsidP="00C537A9">
      <w:pPr>
        <w:spacing w:before="120" w:after="120"/>
        <w:ind w:firstLine="720"/>
        <w:rPr>
          <w:color w:val="000000" w:themeColor="text1"/>
          <w:spacing w:val="-2"/>
          <w:sz w:val="28"/>
          <w:szCs w:val="28"/>
        </w:rPr>
      </w:pPr>
      <w:r w:rsidRPr="00C537A9">
        <w:rPr>
          <w:color w:val="000000" w:themeColor="text1"/>
          <w:spacing w:val="-2"/>
          <w:sz w:val="28"/>
          <w:szCs w:val="28"/>
        </w:rPr>
        <w:t>- Quãng đường di chuyển bình quân 200km/ngày; ngoài số người của đoàn công tác có thể chở thêm máy móc, thiết bị và mẫu (đất, trầm tích, nước) với khối lượng khoảng 100-200Kg</w:t>
      </w:r>
    </w:p>
    <w:p w:rsidR="00C537A9" w:rsidRPr="00C537A9" w:rsidRDefault="00C537A9" w:rsidP="00C537A9">
      <w:pPr>
        <w:spacing w:before="120" w:after="120" w:line="276" w:lineRule="auto"/>
        <w:ind w:firstLine="709"/>
        <w:rPr>
          <w:color w:val="000000" w:themeColor="text1"/>
          <w:spacing w:val="-2"/>
          <w:sz w:val="28"/>
          <w:szCs w:val="28"/>
        </w:rPr>
      </w:pPr>
      <w:r w:rsidRPr="00C537A9">
        <w:rPr>
          <w:color w:val="000000" w:themeColor="text1"/>
          <w:spacing w:val="-2"/>
          <w:sz w:val="28"/>
          <w:szCs w:val="28"/>
        </w:rPr>
        <w:t>- Thời gian đưa đón cán bộ linh hoạt theo thực tế công việc, dao động trong khung giờ từ 4h-21h hàng ngày tuy nhiên đảm bảo tổng thời gian không quá 10 giờ/ngày; di chuyển đi và đến từ 10 đến 15 địa điểm/ngày tại các thôn, bản vùng sâu vùng xa thuộc địa bàn ba tỉnh miền núi phía Bắc (</w:t>
      </w:r>
      <w:r w:rsidRPr="00C537A9">
        <w:rPr>
          <w:color w:val="000000" w:themeColor="text1"/>
          <w:sz w:val="28"/>
          <w:szCs w:val="24"/>
        </w:rPr>
        <w:t xml:space="preserve">Tây Bắc, </w:t>
      </w:r>
      <w:r w:rsidRPr="00C537A9">
        <w:rPr>
          <w:color w:val="000000" w:themeColor="text1"/>
          <w:spacing w:val="-2"/>
          <w:sz w:val="28"/>
          <w:szCs w:val="28"/>
        </w:rPr>
        <w:t>Điện Biên, Sơn La, Phú Thọ (Hòa Bình cũ)).</w:t>
      </w:r>
    </w:p>
    <w:p w:rsidR="00C537A9" w:rsidRPr="00C537A9" w:rsidRDefault="00C537A9" w:rsidP="00C537A9">
      <w:pPr>
        <w:spacing w:before="120" w:after="120"/>
        <w:ind w:firstLine="709"/>
        <w:rPr>
          <w:b/>
          <w:color w:val="000000" w:themeColor="text1"/>
          <w:sz w:val="28"/>
          <w:szCs w:val="28"/>
          <w:lang w:val="nl-NL"/>
        </w:rPr>
      </w:pPr>
      <w:r w:rsidRPr="00C537A9">
        <w:rPr>
          <w:b/>
          <w:color w:val="000000" w:themeColor="text1"/>
          <w:sz w:val="28"/>
          <w:szCs w:val="28"/>
          <w:lang w:val="nl-NL"/>
        </w:rPr>
        <w:t>4. Giải pháp và phương pháp luận:</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Nhà thầu nộp cùng E-HSDT bản trình bày về giải pháp và phương pháp luận thực hiện dịch vụ theo các nội dung quy định tại Chương V, tối thiểu gồm các phần như sau: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Giải pháp và phương pháp luận;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Kế hoạch triển khai trong đó nhà thầu đề xuất đầy đủ, cụ thể các các nội dung yêu cầu tại mục 3. Yêu cầu kỹ thuật của gói thầu;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Bản scan các tài liệu liên quan chứng minh tính đáp ứng của phương tiện và nhân sự lái xe đối với yêu cầu của E-HSMT;</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xml:space="preserve">- Phương pháp bố trí nhân sự, xe ô tô thực hiện dịch vụ; phương pháp bố trí thay thế nhân sự, xe ô tô trong trường hợp nhân sự, xe ô tô hiện tại không thể tham gia thực hiện dịch vụ; </w:t>
      </w:r>
    </w:p>
    <w:p w:rsidR="00C537A9" w:rsidRPr="00C537A9" w:rsidRDefault="00C537A9" w:rsidP="00C537A9">
      <w:pPr>
        <w:spacing w:before="120" w:after="120"/>
        <w:ind w:firstLine="709"/>
        <w:rPr>
          <w:color w:val="000000" w:themeColor="text1"/>
          <w:spacing w:val="-2"/>
          <w:sz w:val="28"/>
          <w:szCs w:val="28"/>
        </w:rPr>
      </w:pPr>
      <w:r w:rsidRPr="00C537A9">
        <w:rPr>
          <w:color w:val="000000" w:themeColor="text1"/>
          <w:spacing w:val="-2"/>
          <w:sz w:val="28"/>
          <w:szCs w:val="28"/>
        </w:rPr>
        <w:t>- Phương pháp giải quyết sự cố trong trường hợp xe ô tô nhà thầu kê khai tham gia dịch vụ bị hỏng hoặc bảo dưỡng định kỳ hoặc có các vấn đề khách quan khác gây ảnh hưởng đến thời gian thực hiện công việc của Chủ đầu tư.</w:t>
      </w:r>
    </w:p>
    <w:p w:rsidR="00C537A9" w:rsidRPr="00C537A9" w:rsidRDefault="00C537A9" w:rsidP="00C537A9">
      <w:pPr>
        <w:spacing w:before="120" w:after="120"/>
        <w:ind w:firstLine="709"/>
        <w:rPr>
          <w:b/>
          <w:color w:val="000000" w:themeColor="text1"/>
          <w:sz w:val="28"/>
          <w:szCs w:val="28"/>
        </w:rPr>
      </w:pPr>
      <w:r w:rsidRPr="00C537A9">
        <w:rPr>
          <w:b/>
          <w:color w:val="000000" w:themeColor="text1"/>
          <w:sz w:val="28"/>
          <w:szCs w:val="28"/>
          <w:lang w:val="nl-NL"/>
        </w:rPr>
        <w:t>5</w:t>
      </w:r>
      <w:r w:rsidRPr="00C537A9">
        <w:rPr>
          <w:b/>
          <w:color w:val="000000" w:themeColor="text1"/>
          <w:sz w:val="28"/>
          <w:szCs w:val="28"/>
          <w:lang w:val="vi-VN"/>
        </w:rPr>
        <w:t>. Quy định về kiểm tra, nghiệm thu sản phẩm:</w:t>
      </w:r>
      <w:r w:rsidRPr="00C537A9">
        <w:rPr>
          <w:b/>
          <w:color w:val="000000" w:themeColor="text1"/>
          <w:sz w:val="28"/>
          <w:szCs w:val="28"/>
        </w:rPr>
        <w:t xml:space="preserve"> </w:t>
      </w:r>
    </w:p>
    <w:p w:rsidR="00333E13" w:rsidRPr="00C537A9" w:rsidRDefault="00C537A9" w:rsidP="00C537A9">
      <w:r w:rsidRPr="00C537A9">
        <w:rPr>
          <w:iCs/>
          <w:color w:val="000000" w:themeColor="text1"/>
          <w:spacing w:val="-2"/>
          <w:sz w:val="28"/>
          <w:szCs w:val="28"/>
          <w:lang w:val="vi-VN"/>
        </w:rPr>
        <w:t>Thực hiện theo hợp đồng ký kết.</w:t>
      </w:r>
    </w:p>
    <w:sectPr w:rsidR="00333E13" w:rsidRPr="00C537A9" w:rsidSect="00E6182A">
      <w:pgSz w:w="11906" w:h="16838" w:code="9"/>
      <w:pgMar w:top="1440" w:right="1276" w:bottom="1440" w:left="1701" w:header="79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270AA"/>
    <w:multiLevelType w:val="hybridMultilevel"/>
    <w:tmpl w:val="E8769C56"/>
    <w:lvl w:ilvl="0" w:tplc="04090009">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51AD2AAE"/>
    <w:multiLevelType w:val="hybridMultilevel"/>
    <w:tmpl w:val="3FFC134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774506B"/>
    <w:multiLevelType w:val="hybridMultilevel"/>
    <w:tmpl w:val="AB9E4E30"/>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9"/>
    <w:rsid w:val="00333E13"/>
    <w:rsid w:val="00C537A9"/>
    <w:rsid w:val="00E6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3757D-2778-4294-B813-0051A296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A9"/>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C537A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537A9"/>
    <w:rPr>
      <w:rFonts w:eastAsia="Times New Roman"/>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6069</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YÊU CẦU VỀ KỸ THUẬT</vt:lpstr>
      <vt:lpstr>Chương V. YÊU CẦU VỀ KỸ THUẬT</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24</dc:creator>
  <cp:keywords/>
  <dc:description/>
  <cp:lastModifiedBy>Dell 24</cp:lastModifiedBy>
  <cp:revision>1</cp:revision>
  <dcterms:created xsi:type="dcterms:W3CDTF">2026-03-24T02:11:00Z</dcterms:created>
  <dcterms:modified xsi:type="dcterms:W3CDTF">2026-03-24T02:12:00Z</dcterms:modified>
</cp:coreProperties>
</file>