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7F06" w14:textId="77777777" w:rsidR="00D63611" w:rsidRPr="008F64A2" w:rsidRDefault="00D63611" w:rsidP="00D63611">
      <w:pPr>
        <w:tabs>
          <w:tab w:val="right" w:leader="dot" w:pos="9062"/>
        </w:tabs>
        <w:spacing w:before="80" w:after="80" w:line="264" w:lineRule="auto"/>
        <w:ind w:firstLine="709"/>
        <w:outlineLvl w:val="2"/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</w:pPr>
      <w:r w:rsidRPr="008F64A2"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  <w:t xml:space="preserve">Mục </w:t>
      </w:r>
      <w:r w:rsidRPr="008F64A2">
        <w:rPr>
          <w:rFonts w:eastAsia="Batang" w:cs="Times New Roman"/>
          <w:b/>
          <w:bCs/>
          <w:iCs/>
          <w:noProof/>
          <w:kern w:val="36"/>
          <w:sz w:val="28"/>
          <w:szCs w:val="28"/>
          <w:lang w:val="pl-PL"/>
          <w14:ligatures w14:val="none"/>
        </w:rPr>
        <w:t>3</w:t>
      </w:r>
      <w:r w:rsidRPr="008F64A2">
        <w:rPr>
          <w:rFonts w:eastAsia="Batang" w:cs="Times New Roman"/>
          <w:b/>
          <w:bCs/>
          <w:iCs/>
          <w:noProof/>
          <w:kern w:val="36"/>
          <w:sz w:val="28"/>
          <w:szCs w:val="28"/>
          <w:lang w:val="nl-NL"/>
          <w14:ligatures w14:val="none"/>
        </w:rPr>
        <w:t>. Tiêu chuẩn đánh giá về kỹ thuật</w:t>
      </w:r>
    </w:p>
    <w:p w14:paraId="33A7F66D" w14:textId="77777777" w:rsidR="00D63611" w:rsidRPr="008F64A2" w:rsidRDefault="00D63611" w:rsidP="00D63611">
      <w:pPr>
        <w:spacing w:before="80" w:after="80" w:line="264" w:lineRule="auto"/>
        <w:ind w:firstLine="709"/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</w:pPr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3.2.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Đánh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giá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theo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phương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pháp</w:t>
      </w:r>
      <w:proofErr w:type="spellEnd"/>
      <w:r w:rsidRPr="008F64A2" w:rsidDel="00BE4476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đạt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/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không</w:t>
      </w:r>
      <w:proofErr w:type="spellEnd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b/>
          <w:iCs/>
          <w:kern w:val="0"/>
          <w:sz w:val="28"/>
          <w:szCs w:val="28"/>
          <w:lang w:val="es-ES"/>
          <w14:ligatures w14:val="none"/>
        </w:rPr>
        <w:t>đạt</w:t>
      </w:r>
      <w:proofErr w:type="spellEnd"/>
      <w:r w:rsidRPr="008F64A2">
        <w:rPr>
          <w:rFonts w:eastAsia="Times New Roman" w:cs="Times New Roman"/>
          <w:b/>
          <w:kern w:val="0"/>
          <w:sz w:val="28"/>
          <w:szCs w:val="28"/>
          <w:lang w:val="es-ES"/>
          <w14:ligatures w14:val="none"/>
        </w:rPr>
        <w:t>: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804"/>
        <w:gridCol w:w="1640"/>
      </w:tblGrid>
      <w:tr w:rsidR="008F64A2" w:rsidRPr="008F64A2" w14:paraId="3124B737" w14:textId="77777777" w:rsidTr="0090737C">
        <w:trPr>
          <w:tblHeader/>
          <w:jc w:val="center"/>
        </w:trPr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6FE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Nội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dung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đánh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giá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E7B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Sử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dụng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tiêu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chí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3A0BB73F" w14:textId="77777777" w:rsidTr="0090737C">
        <w:trPr>
          <w:jc w:val="center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58D59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1.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Tính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hợp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lệ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dự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thầu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D67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-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Số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lượng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chủng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loại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cung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cấp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ứng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tại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Chương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IV (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Phạm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vi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cung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cấp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E-HSMT);</w:t>
            </w:r>
          </w:p>
          <w:p w14:paraId="1343ABBE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-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phải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có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Catalogue,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hình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ảnh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thực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tế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sản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phẩm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hoặc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tài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liệu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tương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đương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thể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hiện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tên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nhà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sản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xuất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nguồn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gốc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thông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số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kỹ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thuật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,…</w:t>
            </w:r>
            <w:proofErr w:type="gram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đầy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đủ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và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rõ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ràng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.</w:t>
            </w:r>
          </w:p>
          <w:p w14:paraId="26204AE7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-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sản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phẩm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mẫu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: </w:t>
            </w:r>
          </w:p>
          <w:p w14:paraId="3FE64035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+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Thời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gian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nộp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sản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phẩm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mẫu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: Trong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vòng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05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ngày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làm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việc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sau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thời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điểm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đóng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theo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thông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báo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mời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đã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được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đăng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tải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trên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hệ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thống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đấu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quốc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gia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. </w:t>
            </w:r>
          </w:p>
          <w:p w14:paraId="7F3A053F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+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Số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lượng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mẫu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: 01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bộ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sản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phẩm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theo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tại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chương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V.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37A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27F9217D" w14:textId="77777777" w:rsidTr="0090737C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353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662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8F64A2">
              <w:rPr>
                <w:rFonts w:eastAsia="Calibri" w:cs="Times New Roman"/>
                <w:spacing w:val="2"/>
                <w:kern w:val="0"/>
                <w:szCs w:val="26"/>
                <w:lang w:val="nl-NL"/>
                <w14:ligatures w14:val="none"/>
              </w:rPr>
              <w:t xml:space="preserve">- </w:t>
            </w: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190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40F4E230" w14:textId="77777777" w:rsidTr="0090737C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9087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2. </w:t>
            </w:r>
            <w:r w:rsidRPr="008F64A2">
              <w:rPr>
                <w:rFonts w:eastAsia="Times New Roman" w:cs="Times New Roman"/>
                <w:b/>
                <w:kern w:val="0"/>
                <w:szCs w:val="26"/>
                <w:lang w:val="vi-VN"/>
                <w14:ligatures w14:val="none"/>
              </w:rPr>
              <w:t>Tiêu chuẩn chất lượng của hàng hóa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5F6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- Hàng hoá dự thầu đáp ứng tiêu chuẩn chất lượng theo yêu cầu kỹ thuật chương V E-HSMT;</w:t>
            </w:r>
          </w:p>
          <w:p w14:paraId="146355E6" w14:textId="7A3A6818" w:rsidR="00E21D7B" w:rsidRPr="008F64A2" w:rsidRDefault="00E21D7B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- Có phiếu kết quả kiểm nghiệm ban hành của cơ quan chức năng có thẩm quyền đối với độ bền màu chăn theo phương pháp thử TCVN 7835-C10:2007 và túi nilon theo phương pháp thử QCVN 12-1:2011/BYT đáp ứng các yêu cầu kĩ thuật của hàng hóa tại chương V. E-HSMT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1DA4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44B3636D" w14:textId="77777777" w:rsidTr="0090737C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1B77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Arial Unicode MS" w:cs="Times New Roman"/>
                <w:kern w:val="0"/>
                <w:szCs w:val="26"/>
                <w:lang w:val="nl-NL"/>
                <w14:ligatures w14:val="non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768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  <w:r w:rsidRPr="008F64A2">
              <w:rPr>
                <w:rFonts w:eastAsia="Calibri" w:cs="Times New Roman"/>
                <w:spacing w:val="2"/>
                <w:kern w:val="0"/>
                <w:szCs w:val="26"/>
                <w:lang w:val="nl-NL"/>
                <w14:ligatures w14:val="none"/>
              </w:rPr>
              <w:t xml:space="preserve">- </w:t>
            </w: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CF2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05AA5EFF" w14:textId="77777777" w:rsidTr="0090737C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FA1953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3.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Giải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pháp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kỹ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thuật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biện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pháp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tổ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chức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cung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cấp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lắp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đặt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  <w:t>hóa</w:t>
            </w:r>
            <w:proofErr w:type="spellEnd"/>
          </w:p>
        </w:tc>
      </w:tr>
      <w:tr w:rsidR="008F64A2" w:rsidRPr="008F64A2" w14:paraId="6BE6FF53" w14:textId="77777777" w:rsidTr="0090737C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0B07F1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t xml:space="preserve">Tính hợp lý và hiệu quả kinh tế của các giải pháp kỹ thuật, biện </w:t>
            </w:r>
            <w:r w:rsidRPr="008F64A2"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  <w:lastRenderedPageBreak/>
              <w:t>pháp tổ chức cung cấp, lắp đặt hàng hóa</w:t>
            </w: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84D" w14:textId="77777777" w:rsidR="00D63611" w:rsidRPr="008F64A2" w:rsidRDefault="00D63611" w:rsidP="00D63611">
            <w:pPr>
              <w:widowControl w:val="0"/>
              <w:spacing w:after="0" w:line="276" w:lineRule="auto"/>
              <w:ind w:left="57" w:right="57"/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lastRenderedPageBreak/>
              <w:t>Có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các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giải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pháp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kỹ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thuật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biện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pháp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tổ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chức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cung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cấp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vận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chuyển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hợp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lý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và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hiệu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quả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kinh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tế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và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phải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phù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hợp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với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đặc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trưng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đơn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:lang w:eastAsia="vi-VN"/>
                <w14:ligatures w14:val="none"/>
              </w:rPr>
              <w:t>vị</w:t>
            </w:r>
            <w:proofErr w:type="spellEnd"/>
          </w:p>
          <w:p w14:paraId="401186A3" w14:textId="77777777" w:rsidR="00D63611" w:rsidRPr="008F64A2" w:rsidRDefault="00D63611" w:rsidP="00D63611">
            <w:pPr>
              <w:widowControl w:val="0"/>
              <w:spacing w:after="0" w:line="276" w:lineRule="auto"/>
              <w:ind w:left="57" w:right="57"/>
              <w:rPr>
                <w:rFonts w:eastAsia="Calibri" w:cs="Times New Roman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lastRenderedPageBreak/>
              <w:t>Có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Bảng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tiến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độ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cung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cấp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hợp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lý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khả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thi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và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phù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hợp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với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đề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xuất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kỹ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thuật</w:t>
            </w:r>
            <w:proofErr w:type="spellEnd"/>
            <w:r w:rsidRPr="008F64A2">
              <w:rPr>
                <w:rFonts w:eastAsia="Calibri" w:cs="Times New Roman"/>
                <w:kern w:val="0"/>
                <w:szCs w:val="26"/>
                <w14:ligatures w14:val="none"/>
              </w:rPr>
              <w:t>.</w:t>
            </w:r>
          </w:p>
          <w:p w14:paraId="7B66EDEF" w14:textId="77777777" w:rsidR="00D63611" w:rsidRPr="008F64A2" w:rsidRDefault="00D63611" w:rsidP="00D63611">
            <w:pPr>
              <w:widowControl w:val="0"/>
              <w:spacing w:after="0" w:line="276" w:lineRule="auto"/>
              <w:ind w:left="57" w:right="57"/>
              <w:rPr>
                <w:rFonts w:eastAsia="Calibri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Calibri" w:cs="Times New Roman"/>
                <w:kern w:val="0"/>
                <w:szCs w:val="26"/>
                <w:lang w:val="vi-VN" w:eastAsia="vi-VN"/>
                <w14:ligatures w14:val="none"/>
              </w:rPr>
              <w:t>Có cam kết hàng hóa chào thầu đã bao gồm toàn bộ công vận chuyển</w:t>
            </w:r>
            <w:r w:rsidRPr="008F64A2">
              <w:rPr>
                <w:rFonts w:eastAsia="Calibri" w:cs="Times New Roman"/>
                <w:kern w:val="0"/>
                <w:szCs w:val="26"/>
                <w:lang w:eastAsia="vi-VN"/>
                <w14:ligatures w14:val="none"/>
              </w:rPr>
              <w:t xml:space="preserve"> </w:t>
            </w:r>
            <w:r w:rsidRPr="008F64A2">
              <w:rPr>
                <w:rFonts w:eastAsia="Calibri" w:cs="Times New Roman"/>
                <w:kern w:val="0"/>
                <w:szCs w:val="26"/>
                <w:lang w:val="vi-VN" w:eastAsia="vi-VN"/>
                <w14:ligatures w14:val="none"/>
              </w:rPr>
              <w:t>vào từng thời điểm và không phát sinh bất kỳ chi phí nào.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80B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lastRenderedPageBreak/>
              <w:t>Đạt</w:t>
            </w:r>
            <w:proofErr w:type="spellEnd"/>
          </w:p>
        </w:tc>
      </w:tr>
      <w:tr w:rsidR="008F64A2" w:rsidRPr="008F64A2" w14:paraId="0EBCB318" w14:textId="77777777" w:rsidTr="0090737C">
        <w:trPr>
          <w:trHeight w:val="498"/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E117C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F1D" w14:textId="77777777" w:rsidR="00D63611" w:rsidRPr="008F64A2" w:rsidRDefault="00D63611" w:rsidP="00D63611">
            <w:pPr>
              <w:widowControl w:val="0"/>
              <w:spacing w:after="0" w:line="276" w:lineRule="auto"/>
              <w:ind w:left="57" w:right="57"/>
              <w:rPr>
                <w:rFonts w:eastAsia="Calibri" w:cs="Times New Roman"/>
                <w:spacing w:val="2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6CB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4A4CBA33" w14:textId="77777777" w:rsidTr="0090737C">
        <w:trPr>
          <w:jc w:val="center"/>
        </w:trPr>
        <w:tc>
          <w:tcPr>
            <w:tcW w:w="8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513E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4. Bả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o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hành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bảo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trì</w:t>
            </w:r>
            <w:proofErr w:type="spellEnd"/>
          </w:p>
        </w:tc>
      </w:tr>
      <w:tr w:rsidR="008F64A2" w:rsidRPr="008F64A2" w14:paraId="497617E5" w14:textId="77777777" w:rsidTr="0090737C">
        <w:trPr>
          <w:jc w:val="center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07F9" w14:textId="77777777" w:rsidR="00D63611" w:rsidRPr="008F64A2" w:rsidRDefault="00D63611" w:rsidP="00D63611">
            <w:pPr>
              <w:spacing w:after="0" w:line="312" w:lineRule="auto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Thời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gian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bảo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hành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64E" w14:textId="77777777" w:rsidR="00D63611" w:rsidRPr="008F64A2" w:rsidRDefault="00D63611" w:rsidP="00D63611">
            <w:pPr>
              <w:spacing w:after="0" w:line="312" w:lineRule="auto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Có cam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kết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đáp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ứng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thời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gian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bảo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hành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hàng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hóa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theo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HSMT.</w:t>
            </w:r>
          </w:p>
          <w:p w14:paraId="4C5A7913" w14:textId="77777777" w:rsidR="00D63611" w:rsidRPr="008F64A2" w:rsidRDefault="00D63611" w:rsidP="00D63611">
            <w:pPr>
              <w:spacing w:after="0" w:line="312" w:lineRule="auto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Giải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kỹ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thuật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biện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pháp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tổ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chức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cung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cấp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hóa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có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thuyết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minh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về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quy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trình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bảo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hành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,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bảo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trì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đáp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ứng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yêu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cầu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tại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chương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V </w:t>
            </w:r>
            <w:proofErr w:type="spellStart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>của</w:t>
            </w:r>
            <w:proofErr w:type="spellEnd"/>
            <w:r w:rsidRPr="008F64A2">
              <w:rPr>
                <w:rFonts w:eastAsia="Times New Roman" w:cs="Times New Roman"/>
                <w:kern w:val="0"/>
                <w:szCs w:val="26"/>
                <w14:ligatures w14:val="none"/>
              </w:rPr>
              <w:t xml:space="preserve"> E-HSMT.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A678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  <w:tr w:rsidR="008F64A2" w:rsidRPr="008F64A2" w14:paraId="32A7567F" w14:textId="77777777" w:rsidTr="0090737C">
        <w:trPr>
          <w:jc w:val="center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7EE9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rPr>
                <w:rFonts w:eastAsia="Times New Roman" w:cs="Times New Roman"/>
                <w:kern w:val="0"/>
                <w:szCs w:val="26"/>
                <w14:ligatures w14:val="none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EDE" w14:textId="77777777" w:rsidR="00D63611" w:rsidRPr="008F64A2" w:rsidRDefault="00D63611" w:rsidP="00D63611">
            <w:pPr>
              <w:widowControl w:val="0"/>
              <w:spacing w:after="0" w:line="276" w:lineRule="auto"/>
              <w:ind w:left="57" w:right="57"/>
              <w:rPr>
                <w:rFonts w:eastAsia="Calibri" w:cs="Times New Roman"/>
                <w:spacing w:val="2"/>
                <w:kern w:val="0"/>
                <w:szCs w:val="26"/>
                <w14:ligatures w14:val="none"/>
              </w:rPr>
            </w:pPr>
            <w:r w:rsidRPr="008F64A2">
              <w:rPr>
                <w:rFonts w:eastAsia="Times New Roman" w:cs="Times New Roman"/>
                <w:kern w:val="0"/>
                <w:szCs w:val="26"/>
                <w:lang w:val="nl-NL"/>
                <w14:ligatures w14:val="none"/>
              </w:rPr>
              <w:t>Không đáp ứng một trong các yêu cầu nêu trên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58A" w14:textId="77777777" w:rsidR="00D63611" w:rsidRPr="008F64A2" w:rsidRDefault="00D63611" w:rsidP="00D63611">
            <w:pPr>
              <w:widowControl w:val="0"/>
              <w:spacing w:after="0" w:line="380" w:lineRule="exact"/>
              <w:ind w:left="57" w:right="57"/>
              <w:jc w:val="center"/>
              <w:rPr>
                <w:rFonts w:eastAsia="Calibri" w:cs="Times New Roman"/>
                <w:b/>
                <w:spacing w:val="2"/>
                <w:kern w:val="0"/>
                <w:szCs w:val="26"/>
                <w14:ligatures w14:val="none"/>
              </w:rPr>
            </w:pP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Không</w:t>
            </w:r>
            <w:proofErr w:type="spellEnd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 xml:space="preserve"> </w:t>
            </w:r>
            <w:proofErr w:type="spellStart"/>
            <w:r w:rsidRPr="008F64A2">
              <w:rPr>
                <w:rFonts w:eastAsia="Times New Roman" w:cs="Times New Roman"/>
                <w:b/>
                <w:kern w:val="0"/>
                <w:szCs w:val="26"/>
                <w14:ligatures w14:val="none"/>
              </w:rPr>
              <w:t>đạt</w:t>
            </w:r>
            <w:proofErr w:type="spellEnd"/>
          </w:p>
        </w:tc>
      </w:tr>
    </w:tbl>
    <w:p w14:paraId="67C76CEB" w14:textId="58AE15A2" w:rsidR="00A4769E" w:rsidRPr="008F64A2" w:rsidRDefault="00D63611"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E-HSDT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được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đánh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giá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là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đáp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ứng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yêu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cầu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về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kỹ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thuật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khi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có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tất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cả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các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tiêu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chí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tổng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quát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đều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được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đánh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giá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là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 xml:space="preserve"> </w:t>
      </w:r>
      <w:proofErr w:type="spellStart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đạt</w:t>
      </w:r>
      <w:proofErr w:type="spellEnd"/>
      <w:r w:rsidRPr="008F64A2">
        <w:rPr>
          <w:rFonts w:eastAsia="Times New Roman" w:cs="Times New Roman"/>
          <w:kern w:val="0"/>
          <w:sz w:val="28"/>
          <w:szCs w:val="28"/>
          <w:lang w:val="es-ES"/>
          <w14:ligatures w14:val="none"/>
        </w:rPr>
        <w:t>.</w:t>
      </w:r>
    </w:p>
    <w:sectPr w:rsidR="00A4769E" w:rsidRPr="008F64A2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1"/>
    <w:rsid w:val="008F64A2"/>
    <w:rsid w:val="00A4769E"/>
    <w:rsid w:val="00D63611"/>
    <w:rsid w:val="00E21D7B"/>
    <w:rsid w:val="00E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2186"/>
  <w15:chartTrackingRefBased/>
  <w15:docId w15:val="{5B81F35A-E53F-40BB-9121-0683A662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TNHH TƯ VẤN VÀ ĐẦU TƯ THƯƠNG MẠI HCP CÔNG TY</dc:creator>
  <cp:keywords/>
  <dc:description/>
  <cp:lastModifiedBy>Administrator</cp:lastModifiedBy>
  <cp:revision>3</cp:revision>
  <dcterms:created xsi:type="dcterms:W3CDTF">2026-03-19T02:32:00Z</dcterms:created>
  <dcterms:modified xsi:type="dcterms:W3CDTF">2026-03-23T12:21:00Z</dcterms:modified>
</cp:coreProperties>
</file>