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1E0C0089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AC71D0">
        <w:t xml:space="preserve">   </w:t>
      </w:r>
      <w:r w:rsidR="008A541C">
        <w:t xml:space="preserve">  </w:t>
      </w:r>
      <w:r w:rsidR="007A4D81">
        <w:t xml:space="preserve">  </w:t>
      </w:r>
    </w:p>
    <w:p w14:paraId="1D7680F0" w14:textId="77777777" w:rsidR="000631DA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</w:p>
    <w:p w14:paraId="376048A9" w14:textId="7AE42543" w:rsidR="000C1F31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  <w:r w:rsidRPr="00B9426F">
        <w:rPr>
          <w:b/>
          <w:bCs/>
          <w:sz w:val="30"/>
          <w:szCs w:val="30"/>
        </w:rPr>
        <w:t>BẢNG TIÊU CHUẨN ĐÁNH GIÁ VỀ KỸ THUẬT</w:t>
      </w:r>
    </w:p>
    <w:p w14:paraId="4362AB12" w14:textId="77777777" w:rsidR="000631DA" w:rsidRPr="00B9426F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FF15EE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7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FF15EE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A56326F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Tính hợp lệ </w:t>
            </w:r>
            <w:r w:rsidR="00FF15EE">
              <w:rPr>
                <w:color w:val="002060"/>
                <w:sz w:val="28"/>
                <w:szCs w:val="28"/>
                <w:lang w:val="en"/>
              </w:rPr>
              <w:t>thiết bị cho mượn</w:t>
            </w:r>
          </w:p>
        </w:tc>
        <w:tc>
          <w:tcPr>
            <w:tcW w:w="1508" w:type="pct"/>
          </w:tcPr>
          <w:p w14:paraId="72FB7CB4" w14:textId="3137E1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="00FF15EE">
              <w:rPr>
                <w:color w:val="002060"/>
                <w:sz w:val="28"/>
                <w:szCs w:val="28"/>
                <w:lang w:val="en"/>
              </w:rPr>
              <w:t>Thiết bị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do nhà thầu </w:t>
            </w:r>
            <w:r w:rsidR="00FF15EE">
              <w:rPr>
                <w:color w:val="002060"/>
                <w:sz w:val="28"/>
                <w:szCs w:val="28"/>
                <w:lang w:val="en"/>
              </w:rPr>
              <w:t>đề xuất cho mượn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7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5CCBDBF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="00FF15EE">
              <w:rPr>
                <w:color w:val="002060"/>
                <w:sz w:val="28"/>
                <w:szCs w:val="28"/>
                <w:lang w:val="en"/>
              </w:rPr>
              <w:t>Thiết bị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do nhà thầu </w:t>
            </w:r>
            <w:r w:rsidR="00FF15EE">
              <w:rPr>
                <w:color w:val="002060"/>
                <w:sz w:val="28"/>
                <w:szCs w:val="28"/>
                <w:lang w:val="en"/>
              </w:rPr>
              <w:t>đề xuất cho mượn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310152C2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9C1C2E" w:rsidRPr="009C1C2E">
              <w:rPr>
                <w:color w:val="002060"/>
                <w:szCs w:val="24"/>
                <w:lang w:val="en"/>
              </w:rPr>
              <w:t>MẪU SỐ 10B. ĐỀ XUẤT VỀ THIẾT BỊ Y TẾ NHÀ THẦU CHO MƯỢN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FF15EE" w:rsidRPr="00073677" w14:paraId="45DB7CC9" w14:textId="77777777" w:rsidTr="00FF15EE">
        <w:tc>
          <w:tcPr>
            <w:tcW w:w="190" w:type="pct"/>
          </w:tcPr>
          <w:p w14:paraId="71CC2803" w14:textId="77777777" w:rsidR="00FF15EE" w:rsidRPr="00073677" w:rsidRDefault="00FF15EE" w:rsidP="00FF15E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4027E497" w14:textId="7FBA03E5" w:rsidR="00FF15EE" w:rsidRDefault="00FF15EE" w:rsidP="00FF15EE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1E346001" w14:textId="5BECD54E" w:rsidR="00FF15EE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PHẢI </w:t>
            </w:r>
            <w:r w:rsidR="008C1407">
              <w:rPr>
                <w:color w:val="002060"/>
                <w:sz w:val="28"/>
                <w:szCs w:val="28"/>
                <w:lang w:val="en"/>
              </w:rPr>
              <w:t>CÓ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579451A" w14:textId="5A53CAEC" w:rsidR="00FF15EE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7" w:type="pct"/>
          </w:tcPr>
          <w:p w14:paraId="285CE4E4" w14:textId="5B9CA14A" w:rsidR="00FF15EE" w:rsidRPr="00073677" w:rsidRDefault="00FF15EE" w:rsidP="00FF15EE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2E480C1" w14:textId="329FA940" w:rsidR="00FF15EE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</w:t>
            </w:r>
            <w:r w:rsidR="008C1407">
              <w:rPr>
                <w:color w:val="002060"/>
                <w:sz w:val="28"/>
                <w:szCs w:val="28"/>
                <w:lang w:val="en"/>
              </w:rPr>
              <w:t>CÓ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C5CEA1" w14:textId="332C4308" w:rsidR="00FF15EE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4414585B" w14:textId="508FF9F3" w:rsidR="00FF15EE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534332">
              <w:rPr>
                <w:color w:val="002060"/>
                <w:szCs w:val="24"/>
                <w:lang w:val="en"/>
              </w:rPr>
              <w:t>Nhà thầu liệt kê hàng hóa</w:t>
            </w:r>
            <w:r>
              <w:rPr>
                <w:color w:val="002060"/>
                <w:szCs w:val="24"/>
                <w:lang w:val="en"/>
              </w:rPr>
              <w:t>,</w:t>
            </w:r>
            <w:r w:rsidR="00534332">
              <w:rPr>
                <w:color w:val="002060"/>
                <w:szCs w:val="24"/>
                <w:lang w:val="en"/>
              </w:rPr>
              <w:t xml:space="preserve"> có </w:t>
            </w:r>
            <w:r w:rsidR="00534332" w:rsidRPr="00534332">
              <w:rPr>
                <w:color w:val="002060"/>
                <w:szCs w:val="24"/>
                <w:lang w:val="en"/>
              </w:rPr>
              <w:t>rõ ký mã hiệu, nhãn mác sản phẩm (nếu có), tên nhà sản xuất, nguồn gốc xuất xứ</w:t>
            </w:r>
            <w:r w:rsidR="00534332">
              <w:rPr>
                <w:color w:val="002060"/>
                <w:szCs w:val="24"/>
                <w:lang w:val="en"/>
              </w:rPr>
              <w:t>.</w:t>
            </w:r>
          </w:p>
          <w:p w14:paraId="5594BB1F" w14:textId="5B8E7BB7" w:rsidR="00FF15EE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FF15EE" w:rsidRPr="00073677" w14:paraId="34DA9673" w14:textId="4F6B7F3B" w:rsidTr="00FF15EE">
        <w:tc>
          <w:tcPr>
            <w:tcW w:w="190" w:type="pct"/>
          </w:tcPr>
          <w:p w14:paraId="1CD37CDC" w14:textId="77777777" w:rsidR="00FF15EE" w:rsidRPr="00073677" w:rsidRDefault="00FF15EE" w:rsidP="00FF15E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FF15EE" w:rsidRPr="00073677" w:rsidRDefault="00FF15EE" w:rsidP="00FF15EE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FF15EE" w:rsidRPr="00E32B80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FF15EE" w:rsidRPr="00073677" w:rsidRDefault="00FF15EE" w:rsidP="00FF15EE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7" w:type="pct"/>
          </w:tcPr>
          <w:p w14:paraId="3006B390" w14:textId="278E5575" w:rsidR="00FF15EE" w:rsidRPr="00073677" w:rsidRDefault="00FF15EE" w:rsidP="00FF15EE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FF15EE" w:rsidRPr="00E32B80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FF15EE" w:rsidRPr="00073677" w:rsidRDefault="00FF15EE" w:rsidP="00FF15EE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FF15EE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FF15EE" w:rsidRPr="008D1E66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FF15EE" w:rsidRPr="00073677" w14:paraId="08D7E5EC" w14:textId="22266197" w:rsidTr="00FF15EE">
        <w:tc>
          <w:tcPr>
            <w:tcW w:w="190" w:type="pct"/>
          </w:tcPr>
          <w:p w14:paraId="40CA93D7" w14:textId="77777777" w:rsidR="00FF15EE" w:rsidRPr="00073677" w:rsidRDefault="00FF15EE" w:rsidP="00FF15E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FF15EE" w:rsidRPr="00073677" w:rsidRDefault="00FF15EE" w:rsidP="00FF15EE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FF15EE" w:rsidRPr="00073677" w:rsidRDefault="00FF15EE" w:rsidP="00FF15EE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7" w:type="pct"/>
          </w:tcPr>
          <w:p w14:paraId="7A947E4B" w14:textId="646C4434" w:rsidR="00FF15EE" w:rsidRPr="00073677" w:rsidRDefault="00FF15EE" w:rsidP="00FF15EE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FF15EE" w:rsidRPr="00073677" w:rsidRDefault="00FF15EE" w:rsidP="00FF15EE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FF15EE" w:rsidRPr="00073677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FF15EE" w:rsidRPr="00073677" w14:paraId="30406A4A" w14:textId="3A42FA42" w:rsidTr="00FF15EE">
        <w:tc>
          <w:tcPr>
            <w:tcW w:w="190" w:type="pct"/>
          </w:tcPr>
          <w:p w14:paraId="5F70CAAE" w14:textId="77777777" w:rsidR="00FF15EE" w:rsidRPr="00073677" w:rsidRDefault="00FF15EE" w:rsidP="00FF15E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FF15EE" w:rsidRPr="00073677" w:rsidRDefault="00FF15EE" w:rsidP="00FF15EE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FF15EE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FF15EE" w:rsidRPr="00990BF6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FF15EE" w:rsidRPr="00073677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FF15EE" w:rsidRPr="00073677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2060"/>
                <w:sz w:val="28"/>
                <w:szCs w:val="28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073677">
              <w:rPr>
                <w:color w:val="002060"/>
                <w:sz w:val="28"/>
                <w:szCs w:val="28"/>
              </w:rPr>
              <w:t>ra.</w:t>
            </w:r>
          </w:p>
          <w:p w14:paraId="2EC8C114" w14:textId="249E23DD" w:rsidR="00FF15EE" w:rsidRPr="00073677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073677">
              <w:rPr>
                <w:color w:val="002060"/>
                <w:sz w:val="28"/>
                <w:szCs w:val="28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lastRenderedPageBreak/>
              <w:t>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thông báo thu hồi của Chủ đầu tư.</w:t>
            </w:r>
          </w:p>
        </w:tc>
        <w:tc>
          <w:tcPr>
            <w:tcW w:w="387" w:type="pct"/>
          </w:tcPr>
          <w:p w14:paraId="66A3F128" w14:textId="2BC38586" w:rsidR="00FF15EE" w:rsidRPr="00073677" w:rsidRDefault="00FF15EE" w:rsidP="00FF15EE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lastRenderedPageBreak/>
              <w:t>Không áp dụng</w:t>
            </w:r>
          </w:p>
        </w:tc>
        <w:tc>
          <w:tcPr>
            <w:tcW w:w="1564" w:type="pct"/>
          </w:tcPr>
          <w:p w14:paraId="3A678404" w14:textId="2F11DA92" w:rsidR="00FF15EE" w:rsidRPr="00073677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FF15EE" w:rsidRPr="00073677" w:rsidRDefault="00FF15EE" w:rsidP="00FF15EE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FF15EE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FF15EE" w:rsidRPr="00073677" w:rsidRDefault="00FF15EE" w:rsidP="00FF15EE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FF15EE" w:rsidRPr="00073677" w:rsidRDefault="00FF15EE" w:rsidP="00FF15EE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FF15EE" w:rsidRPr="00073677" w:rsidRDefault="00FF15EE" w:rsidP="00FF15EE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FF15EE" w:rsidRPr="00073677" w:rsidRDefault="00FF15EE" w:rsidP="00FF15EE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253D" w14:textId="77777777" w:rsidR="00CC419C" w:rsidRDefault="00CC419C" w:rsidP="0005772F">
      <w:r>
        <w:separator/>
      </w:r>
    </w:p>
  </w:endnote>
  <w:endnote w:type="continuationSeparator" w:id="0">
    <w:p w14:paraId="7C14705D" w14:textId="77777777" w:rsidR="00CC419C" w:rsidRDefault="00CC419C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F1A6" w14:textId="77777777" w:rsidR="00CC419C" w:rsidRDefault="00CC419C" w:rsidP="0005772F">
      <w:r>
        <w:separator/>
      </w:r>
    </w:p>
  </w:footnote>
  <w:footnote w:type="continuationSeparator" w:id="0">
    <w:p w14:paraId="06EC280F" w14:textId="77777777" w:rsidR="00CC419C" w:rsidRDefault="00CC419C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250430649">
    <w:abstractNumId w:val="10"/>
  </w:num>
  <w:num w:numId="2" w16cid:durableId="821390422">
    <w:abstractNumId w:val="14"/>
  </w:num>
  <w:num w:numId="3" w16cid:durableId="1021933910">
    <w:abstractNumId w:val="29"/>
  </w:num>
  <w:num w:numId="4" w16cid:durableId="1598100199">
    <w:abstractNumId w:val="5"/>
  </w:num>
  <w:num w:numId="5" w16cid:durableId="789934858">
    <w:abstractNumId w:val="15"/>
  </w:num>
  <w:num w:numId="6" w16cid:durableId="1154418219">
    <w:abstractNumId w:val="22"/>
  </w:num>
  <w:num w:numId="7" w16cid:durableId="1630085391">
    <w:abstractNumId w:val="1"/>
  </w:num>
  <w:num w:numId="8" w16cid:durableId="421685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3460732">
    <w:abstractNumId w:val="21"/>
  </w:num>
  <w:num w:numId="10" w16cid:durableId="1704670365">
    <w:abstractNumId w:val="6"/>
  </w:num>
  <w:num w:numId="11" w16cid:durableId="1661537463">
    <w:abstractNumId w:val="23"/>
  </w:num>
  <w:num w:numId="12" w16cid:durableId="509687404">
    <w:abstractNumId w:val="27"/>
  </w:num>
  <w:num w:numId="13" w16cid:durableId="1194032650">
    <w:abstractNumId w:val="7"/>
  </w:num>
  <w:num w:numId="14" w16cid:durableId="140389014">
    <w:abstractNumId w:val="19"/>
  </w:num>
  <w:num w:numId="15" w16cid:durableId="1367876965">
    <w:abstractNumId w:val="0"/>
  </w:num>
  <w:num w:numId="16" w16cid:durableId="1192306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3911687">
    <w:abstractNumId w:val="3"/>
  </w:num>
  <w:num w:numId="18" w16cid:durableId="1659381048">
    <w:abstractNumId w:val="28"/>
  </w:num>
  <w:num w:numId="19" w16cid:durableId="1393848899">
    <w:abstractNumId w:val="2"/>
  </w:num>
  <w:num w:numId="20" w16cid:durableId="1753626835">
    <w:abstractNumId w:val="26"/>
  </w:num>
  <w:num w:numId="21" w16cid:durableId="1702435090">
    <w:abstractNumId w:val="17"/>
  </w:num>
  <w:num w:numId="22" w16cid:durableId="401685683">
    <w:abstractNumId w:val="24"/>
  </w:num>
  <w:num w:numId="23" w16cid:durableId="1169174536">
    <w:abstractNumId w:val="13"/>
  </w:num>
  <w:num w:numId="24" w16cid:durableId="1162158217">
    <w:abstractNumId w:val="25"/>
  </w:num>
  <w:num w:numId="25" w16cid:durableId="1147630397">
    <w:abstractNumId w:val="11"/>
  </w:num>
  <w:num w:numId="26" w16cid:durableId="1736465963">
    <w:abstractNumId w:val="30"/>
  </w:num>
  <w:num w:numId="27" w16cid:durableId="214393946">
    <w:abstractNumId w:val="4"/>
  </w:num>
  <w:num w:numId="28" w16cid:durableId="2146778329">
    <w:abstractNumId w:val="20"/>
  </w:num>
  <w:num w:numId="29" w16cid:durableId="176309038">
    <w:abstractNumId w:val="16"/>
  </w:num>
  <w:num w:numId="30" w16cid:durableId="269895675">
    <w:abstractNumId w:val="12"/>
  </w:num>
  <w:num w:numId="31" w16cid:durableId="339040138">
    <w:abstractNumId w:val="18"/>
  </w:num>
  <w:num w:numId="32" w16cid:durableId="103886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6690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2E22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63B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4332"/>
    <w:rsid w:val="00534D6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3F08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BD4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4D81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0D61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541C"/>
    <w:rsid w:val="008A614C"/>
    <w:rsid w:val="008A77B6"/>
    <w:rsid w:val="008B268B"/>
    <w:rsid w:val="008C1407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1C2E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1D0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419C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15EE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Phu Phong</cp:lastModifiedBy>
  <cp:revision>113</cp:revision>
  <cp:lastPrinted>2022-05-26T06:41:00Z</cp:lastPrinted>
  <dcterms:created xsi:type="dcterms:W3CDTF">2022-06-06T07:25:00Z</dcterms:created>
  <dcterms:modified xsi:type="dcterms:W3CDTF">2026-03-25T02:53:00Z</dcterms:modified>
</cp:coreProperties>
</file>