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1D76D01D"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B67A0F">
        <w:rPr>
          <w:color w:val="FF0000"/>
          <w:sz w:val="28"/>
          <w:szCs w:val="28"/>
          <w:lang w:val="nl-NL"/>
        </w:rPr>
        <w:t>Lắp đặt nguồn điện mặt trời mái nhà tự sản xuất, tự tiêu thụ tại các trụ sở thuộc Công ty Điện lực Thanh Hóa</w:t>
      </w:r>
      <w:r w:rsidR="0046589A" w:rsidRPr="00D81C4A">
        <w:rPr>
          <w:color w:val="FF0000"/>
          <w:sz w:val="28"/>
          <w:szCs w:val="28"/>
          <w:lang w:val="nl-NL"/>
        </w:rPr>
        <w:t>.</w:t>
      </w:r>
    </w:p>
    <w:p w14:paraId="1706E570" w14:textId="61DECBE5" w:rsidR="00CB33E0" w:rsidRPr="00FC4211"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FC4211" w:rsidRPr="00FC4211">
        <w:rPr>
          <w:color w:val="FF0000"/>
          <w:sz w:val="28"/>
          <w:szCs w:val="28"/>
        </w:rPr>
        <w:t>Công trình được lắp đặt trên mái nhà trụ sở trực thuộc Công ty Điện lực Thanh Hóa gồm: các Đội QLĐL KV Cẩm Thủy, Hoằng Hóa, Hạc Thành, Sầm Sơn, Thạch Thành, Yên Định, Đông Sơn, Ngọc Lặc, Nông Cống, Bỉm Sơn, Nga Sơn, Hậu Lộc, Thiệu Hóa, Hà Trung, Lang Chánh, Thọ Xuân, Bá Thước, Quan Sơn, Như Thanh, Thường Xuân, Kho vật tư, Nhà khách Điện lực miền Bắc</w:t>
      </w:r>
      <w:r w:rsidR="00B31FA2" w:rsidRPr="00FC4211">
        <w:rPr>
          <w:color w:val="FF0000"/>
          <w:sz w:val="28"/>
          <w:szCs w:val="28"/>
        </w:rPr>
        <w:t>.</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FC4211">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3866BB65"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B67A0F">
        <w:rPr>
          <w:color w:val="FF0000"/>
          <w:sz w:val="28"/>
          <w:szCs w:val="28"/>
          <w:lang w:val="nl-NL"/>
        </w:rPr>
        <w:t>85</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06D6779A"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B67A0F">
              <w:rPr>
                <w:color w:val="FF0000"/>
                <w:sz w:val="28"/>
                <w:szCs w:val="28"/>
              </w:rPr>
              <w:t>Lắp đặt nguồn điện mặt trời mái nhà tự sản xuất, tự tiêu thụ tại các trụ sở thuộc Công ty Điện lực Thanh Hóa</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24FCC010" w14:textId="47E75759" w:rsidR="00EB1620" w:rsidRPr="00B31FA2" w:rsidRDefault="00FC4211" w:rsidP="00B31FA2">
            <w:pPr>
              <w:ind w:firstLine="139"/>
              <w:rPr>
                <w:sz w:val="28"/>
                <w:szCs w:val="28"/>
              </w:rPr>
            </w:pPr>
            <w:r w:rsidRPr="00FC4211">
              <w:rPr>
                <w:color w:val="EE0000"/>
                <w:sz w:val="28"/>
                <w:szCs w:val="28"/>
                <w:lang w:val="vi-VN"/>
              </w:rPr>
              <w:t>Lắp đặt 22 nguồn ĐMTMN tại các trụ sở, bao gồm tấm pin, Inverter và các phụ kiện liên quan, tổng công suất 615 kWp</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lastRenderedPageBreak/>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cung cấp cho nhà thầu tư vấn một (01) bản sao của tất cả </w:t>
      </w:r>
      <w:r w:rsidRPr="00C5429C">
        <w:rPr>
          <w:sz w:val="28"/>
          <w:szCs w:val="28"/>
          <w:lang w:val="it-IT"/>
        </w:rPr>
        <w:lastRenderedPageBreak/>
        <w:t>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B43C" w14:textId="77777777" w:rsidR="006F50E1" w:rsidRDefault="006F50E1" w:rsidP="00E05AF1">
      <w:r>
        <w:separator/>
      </w:r>
    </w:p>
  </w:endnote>
  <w:endnote w:type="continuationSeparator" w:id="0">
    <w:p w14:paraId="00E28685" w14:textId="77777777" w:rsidR="006F50E1" w:rsidRDefault="006F50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B41" w14:textId="77777777" w:rsidR="006F50E1" w:rsidRDefault="006F50E1" w:rsidP="00E05AF1">
      <w:r>
        <w:separator/>
      </w:r>
    </w:p>
  </w:footnote>
  <w:footnote w:type="continuationSeparator" w:id="0">
    <w:p w14:paraId="7A659F76" w14:textId="77777777" w:rsidR="006F50E1" w:rsidRDefault="006F50E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4993"/>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28E9"/>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1FA2"/>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67A0F"/>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485D"/>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4211"/>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375</cp:revision>
  <cp:lastPrinted>2024-09-20T00:38:00Z</cp:lastPrinted>
  <dcterms:created xsi:type="dcterms:W3CDTF">2018-10-21T03:53:00Z</dcterms:created>
  <dcterms:modified xsi:type="dcterms:W3CDTF">2026-03-13T08:50:00Z</dcterms:modified>
</cp:coreProperties>
</file>