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EF0F" w14:textId="77777777" w:rsidR="00AF4D2D" w:rsidRPr="004C7798" w:rsidRDefault="00AF4D2D" w:rsidP="00AF4D2D">
      <w:pPr>
        <w:pStyle w:val="Section4heading"/>
        <w:tabs>
          <w:tab w:val="left" w:pos="0"/>
        </w:tabs>
        <w:spacing w:before="120" w:line="360" w:lineRule="atLeast"/>
        <w:ind w:firstLine="567"/>
        <w:rPr>
          <w:b w:val="0"/>
          <w:color w:val="FF0000"/>
          <w:sz w:val="28"/>
          <w:szCs w:val="28"/>
        </w:rPr>
      </w:pPr>
      <w:r w:rsidRPr="004C7798">
        <w:rPr>
          <w:color w:val="FF0000"/>
          <w:sz w:val="28"/>
          <w:szCs w:val="28"/>
        </w:rPr>
        <w:t>Chương V. YÊU CẦU VỀ KỸ THUẬT</w:t>
      </w:r>
    </w:p>
    <w:p w14:paraId="77B1DD26" w14:textId="77777777" w:rsidR="00AF4D2D" w:rsidRPr="007E4AD1" w:rsidRDefault="007F6FFD" w:rsidP="00AF4D2D">
      <w:pPr>
        <w:spacing w:before="120"/>
        <w:ind w:firstLine="567"/>
        <w:rPr>
          <w:b/>
          <w:sz w:val="28"/>
          <w:szCs w:val="28"/>
          <w:lang w:val="en-GB"/>
        </w:rPr>
      </w:pPr>
      <w:r>
        <w:rPr>
          <w:b/>
          <w:sz w:val="28"/>
          <w:szCs w:val="28"/>
          <w:lang w:val="en-GB"/>
        </w:rPr>
        <w:t>A</w:t>
      </w:r>
      <w:r w:rsidR="00AF4D2D" w:rsidRPr="007E4AD1">
        <w:rPr>
          <w:b/>
          <w:sz w:val="28"/>
          <w:szCs w:val="28"/>
          <w:lang w:val="en-GB"/>
        </w:rPr>
        <w:t>. Giới thiệu về gói thầu</w:t>
      </w:r>
    </w:p>
    <w:p w14:paraId="7D7DFEAD" w14:textId="77777777" w:rsidR="00AF4D2D" w:rsidRPr="003D3253" w:rsidRDefault="007F6FFD" w:rsidP="000179F1">
      <w:pPr>
        <w:spacing w:before="120"/>
        <w:ind w:firstLine="567"/>
        <w:rPr>
          <w:b/>
          <w:color w:val="C00000"/>
          <w:sz w:val="28"/>
          <w:szCs w:val="28"/>
          <w:lang w:val="en-GB"/>
        </w:rPr>
      </w:pPr>
      <w:r w:rsidRPr="003D3253">
        <w:rPr>
          <w:b/>
          <w:color w:val="C00000"/>
          <w:sz w:val="28"/>
          <w:szCs w:val="28"/>
          <w:lang w:val="en-GB"/>
        </w:rPr>
        <w:t>I</w:t>
      </w:r>
      <w:r w:rsidR="00AF4D2D" w:rsidRPr="003D3253">
        <w:rPr>
          <w:b/>
          <w:color w:val="C00000"/>
          <w:sz w:val="28"/>
          <w:szCs w:val="28"/>
          <w:lang w:val="en-GB"/>
        </w:rPr>
        <w:t>. Phạm vi công việc của gó</w:t>
      </w:r>
      <w:bookmarkStart w:id="0" w:name="_Hlk42496468"/>
      <w:bookmarkStart w:id="1" w:name="_Hlk45898232"/>
      <w:r w:rsidR="00AF4D2D" w:rsidRPr="003D3253">
        <w:rPr>
          <w:b/>
          <w:color w:val="C00000"/>
          <w:sz w:val="28"/>
          <w:szCs w:val="28"/>
          <w:lang w:val="en-GB"/>
        </w:rPr>
        <w:t>i thầu:</w:t>
      </w:r>
    </w:p>
    <w:p w14:paraId="65A0270F" w14:textId="07C8B46C" w:rsidR="00794E25" w:rsidRPr="009A57B1" w:rsidRDefault="00B70BD6" w:rsidP="000179F1">
      <w:pPr>
        <w:spacing w:before="120"/>
        <w:ind w:firstLine="567"/>
        <w:rPr>
          <w:sz w:val="28"/>
          <w:szCs w:val="28"/>
        </w:rPr>
      </w:pPr>
      <w:r w:rsidRPr="009A57B1">
        <w:rPr>
          <w:sz w:val="28"/>
          <w:szCs w:val="28"/>
        </w:rPr>
        <w:t xml:space="preserve">- Chủ đầu tư: </w:t>
      </w:r>
      <w:r w:rsidR="00987C82" w:rsidRPr="003051BA">
        <w:rPr>
          <w:bCs/>
          <w:iCs/>
          <w:snapToGrid w:val="0"/>
          <w:sz w:val="28"/>
          <w:szCs w:val="28"/>
          <w:lang w:val="pt-BR"/>
        </w:rPr>
        <w:t>Văn Phòng HĐND và UBND Phường 3 Bảo Lộc</w:t>
      </w:r>
      <w:r w:rsidRPr="009A57B1">
        <w:rPr>
          <w:sz w:val="28"/>
          <w:szCs w:val="28"/>
        </w:rPr>
        <w:t>.</w:t>
      </w:r>
    </w:p>
    <w:p w14:paraId="583395D7" w14:textId="6BC93B7F" w:rsidR="008D70B8" w:rsidRDefault="008D70B8" w:rsidP="008D70B8">
      <w:pPr>
        <w:spacing w:before="60" w:after="60"/>
        <w:ind w:right="29" w:firstLine="567"/>
        <w:rPr>
          <w:b/>
          <w:sz w:val="28"/>
          <w:szCs w:val="28"/>
        </w:rPr>
      </w:pPr>
      <w:r w:rsidRPr="003B1043">
        <w:rPr>
          <w:sz w:val="28"/>
          <w:szCs w:val="28"/>
        </w:rPr>
        <w:t xml:space="preserve">- Tên dự án: </w:t>
      </w:r>
      <w:r w:rsidR="00987C82">
        <w:rPr>
          <w:sz w:val="28"/>
          <w:szCs w:val="28"/>
        </w:rPr>
        <w:t>Nạo vét suối Đá Tổ dân phố 11, Phường 3 Bảo Lộc</w:t>
      </w:r>
    </w:p>
    <w:p w14:paraId="6887BFFE" w14:textId="77777777" w:rsidR="00987C82" w:rsidRDefault="0055722A" w:rsidP="000179F1">
      <w:pPr>
        <w:spacing w:before="120"/>
        <w:ind w:firstLine="567"/>
        <w:rPr>
          <w:b/>
        </w:rPr>
      </w:pPr>
      <w:r w:rsidRPr="003D3253">
        <w:rPr>
          <w:sz w:val="28"/>
          <w:szCs w:val="28"/>
        </w:rPr>
        <w:t>- Tên gói thầu</w:t>
      </w:r>
      <w:r w:rsidR="0074673E" w:rsidRPr="003D3253">
        <w:rPr>
          <w:sz w:val="28"/>
          <w:szCs w:val="28"/>
        </w:rPr>
        <w:t xml:space="preserve">: </w:t>
      </w:r>
      <w:r w:rsidR="00987C82" w:rsidRPr="00987C82">
        <w:rPr>
          <w:sz w:val="28"/>
          <w:szCs w:val="28"/>
        </w:rPr>
        <w:t>Gói số 01: Toàn bộ chi phí xây dựng</w:t>
      </w:r>
    </w:p>
    <w:p w14:paraId="087BAC4E" w14:textId="529C092C" w:rsidR="00200D6E" w:rsidRPr="003D3253" w:rsidRDefault="00794E25" w:rsidP="000179F1">
      <w:pPr>
        <w:spacing w:before="120"/>
        <w:ind w:firstLine="567"/>
        <w:rPr>
          <w:sz w:val="28"/>
          <w:szCs w:val="28"/>
          <w:lang w:val="vi-VN"/>
        </w:rPr>
      </w:pPr>
      <w:r w:rsidRPr="003D3253">
        <w:rPr>
          <w:b/>
          <w:sz w:val="28"/>
          <w:szCs w:val="28"/>
          <w:lang w:val="de-DE"/>
        </w:rPr>
        <w:t>-</w:t>
      </w:r>
      <w:r w:rsidR="00200D6E" w:rsidRPr="003D3253">
        <w:rPr>
          <w:sz w:val="28"/>
          <w:szCs w:val="28"/>
          <w:lang w:val="de-DE"/>
        </w:rPr>
        <w:t xml:space="preserve">Địa điểm xây dựng: </w:t>
      </w:r>
      <w:r w:rsidR="00987C82">
        <w:rPr>
          <w:sz w:val="28"/>
          <w:szCs w:val="28"/>
        </w:rPr>
        <w:t>Phường 3 Bảo Lộc</w:t>
      </w:r>
      <w:r w:rsidR="00200D6E" w:rsidRPr="003D3253">
        <w:rPr>
          <w:sz w:val="28"/>
          <w:szCs w:val="28"/>
        </w:rPr>
        <w:t>, tỉnh Lâm Đồng</w:t>
      </w:r>
      <w:r w:rsidRPr="003D3253">
        <w:rPr>
          <w:sz w:val="28"/>
          <w:szCs w:val="28"/>
        </w:rPr>
        <w:t>.</w:t>
      </w:r>
    </w:p>
    <w:p w14:paraId="25AF3290" w14:textId="60EED6B0" w:rsidR="00A52E83" w:rsidRDefault="00794E25" w:rsidP="000179F1">
      <w:pPr>
        <w:spacing w:before="120"/>
        <w:ind w:firstLine="567"/>
        <w:rPr>
          <w:sz w:val="28"/>
          <w:szCs w:val="28"/>
        </w:rPr>
      </w:pPr>
      <w:r w:rsidRPr="003D3253">
        <w:rPr>
          <w:sz w:val="28"/>
          <w:szCs w:val="28"/>
        </w:rPr>
        <w:t>-</w:t>
      </w:r>
      <w:r w:rsidR="00AF4D2D" w:rsidRPr="003D3253">
        <w:rPr>
          <w:sz w:val="28"/>
          <w:szCs w:val="28"/>
        </w:rPr>
        <w:t>Loại, cấp công trình</w:t>
      </w:r>
      <w:r w:rsidR="0061024F" w:rsidRPr="003D3253">
        <w:rPr>
          <w:sz w:val="28"/>
          <w:szCs w:val="28"/>
        </w:rPr>
        <w:t xml:space="preserve"> chính</w:t>
      </w:r>
      <w:r w:rsidR="00AF4D2D" w:rsidRPr="003D3253">
        <w:rPr>
          <w:sz w:val="28"/>
          <w:szCs w:val="28"/>
        </w:rPr>
        <w:t xml:space="preserve">: </w:t>
      </w:r>
      <w:r w:rsidR="00A52E83" w:rsidRPr="007A5C33">
        <w:rPr>
          <w:sz w:val="28"/>
          <w:szCs w:val="28"/>
        </w:rPr>
        <w:t>Công trình Nông nghiệp và phát triển nông thôn, nhóm C</w:t>
      </w:r>
      <w:r w:rsidR="00A52E83">
        <w:rPr>
          <w:sz w:val="28"/>
          <w:szCs w:val="28"/>
        </w:rPr>
        <w:t>, c</w:t>
      </w:r>
      <w:r w:rsidR="00A52E83" w:rsidRPr="007A5C33">
        <w:rPr>
          <w:sz w:val="28"/>
          <w:szCs w:val="28"/>
        </w:rPr>
        <w:t>ấp IV</w:t>
      </w:r>
      <w:r w:rsidR="00A52E83">
        <w:rPr>
          <w:sz w:val="28"/>
          <w:szCs w:val="28"/>
        </w:rPr>
        <w:t>.</w:t>
      </w:r>
    </w:p>
    <w:p w14:paraId="5EB5CA60" w14:textId="4D195C18" w:rsidR="001542D6" w:rsidRPr="003D3253" w:rsidRDefault="00702F2D" w:rsidP="000179F1">
      <w:pPr>
        <w:spacing w:before="120"/>
        <w:ind w:firstLine="567"/>
        <w:rPr>
          <w:b/>
          <w:sz w:val="28"/>
          <w:szCs w:val="28"/>
        </w:rPr>
      </w:pPr>
      <w:r w:rsidRPr="003D3253">
        <w:rPr>
          <w:b/>
          <w:sz w:val="28"/>
          <w:szCs w:val="28"/>
        </w:rPr>
        <w:t>*</w:t>
      </w:r>
      <w:r w:rsidR="001542D6" w:rsidRPr="003D3253">
        <w:rPr>
          <w:b/>
          <w:sz w:val="28"/>
          <w:szCs w:val="28"/>
        </w:rPr>
        <w:t xml:space="preserve"> Quy mô:</w:t>
      </w:r>
    </w:p>
    <w:p w14:paraId="0D5ACC17" w14:textId="77777777" w:rsidR="00987C82" w:rsidRPr="003051BA" w:rsidRDefault="00987C82" w:rsidP="00987C82">
      <w:pPr>
        <w:spacing w:before="60" w:after="60" w:line="276" w:lineRule="auto"/>
        <w:ind w:firstLine="567"/>
        <w:rPr>
          <w:sz w:val="28"/>
          <w:szCs w:val="28"/>
          <w:lang w:val="pt-BR"/>
        </w:rPr>
      </w:pPr>
      <w:bookmarkStart w:id="2" w:name="_Hlk106376598"/>
      <w:bookmarkStart w:id="3" w:name="_Hlk214023110"/>
      <w:bookmarkEnd w:id="0"/>
      <w:bookmarkEnd w:id="1"/>
      <w:r w:rsidRPr="003051BA">
        <w:rPr>
          <w:sz w:val="28"/>
          <w:szCs w:val="28"/>
          <w:lang w:val="pt-BR"/>
        </w:rPr>
        <w:t>Dự án “</w:t>
      </w:r>
      <w:r>
        <w:rPr>
          <w:sz w:val="28"/>
          <w:szCs w:val="28"/>
          <w:lang w:val="pt-BR"/>
        </w:rPr>
        <w:t>Nạo vét suối Đá Tổ dân phố 11, Phường 3 Bảo Lộc</w:t>
      </w:r>
      <w:r w:rsidRPr="003051BA">
        <w:rPr>
          <w:sz w:val="28"/>
          <w:szCs w:val="28"/>
          <w:lang w:val="pt-BR"/>
        </w:rPr>
        <w:t>” bao gồm những nội dung sau:</w:t>
      </w:r>
    </w:p>
    <w:bookmarkEnd w:id="2"/>
    <w:bookmarkEnd w:id="3"/>
    <w:p w14:paraId="6F54341E" w14:textId="77777777" w:rsidR="00987C82" w:rsidRPr="00B30C15" w:rsidRDefault="00987C82" w:rsidP="00987C82">
      <w:pPr>
        <w:spacing w:before="120" w:after="120"/>
        <w:rPr>
          <w:bCs/>
          <w:sz w:val="28"/>
          <w:szCs w:val="28"/>
        </w:rPr>
      </w:pPr>
      <w:r>
        <w:rPr>
          <w:bCs/>
          <w:sz w:val="28"/>
          <w:szCs w:val="28"/>
        </w:rPr>
        <w:tab/>
      </w:r>
      <w:r w:rsidRPr="00B30C15">
        <w:rPr>
          <w:bCs/>
          <w:sz w:val="28"/>
          <w:szCs w:val="28"/>
        </w:rPr>
        <w:t>- Chiều dài tuyến nạo vét 3.028 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84"/>
        <w:gridCol w:w="1344"/>
        <w:gridCol w:w="1301"/>
        <w:gridCol w:w="1276"/>
      </w:tblGrid>
      <w:tr w:rsidR="00987C82" w:rsidRPr="00B30C15" w14:paraId="7AFF0125" w14:textId="77777777" w:rsidTr="00352ECE">
        <w:trPr>
          <w:tblHeader/>
          <w:jc w:val="center"/>
        </w:trPr>
        <w:tc>
          <w:tcPr>
            <w:tcW w:w="746" w:type="dxa"/>
            <w:vAlign w:val="center"/>
          </w:tcPr>
          <w:p w14:paraId="0C6051B9"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STT</w:t>
            </w:r>
          </w:p>
        </w:tc>
        <w:tc>
          <w:tcPr>
            <w:tcW w:w="3384" w:type="dxa"/>
            <w:vAlign w:val="center"/>
          </w:tcPr>
          <w:p w14:paraId="662BCC32"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Đoạn</w:t>
            </w:r>
          </w:p>
        </w:tc>
        <w:tc>
          <w:tcPr>
            <w:tcW w:w="1344" w:type="dxa"/>
            <w:vAlign w:val="center"/>
          </w:tcPr>
          <w:p w14:paraId="39457787"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Chiều dài (m)</w:t>
            </w:r>
          </w:p>
        </w:tc>
        <w:tc>
          <w:tcPr>
            <w:tcW w:w="1301" w:type="dxa"/>
            <w:vAlign w:val="center"/>
          </w:tcPr>
          <w:p w14:paraId="390735F5"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Hệ số mái đào m</w:t>
            </w:r>
          </w:p>
        </w:tc>
        <w:tc>
          <w:tcPr>
            <w:tcW w:w="1276" w:type="dxa"/>
            <w:vAlign w:val="center"/>
          </w:tcPr>
          <w:p w14:paraId="64ADCF85"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Độ dốc i</w:t>
            </w:r>
          </w:p>
        </w:tc>
      </w:tr>
      <w:tr w:rsidR="00987C82" w:rsidRPr="00B30C15" w14:paraId="3A4FCA3F" w14:textId="77777777" w:rsidTr="00352ECE">
        <w:trPr>
          <w:jc w:val="center"/>
        </w:trPr>
        <w:tc>
          <w:tcPr>
            <w:tcW w:w="746" w:type="dxa"/>
            <w:vAlign w:val="center"/>
          </w:tcPr>
          <w:p w14:paraId="23DBF4DC"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1</w:t>
            </w:r>
          </w:p>
        </w:tc>
        <w:tc>
          <w:tcPr>
            <w:tcW w:w="3384" w:type="dxa"/>
            <w:vAlign w:val="center"/>
          </w:tcPr>
          <w:p w14:paraId="484D5EAF" w14:textId="77777777" w:rsidR="00987C82" w:rsidRPr="00B30C15" w:rsidRDefault="00987C82" w:rsidP="00352ECE">
            <w:pPr>
              <w:spacing w:before="40" w:after="40"/>
              <w:rPr>
                <w:rFonts w:eastAsia="Calibri"/>
                <w:bCs/>
                <w:sz w:val="28"/>
                <w:szCs w:val="22"/>
              </w:rPr>
            </w:pPr>
            <w:r w:rsidRPr="00B30C15">
              <w:rPr>
                <w:rFonts w:eastAsia="Calibri"/>
                <w:bCs/>
                <w:sz w:val="28"/>
                <w:szCs w:val="22"/>
              </w:rPr>
              <w:t>Đoạn 1 (K0 ÷ S24)</w:t>
            </w:r>
          </w:p>
        </w:tc>
        <w:tc>
          <w:tcPr>
            <w:tcW w:w="1344" w:type="dxa"/>
            <w:vAlign w:val="center"/>
          </w:tcPr>
          <w:p w14:paraId="5B363358"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520,74</w:t>
            </w:r>
          </w:p>
        </w:tc>
        <w:tc>
          <w:tcPr>
            <w:tcW w:w="1301" w:type="dxa"/>
            <w:vAlign w:val="center"/>
          </w:tcPr>
          <w:p w14:paraId="495C93A8"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0,75</w:t>
            </w:r>
          </w:p>
        </w:tc>
        <w:tc>
          <w:tcPr>
            <w:tcW w:w="1276" w:type="dxa"/>
            <w:vAlign w:val="center"/>
          </w:tcPr>
          <w:p w14:paraId="7F9961F4"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2%</w:t>
            </w:r>
          </w:p>
        </w:tc>
      </w:tr>
      <w:tr w:rsidR="00987C82" w:rsidRPr="00B30C15" w14:paraId="7A97DDD4" w14:textId="77777777" w:rsidTr="00352ECE">
        <w:trPr>
          <w:jc w:val="center"/>
        </w:trPr>
        <w:tc>
          <w:tcPr>
            <w:tcW w:w="746" w:type="dxa"/>
            <w:vAlign w:val="center"/>
          </w:tcPr>
          <w:p w14:paraId="220EAF6D"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2</w:t>
            </w:r>
          </w:p>
        </w:tc>
        <w:tc>
          <w:tcPr>
            <w:tcW w:w="3384" w:type="dxa"/>
            <w:vAlign w:val="center"/>
          </w:tcPr>
          <w:p w14:paraId="286CA897" w14:textId="77777777" w:rsidR="00987C82" w:rsidRPr="00B30C15" w:rsidRDefault="00987C82" w:rsidP="00352ECE">
            <w:pPr>
              <w:spacing w:before="40" w:after="40"/>
              <w:rPr>
                <w:rFonts w:eastAsia="Calibri"/>
                <w:bCs/>
                <w:sz w:val="28"/>
                <w:szCs w:val="22"/>
              </w:rPr>
            </w:pPr>
            <w:r w:rsidRPr="00B30C15">
              <w:rPr>
                <w:rFonts w:eastAsia="Calibri"/>
                <w:bCs/>
                <w:sz w:val="28"/>
                <w:szCs w:val="22"/>
              </w:rPr>
              <w:t>Đoạn 2 (S24 ÷ S43)</w:t>
            </w:r>
          </w:p>
        </w:tc>
        <w:tc>
          <w:tcPr>
            <w:tcW w:w="1344" w:type="dxa"/>
            <w:vAlign w:val="center"/>
          </w:tcPr>
          <w:p w14:paraId="6B8C60F9"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465,92</w:t>
            </w:r>
          </w:p>
        </w:tc>
        <w:tc>
          <w:tcPr>
            <w:tcW w:w="1301" w:type="dxa"/>
            <w:vAlign w:val="center"/>
          </w:tcPr>
          <w:p w14:paraId="03713289"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0,75</w:t>
            </w:r>
          </w:p>
        </w:tc>
        <w:tc>
          <w:tcPr>
            <w:tcW w:w="1276" w:type="dxa"/>
            <w:vAlign w:val="center"/>
          </w:tcPr>
          <w:p w14:paraId="28AC71D6"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1,5%</w:t>
            </w:r>
          </w:p>
        </w:tc>
      </w:tr>
      <w:tr w:rsidR="00987C82" w:rsidRPr="00B30C15" w14:paraId="62BD3F06" w14:textId="77777777" w:rsidTr="00352ECE">
        <w:trPr>
          <w:jc w:val="center"/>
        </w:trPr>
        <w:tc>
          <w:tcPr>
            <w:tcW w:w="746" w:type="dxa"/>
            <w:vAlign w:val="center"/>
          </w:tcPr>
          <w:p w14:paraId="2F260BF9"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3</w:t>
            </w:r>
          </w:p>
        </w:tc>
        <w:tc>
          <w:tcPr>
            <w:tcW w:w="3384" w:type="dxa"/>
            <w:vAlign w:val="center"/>
          </w:tcPr>
          <w:p w14:paraId="61A60FF8" w14:textId="77777777" w:rsidR="00987C82" w:rsidRPr="00B30C15" w:rsidRDefault="00987C82" w:rsidP="00352ECE">
            <w:pPr>
              <w:spacing w:before="40" w:after="40"/>
              <w:rPr>
                <w:rFonts w:eastAsia="Calibri"/>
                <w:bCs/>
                <w:sz w:val="28"/>
                <w:szCs w:val="22"/>
              </w:rPr>
            </w:pPr>
            <w:r w:rsidRPr="00B30C15">
              <w:rPr>
                <w:rFonts w:eastAsia="Calibri"/>
                <w:bCs/>
                <w:sz w:val="28"/>
                <w:szCs w:val="22"/>
              </w:rPr>
              <w:t>Đoạn 3 (S43 ÷ S88)</w:t>
            </w:r>
          </w:p>
        </w:tc>
        <w:tc>
          <w:tcPr>
            <w:tcW w:w="1344" w:type="dxa"/>
            <w:vAlign w:val="center"/>
          </w:tcPr>
          <w:p w14:paraId="3ABF85FE"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855,77</w:t>
            </w:r>
          </w:p>
        </w:tc>
        <w:tc>
          <w:tcPr>
            <w:tcW w:w="1301" w:type="dxa"/>
            <w:vAlign w:val="center"/>
          </w:tcPr>
          <w:p w14:paraId="60844680"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0,75</w:t>
            </w:r>
          </w:p>
        </w:tc>
        <w:tc>
          <w:tcPr>
            <w:tcW w:w="1276" w:type="dxa"/>
            <w:vAlign w:val="center"/>
          </w:tcPr>
          <w:p w14:paraId="4D91858D"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1,0%</w:t>
            </w:r>
          </w:p>
        </w:tc>
      </w:tr>
      <w:tr w:rsidR="00987C82" w:rsidRPr="00B30C15" w14:paraId="3A51DAEF" w14:textId="77777777" w:rsidTr="00352ECE">
        <w:trPr>
          <w:jc w:val="center"/>
        </w:trPr>
        <w:tc>
          <w:tcPr>
            <w:tcW w:w="746" w:type="dxa"/>
            <w:vAlign w:val="center"/>
          </w:tcPr>
          <w:p w14:paraId="1127A9FD"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4</w:t>
            </w:r>
          </w:p>
        </w:tc>
        <w:tc>
          <w:tcPr>
            <w:tcW w:w="3384" w:type="dxa"/>
            <w:vAlign w:val="center"/>
          </w:tcPr>
          <w:p w14:paraId="39B11C76" w14:textId="77777777" w:rsidR="00987C82" w:rsidRPr="00B30C15" w:rsidRDefault="00987C82" w:rsidP="00352ECE">
            <w:pPr>
              <w:spacing w:before="40" w:after="40"/>
              <w:rPr>
                <w:rFonts w:eastAsia="Calibri"/>
                <w:bCs/>
                <w:sz w:val="28"/>
                <w:szCs w:val="22"/>
              </w:rPr>
            </w:pPr>
            <w:r w:rsidRPr="00B30C15">
              <w:rPr>
                <w:rFonts w:eastAsia="Calibri"/>
                <w:bCs/>
                <w:sz w:val="28"/>
                <w:szCs w:val="22"/>
              </w:rPr>
              <w:t>Đoạn 4 (S88 ÷ S128)</w:t>
            </w:r>
          </w:p>
        </w:tc>
        <w:tc>
          <w:tcPr>
            <w:tcW w:w="1344" w:type="dxa"/>
            <w:vAlign w:val="center"/>
          </w:tcPr>
          <w:p w14:paraId="5A9DB4A1"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647,33</w:t>
            </w:r>
          </w:p>
        </w:tc>
        <w:tc>
          <w:tcPr>
            <w:tcW w:w="1301" w:type="dxa"/>
            <w:vAlign w:val="center"/>
          </w:tcPr>
          <w:p w14:paraId="6F27758D"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0,75</w:t>
            </w:r>
          </w:p>
        </w:tc>
        <w:tc>
          <w:tcPr>
            <w:tcW w:w="1276" w:type="dxa"/>
            <w:vAlign w:val="center"/>
          </w:tcPr>
          <w:p w14:paraId="57D5A618"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0,5%</w:t>
            </w:r>
          </w:p>
        </w:tc>
      </w:tr>
      <w:tr w:rsidR="00987C82" w:rsidRPr="00B30C15" w14:paraId="08628CCA" w14:textId="77777777" w:rsidTr="00352ECE">
        <w:trPr>
          <w:jc w:val="center"/>
        </w:trPr>
        <w:tc>
          <w:tcPr>
            <w:tcW w:w="746" w:type="dxa"/>
            <w:vAlign w:val="center"/>
          </w:tcPr>
          <w:p w14:paraId="7148D218"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5</w:t>
            </w:r>
          </w:p>
        </w:tc>
        <w:tc>
          <w:tcPr>
            <w:tcW w:w="3384" w:type="dxa"/>
            <w:vAlign w:val="center"/>
          </w:tcPr>
          <w:p w14:paraId="11B0E9AB" w14:textId="77777777" w:rsidR="00987C82" w:rsidRPr="00B30C15" w:rsidRDefault="00987C82" w:rsidP="00352ECE">
            <w:pPr>
              <w:spacing w:before="40" w:after="40"/>
              <w:rPr>
                <w:rFonts w:eastAsia="Calibri"/>
                <w:bCs/>
                <w:sz w:val="28"/>
                <w:szCs w:val="22"/>
              </w:rPr>
            </w:pPr>
            <w:r w:rsidRPr="00B30C15">
              <w:rPr>
                <w:rFonts w:eastAsia="Calibri"/>
                <w:bCs/>
                <w:sz w:val="28"/>
                <w:szCs w:val="22"/>
              </w:rPr>
              <w:t>Đoạn 5 (S128 ÷ S141)</w:t>
            </w:r>
          </w:p>
        </w:tc>
        <w:tc>
          <w:tcPr>
            <w:tcW w:w="1344" w:type="dxa"/>
            <w:vAlign w:val="center"/>
          </w:tcPr>
          <w:p w14:paraId="4B00FDD7"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204,75</w:t>
            </w:r>
          </w:p>
        </w:tc>
        <w:tc>
          <w:tcPr>
            <w:tcW w:w="1301" w:type="dxa"/>
            <w:vAlign w:val="center"/>
          </w:tcPr>
          <w:p w14:paraId="00170E35"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0,75</w:t>
            </w:r>
          </w:p>
        </w:tc>
        <w:tc>
          <w:tcPr>
            <w:tcW w:w="1276" w:type="dxa"/>
            <w:vAlign w:val="center"/>
          </w:tcPr>
          <w:p w14:paraId="0F88A65A"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1,0%</w:t>
            </w:r>
          </w:p>
        </w:tc>
      </w:tr>
      <w:tr w:rsidR="00987C82" w:rsidRPr="00B30C15" w14:paraId="0B998650" w14:textId="77777777" w:rsidTr="00352ECE">
        <w:trPr>
          <w:jc w:val="center"/>
        </w:trPr>
        <w:tc>
          <w:tcPr>
            <w:tcW w:w="746" w:type="dxa"/>
            <w:vAlign w:val="center"/>
          </w:tcPr>
          <w:p w14:paraId="47BFC418"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2</w:t>
            </w:r>
          </w:p>
        </w:tc>
        <w:tc>
          <w:tcPr>
            <w:tcW w:w="3384" w:type="dxa"/>
            <w:vAlign w:val="center"/>
          </w:tcPr>
          <w:p w14:paraId="22D2A288" w14:textId="77777777" w:rsidR="00987C82" w:rsidRPr="00B30C15" w:rsidRDefault="00987C82" w:rsidP="00352ECE">
            <w:pPr>
              <w:spacing w:before="40" w:after="40"/>
              <w:rPr>
                <w:rFonts w:eastAsia="Calibri"/>
                <w:bCs/>
                <w:sz w:val="28"/>
                <w:szCs w:val="22"/>
              </w:rPr>
            </w:pPr>
            <w:r w:rsidRPr="00B30C15">
              <w:rPr>
                <w:rFonts w:eastAsia="Calibri"/>
                <w:bCs/>
                <w:sz w:val="28"/>
                <w:szCs w:val="22"/>
              </w:rPr>
              <w:t>Đoạn 2 (S141 ÷ KC)</w:t>
            </w:r>
          </w:p>
        </w:tc>
        <w:tc>
          <w:tcPr>
            <w:tcW w:w="1344" w:type="dxa"/>
            <w:vAlign w:val="center"/>
          </w:tcPr>
          <w:p w14:paraId="05B20C8F"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333,73</w:t>
            </w:r>
          </w:p>
        </w:tc>
        <w:tc>
          <w:tcPr>
            <w:tcW w:w="1301" w:type="dxa"/>
            <w:vAlign w:val="center"/>
          </w:tcPr>
          <w:p w14:paraId="1A987290"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0,75</w:t>
            </w:r>
          </w:p>
        </w:tc>
        <w:tc>
          <w:tcPr>
            <w:tcW w:w="1276" w:type="dxa"/>
            <w:vAlign w:val="center"/>
          </w:tcPr>
          <w:p w14:paraId="656FC305" w14:textId="77777777" w:rsidR="00987C82" w:rsidRPr="00B30C15" w:rsidRDefault="00987C82" w:rsidP="00352ECE">
            <w:pPr>
              <w:spacing w:before="40" w:after="40"/>
              <w:jc w:val="center"/>
              <w:rPr>
                <w:rFonts w:eastAsia="Calibri"/>
                <w:bCs/>
                <w:sz w:val="28"/>
                <w:szCs w:val="22"/>
              </w:rPr>
            </w:pPr>
            <w:r w:rsidRPr="00B30C15">
              <w:rPr>
                <w:rFonts w:eastAsia="Calibri"/>
                <w:bCs/>
                <w:sz w:val="28"/>
                <w:szCs w:val="22"/>
              </w:rPr>
              <w:t>0,5%</w:t>
            </w:r>
          </w:p>
        </w:tc>
      </w:tr>
      <w:tr w:rsidR="00987C82" w:rsidRPr="00B30C15" w14:paraId="530C755D" w14:textId="77777777" w:rsidTr="00352ECE">
        <w:trPr>
          <w:jc w:val="center"/>
        </w:trPr>
        <w:tc>
          <w:tcPr>
            <w:tcW w:w="746" w:type="dxa"/>
            <w:vAlign w:val="center"/>
          </w:tcPr>
          <w:p w14:paraId="1BC26955" w14:textId="77777777" w:rsidR="00987C82" w:rsidRPr="00B30C15" w:rsidRDefault="00987C82" w:rsidP="00352ECE">
            <w:pPr>
              <w:spacing w:before="40" w:after="40"/>
              <w:jc w:val="center"/>
              <w:rPr>
                <w:rFonts w:eastAsia="Calibri"/>
                <w:b/>
                <w:sz w:val="28"/>
                <w:szCs w:val="22"/>
              </w:rPr>
            </w:pPr>
          </w:p>
        </w:tc>
        <w:tc>
          <w:tcPr>
            <w:tcW w:w="3384" w:type="dxa"/>
            <w:vAlign w:val="center"/>
          </w:tcPr>
          <w:p w14:paraId="0C4F932F"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Tổng</w:t>
            </w:r>
          </w:p>
        </w:tc>
        <w:tc>
          <w:tcPr>
            <w:tcW w:w="1344" w:type="dxa"/>
            <w:vAlign w:val="center"/>
          </w:tcPr>
          <w:p w14:paraId="63CE397B" w14:textId="77777777" w:rsidR="00987C82" w:rsidRPr="00B30C15" w:rsidRDefault="00987C82" w:rsidP="00352ECE">
            <w:pPr>
              <w:spacing w:before="40" w:after="40"/>
              <w:jc w:val="center"/>
              <w:rPr>
                <w:rFonts w:eastAsia="Calibri"/>
                <w:b/>
                <w:sz w:val="28"/>
                <w:szCs w:val="22"/>
              </w:rPr>
            </w:pPr>
            <w:r w:rsidRPr="00B30C15">
              <w:rPr>
                <w:rFonts w:eastAsia="Calibri"/>
                <w:b/>
                <w:sz w:val="28"/>
                <w:szCs w:val="22"/>
              </w:rPr>
              <w:t>3028</w:t>
            </w:r>
          </w:p>
        </w:tc>
        <w:tc>
          <w:tcPr>
            <w:tcW w:w="1301" w:type="dxa"/>
            <w:vAlign w:val="center"/>
          </w:tcPr>
          <w:p w14:paraId="7980017E" w14:textId="77777777" w:rsidR="00987C82" w:rsidRPr="00B30C15" w:rsidRDefault="00987C82" w:rsidP="00352ECE">
            <w:pPr>
              <w:spacing w:before="40" w:after="40"/>
              <w:jc w:val="center"/>
              <w:rPr>
                <w:rFonts w:eastAsia="Calibri"/>
                <w:b/>
                <w:sz w:val="28"/>
                <w:szCs w:val="22"/>
              </w:rPr>
            </w:pPr>
          </w:p>
        </w:tc>
        <w:tc>
          <w:tcPr>
            <w:tcW w:w="1276" w:type="dxa"/>
            <w:vAlign w:val="center"/>
          </w:tcPr>
          <w:p w14:paraId="3EC6287F" w14:textId="77777777" w:rsidR="00987C82" w:rsidRPr="00B30C15" w:rsidRDefault="00987C82" w:rsidP="00352ECE">
            <w:pPr>
              <w:spacing w:before="40" w:after="40"/>
              <w:jc w:val="center"/>
              <w:rPr>
                <w:rFonts w:eastAsia="Calibri"/>
                <w:b/>
                <w:sz w:val="28"/>
                <w:szCs w:val="22"/>
              </w:rPr>
            </w:pPr>
          </w:p>
        </w:tc>
      </w:tr>
    </w:tbl>
    <w:p w14:paraId="1FFF59D6" w14:textId="77777777" w:rsidR="00987C82" w:rsidRPr="00B30C15" w:rsidRDefault="00987C82" w:rsidP="00987C82">
      <w:pPr>
        <w:spacing w:before="120" w:after="120"/>
        <w:rPr>
          <w:bCs/>
          <w:sz w:val="28"/>
          <w:szCs w:val="28"/>
        </w:rPr>
      </w:pPr>
      <w:r w:rsidRPr="00B30C15">
        <w:rPr>
          <w:bCs/>
          <w:sz w:val="28"/>
          <w:szCs w:val="28"/>
        </w:rPr>
        <w:tab/>
        <w:t>- Chiều rộng đáy nạo vét khoảng từ 05 đến 12 m, thay đổi tùy thuộc vào hiện trạng sử dụng đất ven suối.</w:t>
      </w:r>
    </w:p>
    <w:p w14:paraId="2226338C" w14:textId="77777777" w:rsidR="00987C82" w:rsidRPr="003051BA" w:rsidRDefault="00987C82" w:rsidP="00987C82">
      <w:pPr>
        <w:spacing w:before="120" w:after="120"/>
        <w:rPr>
          <w:sz w:val="28"/>
          <w:szCs w:val="28"/>
          <w:lang w:val="pt-BR"/>
        </w:rPr>
      </w:pPr>
      <w:r>
        <w:rPr>
          <w:bCs/>
          <w:sz w:val="28"/>
          <w:szCs w:val="28"/>
        </w:rPr>
        <w:tab/>
      </w:r>
      <w:r w:rsidRPr="00B30C15">
        <w:rPr>
          <w:bCs/>
          <w:sz w:val="28"/>
          <w:szCs w:val="28"/>
        </w:rPr>
        <w:t xml:space="preserve">- Đất nạo vét phong hóa cấp I được đổ ven suối, đất nạo vét cấp III có lẫn nhiều đá được vận chuyển đến các khu vực đất trống gần công trình để đổ thải với cự ly vận chuyển trung bình 300m. </w:t>
      </w:r>
    </w:p>
    <w:p w14:paraId="7B1A4144" w14:textId="77777777" w:rsidR="00A52E83" w:rsidRDefault="00F040C6" w:rsidP="00A52E83">
      <w:pPr>
        <w:spacing w:before="120" w:after="120"/>
        <w:ind w:firstLine="567"/>
        <w:rPr>
          <w:sz w:val="28"/>
          <w:szCs w:val="28"/>
        </w:rPr>
      </w:pPr>
      <w:r w:rsidRPr="00F040C6">
        <w:rPr>
          <w:b/>
          <w:sz w:val="28"/>
          <w:szCs w:val="28"/>
          <w:u w:val="single"/>
        </w:rPr>
        <w:t>*</w:t>
      </w:r>
      <w:r w:rsidR="00AF4D2D" w:rsidRPr="00F040C6">
        <w:rPr>
          <w:b/>
          <w:sz w:val="28"/>
          <w:szCs w:val="28"/>
          <w:u w:val="single"/>
        </w:rPr>
        <w:t xml:space="preserve"> Thời hạn hoàn thành</w:t>
      </w:r>
      <w:r w:rsidR="00AF4D2D" w:rsidRPr="008A4E9B">
        <w:rPr>
          <w:sz w:val="28"/>
          <w:szCs w:val="28"/>
        </w:rPr>
        <w:t xml:space="preserve">: Tổng tiến độ thực hiện yêu cầu tối đa </w:t>
      </w:r>
      <w:r w:rsidR="00A52E83" w:rsidRPr="00767B6B">
        <w:rPr>
          <w:color w:val="0000CC"/>
          <w:sz w:val="28"/>
          <w:szCs w:val="28"/>
        </w:rPr>
        <w:t xml:space="preserve">không quá </w:t>
      </w:r>
      <w:r w:rsidR="00A52E83">
        <w:rPr>
          <w:color w:val="0000CC"/>
          <w:sz w:val="28"/>
          <w:szCs w:val="28"/>
        </w:rPr>
        <w:t>600 ngày</w:t>
      </w:r>
      <w:r w:rsidR="00A52E83" w:rsidRPr="00767B6B">
        <w:rPr>
          <w:sz w:val="28"/>
          <w:szCs w:val="28"/>
        </w:rPr>
        <w:t xml:space="preserve"> có tính điều kiện thời tiết kể từ ngày khởi công. Trong đó tổng thời gian thi công hoàn thành tất cả các hạng mục thuộc gói thầu </w:t>
      </w:r>
      <w:r w:rsidR="00A52E83" w:rsidRPr="00767B6B">
        <w:rPr>
          <w:color w:val="0000CC"/>
          <w:sz w:val="28"/>
          <w:szCs w:val="28"/>
        </w:rPr>
        <w:t xml:space="preserve">tối đa </w:t>
      </w:r>
      <w:r w:rsidR="00A52E83">
        <w:rPr>
          <w:color w:val="0000CC"/>
          <w:sz w:val="28"/>
          <w:szCs w:val="28"/>
        </w:rPr>
        <w:t>550 ngày</w:t>
      </w:r>
      <w:r w:rsidR="00A52E83" w:rsidRPr="00767B6B">
        <w:rPr>
          <w:color w:val="0000CC"/>
          <w:sz w:val="28"/>
          <w:szCs w:val="28"/>
        </w:rPr>
        <w:t xml:space="preserve"> </w:t>
      </w:r>
      <w:r w:rsidR="00A52E83" w:rsidRPr="00767B6B">
        <w:rPr>
          <w:sz w:val="28"/>
          <w:szCs w:val="28"/>
        </w:rPr>
        <w:t xml:space="preserve">và thời gian nghiệm thu hoàn thành công trình bàn giao đưa vào sử dụng là </w:t>
      </w:r>
      <w:r w:rsidR="00A52E83">
        <w:rPr>
          <w:color w:val="0000CC"/>
          <w:sz w:val="28"/>
          <w:szCs w:val="28"/>
        </w:rPr>
        <w:t>50 ngày</w:t>
      </w:r>
      <w:r w:rsidR="00A52E83" w:rsidRPr="00767B6B">
        <w:rPr>
          <w:sz w:val="28"/>
          <w:szCs w:val="28"/>
        </w:rPr>
        <w:t>.</w:t>
      </w:r>
    </w:p>
    <w:p w14:paraId="0F1EED20" w14:textId="3550E2D1" w:rsidR="00AF4D2D" w:rsidRDefault="00AF4D2D" w:rsidP="00A52E83">
      <w:pPr>
        <w:spacing w:before="120" w:after="120"/>
        <w:ind w:firstLine="567"/>
        <w:rPr>
          <w:b/>
          <w:color w:val="C00000"/>
          <w:sz w:val="28"/>
          <w:szCs w:val="28"/>
        </w:rPr>
      </w:pPr>
      <w:r w:rsidRPr="005B41F0">
        <w:rPr>
          <w:b/>
          <w:color w:val="C00000"/>
          <w:sz w:val="28"/>
          <w:szCs w:val="28"/>
        </w:rPr>
        <w:t>II. Yêu cầu về kỹ thuật/chỉ dẫn kỹ thuật</w:t>
      </w:r>
    </w:p>
    <w:p w14:paraId="307B9122" w14:textId="77777777" w:rsidR="00AF4D2D" w:rsidRPr="00740066" w:rsidRDefault="00AF4D2D" w:rsidP="00A52E83">
      <w:pPr>
        <w:widowControl w:val="0"/>
        <w:autoSpaceDE w:val="0"/>
        <w:autoSpaceDN w:val="0"/>
        <w:adjustRightInd w:val="0"/>
        <w:spacing w:before="120"/>
        <w:ind w:right="-14" w:firstLine="567"/>
        <w:rPr>
          <w:b/>
          <w:sz w:val="28"/>
          <w:szCs w:val="28"/>
        </w:rPr>
      </w:pPr>
      <w:r w:rsidRPr="00740066">
        <w:rPr>
          <w:b/>
          <w:sz w:val="28"/>
          <w:szCs w:val="28"/>
        </w:rPr>
        <w:t>1. Quy trình, quy phạm áp dụng cho việc thi công, nghiệm thu công trình:</w:t>
      </w:r>
    </w:p>
    <w:p w14:paraId="0F7B9B26" w14:textId="77777777" w:rsidR="00DE34E8" w:rsidRPr="00B412BE" w:rsidRDefault="00DE34E8" w:rsidP="00A52E83">
      <w:pPr>
        <w:spacing w:before="120" w:after="120"/>
        <w:ind w:firstLine="567"/>
        <w:rPr>
          <w:sz w:val="28"/>
          <w:szCs w:val="28"/>
        </w:rPr>
      </w:pPr>
      <w:r w:rsidRPr="00B412BE">
        <w:rPr>
          <w:sz w:val="28"/>
          <w:szCs w:val="28"/>
        </w:rPr>
        <w:lastRenderedPageBreak/>
        <w:t>Nhà thầu phải áp dụng các tiêu chuẩn trong hồ sơ thiết kế đã được phê duyệt được phát hành đính kèm Hồ sơ mời thầu.</w:t>
      </w:r>
    </w:p>
    <w:p w14:paraId="13FBB376" w14:textId="77777777" w:rsidR="00DE34E8" w:rsidRPr="00B412BE" w:rsidRDefault="00DE34E8" w:rsidP="00A52E83">
      <w:pPr>
        <w:spacing w:before="120" w:after="120"/>
        <w:ind w:firstLine="567"/>
        <w:rPr>
          <w:sz w:val="28"/>
          <w:szCs w:val="28"/>
        </w:rPr>
      </w:pPr>
      <w:r w:rsidRPr="00B412BE">
        <w:rPr>
          <w:sz w:val="28"/>
          <w:szCs w:val="28"/>
        </w:rPr>
        <w:t>Trong quá trình thực hiện hợp đồng ngoài việc tuân theo các yêu cầu nêu trong hồ sơ thiết kế đã được phê duyệt, Nhà thầu còn phải có trách nhiệm tham khảo và tuân thủ các tiêu chuẩn xây dựng xây dựng hiện hành</w:t>
      </w:r>
      <w:r w:rsidR="00DF0204" w:rsidRPr="00B412BE">
        <w:rPr>
          <w:sz w:val="28"/>
          <w:szCs w:val="28"/>
        </w:rPr>
        <w:t>.</w:t>
      </w:r>
    </w:p>
    <w:p w14:paraId="3A206140" w14:textId="0330EF67" w:rsidR="00F2316B" w:rsidRPr="00AF35B4" w:rsidRDefault="00F2316B" w:rsidP="00A52E83">
      <w:pPr>
        <w:pStyle w:val="ListParagraph"/>
        <w:widowControl w:val="0"/>
        <w:autoSpaceDE w:val="0"/>
        <w:autoSpaceDN w:val="0"/>
        <w:adjustRightInd w:val="0"/>
        <w:spacing w:before="120"/>
        <w:ind w:left="0" w:right="-14" w:firstLine="567"/>
        <w:rPr>
          <w:color w:val="C00000"/>
          <w:sz w:val="28"/>
          <w:szCs w:val="28"/>
        </w:rPr>
      </w:pPr>
      <w:r w:rsidRPr="00F2316B">
        <w:rPr>
          <w:color w:val="C00000"/>
          <w:sz w:val="28"/>
          <w:szCs w:val="28"/>
        </w:rPr>
        <w:t>Cá</w:t>
      </w:r>
      <w:r w:rsidR="006F693E">
        <w:rPr>
          <w:color w:val="C00000"/>
          <w:sz w:val="28"/>
          <w:szCs w:val="28"/>
        </w:rPr>
        <w:t>c quy trình, tiêu chuẩn áp dụng</w:t>
      </w:r>
      <w:r>
        <w:rPr>
          <w:sz w:val="28"/>
          <w:szCs w:val="28"/>
        </w:rPr>
        <w:t>:</w:t>
      </w:r>
      <w:r w:rsidR="00282D66">
        <w:rPr>
          <w:sz w:val="28"/>
          <w:szCs w:val="28"/>
        </w:rPr>
        <w:t xml:space="preserve"> </w:t>
      </w:r>
      <w:r w:rsidR="000D22EE" w:rsidRPr="00C12841">
        <w:rPr>
          <w:sz w:val="28"/>
          <w:szCs w:val="28"/>
          <w:lang w:val="es-ES"/>
        </w:rPr>
        <w:t>Xem chi tiết trong chỉ dẫn kỹ thuật và tuân thủ các quy trình, tiêu chuẩn chủ yếu sau:</w:t>
      </w:r>
    </w:p>
    <w:p w14:paraId="09D891CB" w14:textId="77777777" w:rsidR="00A52E83" w:rsidRPr="00A52E83" w:rsidRDefault="00A52E83" w:rsidP="00A52E83">
      <w:pPr>
        <w:pStyle w:val="ListParagraph"/>
        <w:shd w:val="clear" w:color="auto" w:fill="FFFFFF"/>
        <w:spacing w:before="60" w:after="60"/>
        <w:ind w:left="0" w:firstLine="567"/>
        <w:rPr>
          <w:color w:val="000000"/>
          <w:sz w:val="28"/>
          <w:szCs w:val="28"/>
        </w:rPr>
      </w:pPr>
      <w:bookmarkStart w:id="4" w:name="_Hlk216175229"/>
      <w:r w:rsidRPr="00A52E83">
        <w:rPr>
          <w:color w:val="000000"/>
          <w:sz w:val="28"/>
          <w:szCs w:val="28"/>
        </w:rPr>
        <w:t>- QCVN 04-05:2022/BNNPTNT Quy chuẩn kỹ thuật Quốc gia “Công trình thủy lợi – các quy định chủ yếu về thiết kế.</w:t>
      </w:r>
    </w:p>
    <w:p w14:paraId="545DC10E" w14:textId="77777777" w:rsidR="00A52E83" w:rsidRPr="00A52E83" w:rsidRDefault="00A52E83" w:rsidP="00A52E83">
      <w:pPr>
        <w:pStyle w:val="ListParagraph"/>
        <w:shd w:val="clear" w:color="auto" w:fill="FFFFFF"/>
        <w:spacing w:before="60" w:after="60"/>
        <w:ind w:left="0" w:firstLine="567"/>
        <w:rPr>
          <w:color w:val="000000"/>
          <w:sz w:val="28"/>
          <w:szCs w:val="28"/>
        </w:rPr>
      </w:pPr>
      <w:r w:rsidRPr="00A52E83">
        <w:rPr>
          <w:color w:val="000000"/>
          <w:sz w:val="28"/>
          <w:szCs w:val="28"/>
        </w:rPr>
        <w:t>- TCVN 8487:2018 - Công trình thủy lợi – thành phần, khối lượng khảo sát địa hình trong các giai đoạn lập dự án và thiết kế.</w:t>
      </w:r>
    </w:p>
    <w:p w14:paraId="2BC42BA6" w14:textId="77777777" w:rsidR="00A52E83" w:rsidRPr="00A52E83" w:rsidRDefault="00A52E83" w:rsidP="00A52E83">
      <w:pPr>
        <w:pStyle w:val="ListParagraph"/>
        <w:shd w:val="clear" w:color="auto" w:fill="FFFFFF"/>
        <w:spacing w:before="60" w:after="60"/>
        <w:ind w:left="0" w:firstLine="567"/>
        <w:rPr>
          <w:color w:val="000000"/>
          <w:sz w:val="28"/>
          <w:szCs w:val="28"/>
        </w:rPr>
      </w:pPr>
      <w:r w:rsidRPr="00A52E83">
        <w:rPr>
          <w:color w:val="000000"/>
          <w:sz w:val="28"/>
          <w:szCs w:val="28"/>
        </w:rPr>
        <w:t>- TCVN 12845:2020 Công trình Thủy lợi - Thành phần, nội dung lập Báo cáo đề xuất chủ trương đầu tư, Báo cáo nghiên cứu tiền khả thi, Báo cáo nghiên cứu khả thi và Báo cáo Kinh tế - Kỹ thuật.</w:t>
      </w:r>
    </w:p>
    <w:p w14:paraId="1FCB58EC" w14:textId="77777777" w:rsidR="00A52E83" w:rsidRPr="00A52E83" w:rsidRDefault="00A52E83" w:rsidP="00A52E83">
      <w:pPr>
        <w:pStyle w:val="ListParagraph"/>
        <w:shd w:val="clear" w:color="auto" w:fill="FFFFFF"/>
        <w:spacing w:before="60" w:after="60"/>
        <w:ind w:left="0" w:firstLine="567"/>
        <w:rPr>
          <w:sz w:val="28"/>
          <w:szCs w:val="28"/>
        </w:rPr>
      </w:pPr>
      <w:r w:rsidRPr="00A52E83">
        <w:rPr>
          <w:color w:val="000000"/>
          <w:sz w:val="28"/>
          <w:szCs w:val="28"/>
        </w:rPr>
        <w:t>- Các tài liệu, số liệu liên quan do các phòng ban ngành cung cấp</w:t>
      </w:r>
      <w:r w:rsidRPr="00A52E83">
        <w:rPr>
          <w:sz w:val="28"/>
          <w:szCs w:val="28"/>
        </w:rPr>
        <w:t>.</w:t>
      </w:r>
    </w:p>
    <w:bookmarkEnd w:id="4"/>
    <w:p w14:paraId="004E9511" w14:textId="77777777" w:rsidR="00AF35B4" w:rsidRPr="00AF35B4" w:rsidRDefault="00AF35B4" w:rsidP="00A52E83">
      <w:pPr>
        <w:pStyle w:val="BodyText"/>
        <w:spacing w:before="60"/>
        <w:ind w:firstLine="567"/>
        <w:rPr>
          <w:bCs/>
          <w:color w:val="000000"/>
          <w:sz w:val="28"/>
          <w:szCs w:val="28"/>
        </w:rPr>
      </w:pPr>
      <w:r w:rsidRPr="00AF35B4">
        <w:rPr>
          <w:bCs/>
          <w:color w:val="000000"/>
          <w:sz w:val="28"/>
          <w:szCs w:val="28"/>
        </w:rPr>
        <w:t>- Khảo sát hiện trạng. địa hình khu vực.</w:t>
      </w:r>
    </w:p>
    <w:p w14:paraId="073FB49D" w14:textId="77777777" w:rsidR="00AF4D2D" w:rsidRPr="00740066" w:rsidRDefault="00AF4D2D" w:rsidP="002A255C">
      <w:pPr>
        <w:widowControl w:val="0"/>
        <w:autoSpaceDE w:val="0"/>
        <w:autoSpaceDN w:val="0"/>
        <w:adjustRightInd w:val="0"/>
        <w:spacing w:before="120"/>
        <w:ind w:right="-14" w:firstLine="567"/>
        <w:rPr>
          <w:b/>
          <w:sz w:val="28"/>
          <w:szCs w:val="28"/>
        </w:rPr>
      </w:pPr>
      <w:r w:rsidRPr="00740066">
        <w:rPr>
          <w:b/>
          <w:sz w:val="28"/>
          <w:szCs w:val="28"/>
        </w:rPr>
        <w:t>2. Yêu cầu về tổ chức kỹ thuật thi công, giám sát</w:t>
      </w:r>
    </w:p>
    <w:p w14:paraId="32008EC7" w14:textId="77777777" w:rsidR="00AF4D2D" w:rsidRPr="005B41F0" w:rsidRDefault="00AF4D2D" w:rsidP="002A255C">
      <w:pPr>
        <w:widowControl w:val="0"/>
        <w:autoSpaceDE w:val="0"/>
        <w:autoSpaceDN w:val="0"/>
        <w:adjustRightInd w:val="0"/>
        <w:spacing w:before="120"/>
        <w:ind w:right="-14" w:firstLine="567"/>
        <w:rPr>
          <w:color w:val="C00000"/>
          <w:sz w:val="28"/>
          <w:szCs w:val="28"/>
        </w:rPr>
      </w:pPr>
      <w:r w:rsidRPr="005B41F0">
        <w:rPr>
          <w:color w:val="C00000"/>
          <w:sz w:val="28"/>
          <w:szCs w:val="28"/>
        </w:rPr>
        <w:t>Hồ sơ dự thầu phải thể hiện rõ các nội dung chủ yếu sau:</w:t>
      </w:r>
    </w:p>
    <w:p w14:paraId="13C729AF"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Tất cả các nội dung yêu cầu về Tiêu chuẩn đánh giá về kỹ thuật được quy định trong E-HSMT (chương III – tiêu chuẩn đánh giá kỹ thuật).</w:t>
      </w:r>
    </w:p>
    <w:p w14:paraId="5A96EA53" w14:textId="77777777" w:rsidR="00DB3CD7" w:rsidRPr="00C12841" w:rsidRDefault="00DB3CD7" w:rsidP="00DB3CD7">
      <w:pPr>
        <w:widowControl w:val="0"/>
        <w:autoSpaceDE w:val="0"/>
        <w:autoSpaceDN w:val="0"/>
        <w:adjustRightInd w:val="0"/>
        <w:spacing w:before="120"/>
        <w:ind w:right="-14" w:firstLine="567"/>
        <w:rPr>
          <w:sz w:val="28"/>
          <w:szCs w:val="28"/>
          <w:lang w:val="vi-VN"/>
        </w:rPr>
      </w:pPr>
      <w:r w:rsidRPr="00C12841">
        <w:rPr>
          <w:sz w:val="28"/>
          <w:szCs w:val="28"/>
          <w:lang w:eastAsia="vi-VN"/>
        </w:rPr>
        <w:t xml:space="preserve">- </w:t>
      </w:r>
      <w:r w:rsidRPr="00C12841">
        <w:rPr>
          <w:sz w:val="28"/>
          <w:szCs w:val="28"/>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14:paraId="6AA8647E"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Quy trình quản lý chất lượng thi công trong qua trình xây lắp, kiểm tra và nghiệm thu:</w:t>
      </w:r>
    </w:p>
    <w:p w14:paraId="592416A8"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5885FF8D"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27A999DE" w14:textId="739964FB"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Nhà thầu phải chịu hoàn toàn trách nhiệm về việc bảo vệ công trình,</w:t>
      </w:r>
      <w:r w:rsidR="00A52E83">
        <w:rPr>
          <w:sz w:val="28"/>
          <w:szCs w:val="28"/>
        </w:rPr>
        <w:t xml:space="preserve"> </w:t>
      </w:r>
      <w:r w:rsidRPr="00C12841">
        <w:rPr>
          <w:sz w:val="28"/>
          <w:szCs w:val="28"/>
        </w:rPr>
        <w:t>và máy móc, thiết bị đưa vào sử dụng cho việc thi công xây dựng công trình kể từ ngày khởi công xây dựng công trình đến ngày nghiệm thu bàn giao.</w:t>
      </w:r>
    </w:p>
    <w:p w14:paraId="3080A4BA" w14:textId="5EC3F2BC"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Nếu trong quá trình thực hiện hợp đồng có xảy ra bất kỳ tổn thất hay hư hỏng nào đối với công trình, người lao động, máy móc thiết bị thì nhà thầu phải tự sửa chữa, bồi thường bằng chính kinh phí của mình.</w:t>
      </w:r>
    </w:p>
    <w:p w14:paraId="6E78468E"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lastRenderedPageBreak/>
        <w:t>- Tổ chức thực hiện thi công công trình đạt yêu cầu kỹ thuật và theo đúng thời hạn hoàn thành công trình đã nêu trong hồ sơ dự thầu được chấp thuận.</w:t>
      </w:r>
    </w:p>
    <w:p w14:paraId="1737AD19"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Cung cấp cán bộ lãnh đạo, cán bộ kỹ thuật, trợ lý kỹ thuật lành nghề có kinh nghiệm và đủ năng lực bảo đảm thực hiện đúng đắn và đúng thời hạn nghĩa vụ của nhà thầu theo hợp đồng.</w:t>
      </w:r>
    </w:p>
    <w:p w14:paraId="4DF86721"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Giám sát theo dõi những khối lượng do mình thực hiện trong công trường trong thời gian thi công và ngay cả trong thời gian bảo hành công trình.</w:t>
      </w:r>
    </w:p>
    <w:p w14:paraId="4D994F07"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14:paraId="0D79AAEB"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14:paraId="0F9EB804"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Sau khi thi công hoàn thiện công trình và trước khi nghiệm thu công trình, nhà thầu phải thu dọn, san trả hiên trường và làm cho khu vực công trường được sạch sẽ.</w:t>
      </w:r>
    </w:p>
    <w:p w14:paraId="57061F3C" w14:textId="77777777" w:rsidR="00DB3CD7" w:rsidRPr="00C12841" w:rsidRDefault="00DB3CD7" w:rsidP="00DB3CD7">
      <w:pPr>
        <w:widowControl w:val="0"/>
        <w:autoSpaceDE w:val="0"/>
        <w:autoSpaceDN w:val="0"/>
        <w:adjustRightInd w:val="0"/>
        <w:spacing w:before="120"/>
        <w:ind w:right="-14" w:firstLine="567"/>
        <w:rPr>
          <w:sz w:val="28"/>
          <w:szCs w:val="28"/>
        </w:rPr>
      </w:pPr>
      <w:r w:rsidRPr="00C12841">
        <w:rPr>
          <w:sz w:val="28"/>
          <w:szCs w:val="28"/>
        </w:rPr>
        <w:t>- Nhà thầu phải chịu trách nhiệm lập đầy đủ hồ sơ hoàn công công trình theo đúng yêu cầu của chủ đầu tư và các tiêu chuẩn nghiệm thu công trình.</w:t>
      </w:r>
    </w:p>
    <w:p w14:paraId="30494D64" w14:textId="2FB67C82" w:rsidR="00A25F79" w:rsidRPr="005573DD" w:rsidRDefault="00A52E83" w:rsidP="00A25F79">
      <w:pPr>
        <w:widowControl w:val="0"/>
        <w:autoSpaceDE w:val="0"/>
        <w:autoSpaceDN w:val="0"/>
        <w:adjustRightInd w:val="0"/>
        <w:spacing w:before="120"/>
        <w:ind w:right="-14" w:firstLine="567"/>
        <w:rPr>
          <w:rFonts w:eastAsia="Calibri"/>
          <w:b/>
          <w:sz w:val="28"/>
          <w:szCs w:val="28"/>
          <w:lang w:val="es-ES"/>
        </w:rPr>
      </w:pPr>
      <w:r>
        <w:rPr>
          <w:b/>
          <w:sz w:val="28"/>
          <w:szCs w:val="28"/>
        </w:rPr>
        <w:t>3</w:t>
      </w:r>
      <w:r w:rsidR="00AF4D2D" w:rsidRPr="005573DD">
        <w:rPr>
          <w:b/>
          <w:sz w:val="28"/>
          <w:szCs w:val="28"/>
        </w:rPr>
        <w:t xml:space="preserve">. </w:t>
      </w:r>
      <w:r w:rsidR="00A25F79" w:rsidRPr="005573DD">
        <w:rPr>
          <w:b/>
          <w:bCs/>
          <w:sz w:val="28"/>
          <w:szCs w:val="28"/>
          <w:lang w:val="es-ES"/>
        </w:rPr>
        <w:t xml:space="preserve">Yêu cầu về phòng chống cháy nổ, bảo đảm an toàn thi công và vệ sinh môi trường </w:t>
      </w:r>
    </w:p>
    <w:p w14:paraId="072ACFEC" w14:textId="77777777" w:rsidR="00A25F79" w:rsidRPr="005573DD" w:rsidRDefault="00A25F79" w:rsidP="00A25F79">
      <w:pPr>
        <w:widowControl w:val="0"/>
        <w:spacing w:before="120"/>
        <w:ind w:left="20" w:right="40" w:firstLine="547"/>
        <w:rPr>
          <w:rFonts w:eastAsia="Calibri"/>
          <w:sz w:val="28"/>
          <w:szCs w:val="28"/>
          <w:lang w:val="es-ES"/>
        </w:rPr>
      </w:pPr>
      <w:r w:rsidRPr="005573DD">
        <w:rPr>
          <w:rFonts w:eastAsia="Calibri"/>
          <w:sz w:val="28"/>
          <w:szCs w:val="28"/>
          <w:shd w:val="clear" w:color="auto" w:fill="FFFFFF"/>
          <w:lang w:val="es-ES" w:eastAsia="vi-VN"/>
        </w:rPr>
        <w:t>Các nguyên liệu lỏng và dễ cháy (xăng, dầu, mỡ ...) phải bảo quản trong kho riêng theo đúng các quy định phòng cháy hiện hành, phải bố trí các thiết bị phòng cháy chữa cháy như thông dụng bộ tiêu lệnh phòng cháy chữa cháy, bình CO2, bình bột khô chữa cháy, thùng cát… tại các khu vực dễ cháy.</w:t>
      </w:r>
    </w:p>
    <w:p w14:paraId="10773501" w14:textId="77777777" w:rsidR="00A25F79" w:rsidRPr="005573DD" w:rsidRDefault="00A25F79" w:rsidP="00A25F79">
      <w:pPr>
        <w:widowControl w:val="0"/>
        <w:spacing w:before="120"/>
        <w:ind w:left="20" w:right="40" w:firstLine="547"/>
        <w:rPr>
          <w:rFonts w:eastAsia="Calibri"/>
          <w:sz w:val="28"/>
          <w:szCs w:val="28"/>
          <w:lang w:val="es-ES"/>
        </w:rPr>
      </w:pPr>
      <w:r w:rsidRPr="005573DD">
        <w:rPr>
          <w:rFonts w:eastAsia="Calibri"/>
          <w:sz w:val="28"/>
          <w:szCs w:val="28"/>
          <w:shd w:val="clear" w:color="auto" w:fill="FFFFFF"/>
          <w:lang w:val="es-ES" w:eastAsia="vi-VN"/>
        </w:rPr>
        <w:t>Những vùng nguy hiểm do vật có thể rơi tự do từ trên cao xuống phải được rào chắn, đặt biển báo hoặc làm mái che được bảo vệ. Kho bãi được sắp xếp và bảo quản nguyên vật liệu, cấu kiện, thiết bị phải được định trước trên mặt bằng công trường với số lượng cần thiết cho thi công. Điạ điểm các khu vực này phải thuận tiện cho việc vận chuyển bốc dỡ</w:t>
      </w:r>
    </w:p>
    <w:p w14:paraId="4839178B" w14:textId="77777777" w:rsidR="00A25F79" w:rsidRPr="005573DD" w:rsidRDefault="00A25F79" w:rsidP="00A25F79">
      <w:pPr>
        <w:widowControl w:val="0"/>
        <w:spacing w:before="120"/>
        <w:ind w:left="20" w:right="40" w:firstLine="547"/>
        <w:rPr>
          <w:rFonts w:eastAsia="Calibri"/>
          <w:sz w:val="28"/>
          <w:szCs w:val="28"/>
          <w:lang w:val="es-ES"/>
        </w:rPr>
      </w:pPr>
      <w:r w:rsidRPr="005573DD">
        <w:rPr>
          <w:rFonts w:eastAsia="Calibri"/>
          <w:sz w:val="28"/>
          <w:szCs w:val="28"/>
          <w:shd w:val="clear" w:color="auto" w:fill="FFFFFF"/>
          <w:lang w:val="es-ES" w:eastAsia="vi-VN"/>
        </w:rPr>
        <w:t>Vật liệu rời (cát, đá dăm, sỏi...) đổ thành bãi phải bảo đảm sự ổn định của mái dốc tự nhiên. Vật liệu dạng bột (ximăng) phải đóng bao hoặc chứa trong thùng kín, xi lô… đồng thời phải có biện pháp chống bụi khi xếp dỡ</w:t>
      </w:r>
    </w:p>
    <w:p w14:paraId="51490178" w14:textId="77777777" w:rsidR="00A25F79" w:rsidRPr="005573DD" w:rsidRDefault="00A25F79" w:rsidP="00A25F79">
      <w:pPr>
        <w:widowControl w:val="0"/>
        <w:spacing w:before="120"/>
        <w:ind w:left="20" w:right="40" w:firstLine="547"/>
        <w:rPr>
          <w:rFonts w:eastAsia="Calibri"/>
          <w:sz w:val="28"/>
          <w:szCs w:val="28"/>
          <w:lang w:val="es-ES"/>
        </w:rPr>
      </w:pPr>
      <w:r w:rsidRPr="005573DD">
        <w:rPr>
          <w:rFonts w:eastAsia="Calibri"/>
          <w:sz w:val="28"/>
          <w:szCs w:val="28"/>
          <w:shd w:val="clear" w:color="auto" w:fill="FFFFFF"/>
          <w:lang w:val="es-ES" w:eastAsia="vi-VN"/>
        </w:rPr>
        <w:t>Phải lắp đặt giàn giáo bao che công trình (cao hơn sàn công tác 1 m), bọc lưới kín và may giáp mí.</w:t>
      </w:r>
    </w:p>
    <w:p w14:paraId="78CA277D" w14:textId="77777777" w:rsidR="00A25F79" w:rsidRPr="005573DD" w:rsidRDefault="00A25F79" w:rsidP="00A25F79">
      <w:pPr>
        <w:widowControl w:val="0"/>
        <w:spacing w:before="120"/>
        <w:ind w:left="20" w:right="40" w:firstLine="547"/>
        <w:rPr>
          <w:rFonts w:eastAsia="Calibri"/>
          <w:sz w:val="28"/>
          <w:szCs w:val="28"/>
          <w:shd w:val="clear" w:color="auto" w:fill="FFFFFF"/>
          <w:lang w:val="es-ES" w:eastAsia="vi-VN"/>
        </w:rPr>
      </w:pPr>
      <w:r w:rsidRPr="005573DD">
        <w:rPr>
          <w:rFonts w:eastAsia="Calibri"/>
          <w:sz w:val="28"/>
          <w:szCs w:val="28"/>
          <w:shd w:val="clear" w:color="auto" w:fill="FFFFFF"/>
          <w:lang w:val="es-ES" w:eastAsia="vi-VN"/>
        </w:rPr>
        <w:t>Mọi chi phí để thực hiện công tác này do nhà thầu chịu và được tính vào giá trị dự thầu. Trong quá trình thi công, nhà thầu phải có biện pháp đảm bảo an ninh trật tự trên công trường và có biện pháp phối hợp chặt chẽ với chính quyền để đảm bảo an ninh trật tự tại địa phương.</w:t>
      </w:r>
    </w:p>
    <w:p w14:paraId="7E59F0E0" w14:textId="77777777" w:rsidR="00A25F79" w:rsidRPr="005573DD" w:rsidRDefault="00A25F79" w:rsidP="00A25F79">
      <w:pPr>
        <w:widowControl w:val="0"/>
        <w:autoSpaceDE w:val="0"/>
        <w:autoSpaceDN w:val="0"/>
        <w:adjustRightInd w:val="0"/>
        <w:spacing w:before="120"/>
        <w:ind w:left="20" w:right="-14" w:firstLine="547"/>
        <w:rPr>
          <w:color w:val="C00000"/>
          <w:sz w:val="28"/>
          <w:szCs w:val="28"/>
        </w:rPr>
      </w:pPr>
      <w:r w:rsidRPr="005573DD">
        <w:rPr>
          <w:rFonts w:eastAsia="Calibri"/>
          <w:sz w:val="28"/>
          <w:szCs w:val="28"/>
          <w:shd w:val="clear" w:color="auto" w:fill="FFFFFF"/>
          <w:lang w:val="es-ES" w:eastAsia="vi-VN"/>
        </w:rPr>
        <w:lastRenderedPageBreak/>
        <w:t>Nhà thầu phải chấp hành mọi qui định về an ninh trật tư, vệ sinh môi trường, an toàn giao thông của địa phương</w:t>
      </w:r>
    </w:p>
    <w:p w14:paraId="5B7AB4FD" w14:textId="74E6AA5D" w:rsidR="00A25F79" w:rsidRPr="005573DD" w:rsidRDefault="00A52E83" w:rsidP="00A25F79">
      <w:pPr>
        <w:widowControl w:val="0"/>
        <w:autoSpaceDE w:val="0"/>
        <w:autoSpaceDN w:val="0"/>
        <w:adjustRightInd w:val="0"/>
        <w:spacing w:before="120"/>
        <w:ind w:right="-14" w:firstLine="567"/>
        <w:rPr>
          <w:b/>
          <w:bCs/>
          <w:sz w:val="28"/>
          <w:szCs w:val="28"/>
          <w:lang w:val="es-ES"/>
        </w:rPr>
      </w:pPr>
      <w:r>
        <w:rPr>
          <w:b/>
          <w:sz w:val="28"/>
          <w:szCs w:val="28"/>
        </w:rPr>
        <w:t>4</w:t>
      </w:r>
      <w:r w:rsidR="00AF4D2D" w:rsidRPr="005573DD">
        <w:rPr>
          <w:b/>
          <w:sz w:val="28"/>
          <w:szCs w:val="28"/>
        </w:rPr>
        <w:t xml:space="preserve">. </w:t>
      </w:r>
      <w:r w:rsidR="00A25F79" w:rsidRPr="005573DD">
        <w:rPr>
          <w:b/>
          <w:bCs/>
          <w:sz w:val="28"/>
          <w:szCs w:val="28"/>
          <w:lang w:val="es-ES"/>
        </w:rPr>
        <w:t xml:space="preserve">Yêu cầu về nhân lực và thiết bi phục </w:t>
      </w:r>
      <w:r w:rsidR="00C16DA7" w:rsidRPr="005573DD">
        <w:rPr>
          <w:b/>
          <w:bCs/>
          <w:sz w:val="28"/>
          <w:szCs w:val="28"/>
          <w:lang w:val="es-ES"/>
        </w:rPr>
        <w:t xml:space="preserve">vụ </w:t>
      </w:r>
      <w:r w:rsidR="00A25F79" w:rsidRPr="005573DD">
        <w:rPr>
          <w:b/>
          <w:bCs/>
          <w:sz w:val="28"/>
          <w:szCs w:val="28"/>
          <w:lang w:val="es-ES"/>
        </w:rPr>
        <w:t>thi công</w:t>
      </w:r>
    </w:p>
    <w:p w14:paraId="0D7E323E" w14:textId="77777777" w:rsidR="00A25F79" w:rsidRPr="005573DD" w:rsidRDefault="00A25F79" w:rsidP="00A25F79">
      <w:pPr>
        <w:widowControl w:val="0"/>
        <w:spacing w:before="120"/>
        <w:ind w:left="20" w:right="40" w:firstLine="547"/>
        <w:rPr>
          <w:rFonts w:eastAsia="Calibri"/>
          <w:sz w:val="28"/>
          <w:szCs w:val="28"/>
          <w:lang w:val="es-ES"/>
        </w:rPr>
      </w:pPr>
      <w:r w:rsidRPr="005573DD">
        <w:rPr>
          <w:rFonts w:eastAsia="Calibri"/>
          <w:sz w:val="28"/>
          <w:szCs w:val="28"/>
          <w:shd w:val="clear" w:color="auto" w:fill="FFFFFF"/>
          <w:lang w:val="es-ES" w:eastAsia="vi-VN"/>
        </w:rPr>
        <w:t>Nhà thầu cần huy động và tổ chức nhân lực thi công hợp lý cho từng giai đoạn thi công của gói thầu, nhân lực phải được bố trí phù hợp với trình độ ngành nghề nhằm đảm bảo cho thi công đúng tiến độ, đạt chất lượng.</w:t>
      </w:r>
    </w:p>
    <w:p w14:paraId="3D5A3051" w14:textId="77777777" w:rsidR="00A25F79" w:rsidRPr="005573DD" w:rsidRDefault="00A25F79" w:rsidP="00A25F79">
      <w:pPr>
        <w:widowControl w:val="0"/>
        <w:spacing w:before="120"/>
        <w:ind w:left="20" w:right="40" w:firstLine="547"/>
        <w:rPr>
          <w:rFonts w:eastAsia="Calibri"/>
          <w:sz w:val="28"/>
          <w:szCs w:val="28"/>
          <w:shd w:val="clear" w:color="auto" w:fill="FFFFFF"/>
          <w:lang w:val="es-ES" w:eastAsia="vi-VN"/>
        </w:rPr>
      </w:pPr>
      <w:r w:rsidRPr="005573DD">
        <w:rPr>
          <w:rFonts w:eastAsia="Calibri"/>
          <w:sz w:val="28"/>
          <w:szCs w:val="28"/>
          <w:shd w:val="clear" w:color="auto" w:fill="FFFFFF"/>
          <w:lang w:val="es-ES" w:eastAsia="vi-VN"/>
        </w:rPr>
        <w:t xml:space="preserve"> Giữa các bộ phận thi công phải có mối quan hệ mật thiết với nhau, thường xuyên chỉ đạo, trao đổi bàn bạc giải quyết các vấn đề vướng mắc để đảm bảo công trường thi công hiệu quả, đạt chất lượng và hoàn thành đúng tiến độ.</w:t>
      </w:r>
    </w:p>
    <w:p w14:paraId="47FC6B51" w14:textId="77777777" w:rsidR="00A25F79" w:rsidRPr="005573DD" w:rsidRDefault="00A25F79" w:rsidP="00A25F79">
      <w:pPr>
        <w:widowControl w:val="0"/>
        <w:spacing w:before="120"/>
        <w:ind w:left="20" w:right="40" w:firstLine="547"/>
        <w:rPr>
          <w:rFonts w:eastAsia="Calibri"/>
          <w:sz w:val="28"/>
          <w:szCs w:val="28"/>
          <w:shd w:val="clear" w:color="auto" w:fill="FFFFFF"/>
          <w:lang w:val="es-ES" w:eastAsia="vi-VN"/>
        </w:rPr>
      </w:pPr>
      <w:r w:rsidRPr="005573DD">
        <w:rPr>
          <w:rFonts w:eastAsia="Calibri"/>
          <w:sz w:val="28"/>
          <w:szCs w:val="28"/>
          <w:shd w:val="clear" w:color="auto" w:fill="FFFFFF"/>
          <w:lang w:val="es-ES" w:eastAsia="vi-VN"/>
        </w:rPr>
        <w:t xml:space="preserve"> Bố trí và điều động máy móc, thiết bị thi công một cách linh hoạt và hợp lý, tất cả các thiết bị đưa vào sử dụng phải được kiểm tra định kỳ thường xuyên.</w:t>
      </w:r>
    </w:p>
    <w:p w14:paraId="39ADDEBD" w14:textId="77777777" w:rsidR="00A25F79" w:rsidRPr="005573DD" w:rsidRDefault="00A25F79" w:rsidP="00A25F79">
      <w:pPr>
        <w:autoSpaceDE w:val="0"/>
        <w:autoSpaceDN w:val="0"/>
        <w:adjustRightInd w:val="0"/>
        <w:spacing w:before="60"/>
        <w:ind w:firstLine="567"/>
        <w:rPr>
          <w:rFonts w:eastAsia="MS Mincho"/>
          <w:color w:val="C00000"/>
          <w:sz w:val="28"/>
          <w:szCs w:val="28"/>
        </w:rPr>
      </w:pPr>
      <w:r w:rsidRPr="005573DD">
        <w:rPr>
          <w:rFonts w:eastAsia="Calibri"/>
          <w:sz w:val="28"/>
          <w:szCs w:val="28"/>
          <w:shd w:val="clear" w:color="auto" w:fill="FFFFFF"/>
          <w:lang w:val="es-ES" w:eastAsia="vi-VN"/>
        </w:rPr>
        <w:t>Thiết bị đưa vào sử dụng phải đảm bảo còn niên hạn sử dụng đối với các thiết bị chuyên dụng như xe ôtô, vận thăng, xe cẩu... phải được kiểm định an toàn trước khi đưa vào vận hành, sử dụng.</w:t>
      </w:r>
    </w:p>
    <w:p w14:paraId="5E46CA1B"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Nhà thầu thi công phải có biện pháp huy động nhân lực và thiết bị phục vụ thi công phù hợp với tiến độ thi công đề ra. </w:t>
      </w:r>
    </w:p>
    <w:p w14:paraId="5CC458A8"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Nhà thầu phải có kế hoạch bố trí số lượng nhân lực, thiết bị thi công đầy đủ theo yêu cầu công việc. Biện pháp huy động, bố trí nhân lực, thiết bị cho từng giai đoạn thi công xây dựng, lắp đặt thiết bị phải đảm bảo đáp ứng yêu cầu về chất lượng, tiến độ theo hồ sơ mời thầu. </w:t>
      </w:r>
    </w:p>
    <w:p w14:paraId="7389FF9E"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Nhân lực huy động trên công trường phải phù hợp với yêu cầu của hồ sơ mời thầu. Cán bộ kỹ thuật, công nhân phải có bằng cấp, chứng chỉ chuyên môn, chuyên ngành đào tạo phù hợp với hồ sơ mời thầu và yêu cầu công việc theo hồ sơ thiết kế được duyệt. </w:t>
      </w:r>
    </w:p>
    <w:p w14:paraId="10204165" w14:textId="77777777" w:rsidR="00A25F79" w:rsidRDefault="00AF4D2D" w:rsidP="00A25F79">
      <w:pPr>
        <w:tabs>
          <w:tab w:val="left" w:pos="851"/>
        </w:tabs>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Các máy móc, thiết bị phục vụ thi công đưa vào công trình phải có các tài liệu: Lý lịch máy, giấy chứng nhận kiểm định kỹ thuật an toàn đối với các thiết bị có yêu cầu nghiêm ngặt về an toàn do cơ quan có thẩm quyền cấp.</w:t>
      </w:r>
      <w:bookmarkStart w:id="5" w:name="bookmark11"/>
    </w:p>
    <w:p w14:paraId="40796FDF" w14:textId="5D60D0AC" w:rsidR="00A25F79" w:rsidRPr="004F7FC0" w:rsidRDefault="00A52E83" w:rsidP="00A25F79">
      <w:pPr>
        <w:tabs>
          <w:tab w:val="left" w:pos="851"/>
        </w:tabs>
        <w:autoSpaceDE w:val="0"/>
        <w:autoSpaceDN w:val="0"/>
        <w:adjustRightInd w:val="0"/>
        <w:spacing w:before="60"/>
        <w:ind w:firstLine="567"/>
        <w:rPr>
          <w:b/>
          <w:bCs/>
          <w:sz w:val="28"/>
          <w:szCs w:val="28"/>
          <w:lang w:val="es-ES"/>
        </w:rPr>
      </w:pPr>
      <w:r>
        <w:rPr>
          <w:b/>
          <w:bCs/>
          <w:sz w:val="28"/>
          <w:szCs w:val="28"/>
          <w:lang w:val="es-ES"/>
        </w:rPr>
        <w:t>5</w:t>
      </w:r>
      <w:r w:rsidR="00A25F79" w:rsidRPr="004F7FC0">
        <w:rPr>
          <w:b/>
          <w:bCs/>
          <w:sz w:val="28"/>
          <w:szCs w:val="28"/>
          <w:lang w:val="es-ES"/>
        </w:rPr>
        <w:t>. Yêu cầu về sửa chữa, bảo quản, bảo hiểm và bảo hành công trình</w:t>
      </w:r>
      <w:bookmarkEnd w:id="5"/>
    </w:p>
    <w:p w14:paraId="0DC58FFD" w14:textId="77777777" w:rsidR="00A25F79" w:rsidRPr="004F7FC0" w:rsidRDefault="00A25F79" w:rsidP="00A25F79">
      <w:pPr>
        <w:widowControl w:val="0"/>
        <w:spacing w:before="120"/>
        <w:ind w:left="20" w:right="40" w:firstLine="547"/>
        <w:rPr>
          <w:rFonts w:eastAsia="Calibri"/>
          <w:sz w:val="28"/>
          <w:szCs w:val="28"/>
          <w:shd w:val="clear" w:color="auto" w:fill="FFFFFF"/>
          <w:lang w:val="es-ES" w:eastAsia="vi-VN"/>
        </w:rPr>
      </w:pPr>
      <w:r w:rsidRPr="004F7FC0">
        <w:rPr>
          <w:rFonts w:eastAsia="Calibri"/>
          <w:sz w:val="28"/>
          <w:szCs w:val="28"/>
          <w:shd w:val="clear" w:color="auto" w:fill="FFFFFF"/>
          <w:lang w:val="es-ES" w:eastAsia="vi-VN"/>
        </w:rPr>
        <w:t>Chủ đầu tư hoặc cán bộ tư vấn giám sát thi công có quyền yêu cầu nhà thầu sửa chữa (tháo dỡ hay đập phá) những bộ phận, những phần không đảm bảo yêu cầu về chất lượng, kỹ thuật trong quá trình thi công</w:t>
      </w:r>
    </w:p>
    <w:p w14:paraId="6F318572" w14:textId="77777777" w:rsidR="00A25F79" w:rsidRPr="004F7FC0" w:rsidRDefault="00A25F79" w:rsidP="00A25F79">
      <w:pPr>
        <w:widowControl w:val="0"/>
        <w:spacing w:before="120"/>
        <w:ind w:left="20" w:right="40" w:firstLine="547"/>
        <w:rPr>
          <w:rFonts w:eastAsia="Calibri"/>
          <w:sz w:val="28"/>
          <w:szCs w:val="28"/>
          <w:shd w:val="clear" w:color="auto" w:fill="FFFFFF"/>
          <w:lang w:val="es-ES" w:eastAsia="vi-VN"/>
        </w:rPr>
      </w:pPr>
      <w:r w:rsidRPr="004F7FC0">
        <w:rPr>
          <w:rFonts w:eastAsia="Calibri"/>
          <w:sz w:val="28"/>
          <w:szCs w:val="28"/>
          <w:shd w:val="clear" w:color="auto" w:fill="FFFFFF"/>
          <w:lang w:val="es-ES" w:eastAsia="vi-VN"/>
        </w:rPr>
        <w:t>Nhà thầu có trách nhiệm mua bảo hiểm tai nạn lao động, bảo hiểm đối với người thứ 3 trên công trường</w:t>
      </w:r>
    </w:p>
    <w:p w14:paraId="59D94A84" w14:textId="77777777" w:rsidR="00A25F79" w:rsidRPr="004F7FC0" w:rsidRDefault="00A25F79" w:rsidP="00A25F79">
      <w:pPr>
        <w:widowControl w:val="0"/>
        <w:spacing w:before="120"/>
        <w:ind w:left="20" w:right="40" w:firstLine="547"/>
        <w:rPr>
          <w:rFonts w:eastAsia="Calibri"/>
          <w:sz w:val="28"/>
          <w:szCs w:val="28"/>
          <w:shd w:val="clear" w:color="auto" w:fill="FFFFFF"/>
          <w:lang w:val="es-ES" w:eastAsia="vi-VN"/>
        </w:rPr>
      </w:pPr>
      <w:r w:rsidRPr="004F7FC0">
        <w:rPr>
          <w:rFonts w:eastAsia="Calibri"/>
          <w:sz w:val="28"/>
          <w:szCs w:val="28"/>
          <w:shd w:val="clear" w:color="auto" w:fill="FFFFFF"/>
          <w:lang w:val="es-ES" w:eastAsia="vi-VN"/>
        </w:rPr>
        <w:t>Sau khi xây dựng xong, nhà thầu có trách nhiệm bảo quản công trình cho đến khi bàn giao cho Chủ đầu tư</w:t>
      </w:r>
    </w:p>
    <w:p w14:paraId="000C9D92" w14:textId="77777777" w:rsidR="00A25F79" w:rsidRPr="004F7FC0" w:rsidRDefault="00A25F79" w:rsidP="00A25F79">
      <w:pPr>
        <w:widowControl w:val="0"/>
        <w:spacing w:before="120"/>
        <w:ind w:left="20" w:right="40" w:firstLine="547"/>
        <w:rPr>
          <w:rFonts w:eastAsia="Calibri"/>
          <w:sz w:val="28"/>
          <w:szCs w:val="28"/>
          <w:shd w:val="clear" w:color="auto" w:fill="FFFFFF"/>
          <w:lang w:val="es-ES" w:eastAsia="vi-VN"/>
        </w:rPr>
      </w:pPr>
      <w:r w:rsidRPr="004F7FC0">
        <w:rPr>
          <w:rFonts w:eastAsia="Calibri"/>
          <w:sz w:val="28"/>
          <w:szCs w:val="28"/>
          <w:shd w:val="clear" w:color="auto" w:fill="FFFFFF"/>
          <w:lang w:val="es-ES" w:eastAsia="vi-VN"/>
        </w:rPr>
        <w:t xml:space="preserve">Nhà thầu có trách nhiệm nộp tiền vào tài khoản của Chủ đầu tư với số tiền </w:t>
      </w:r>
      <w:r w:rsidR="004F7FC0">
        <w:rPr>
          <w:rFonts w:eastAsia="Calibri"/>
          <w:sz w:val="28"/>
          <w:szCs w:val="28"/>
          <w:shd w:val="clear" w:color="auto" w:fill="FFFFFF"/>
          <w:lang w:val="es-ES" w:eastAsia="vi-VN"/>
        </w:rPr>
        <w:t>theo quy định của hợp đồng để thực hiện nghĩa vụ bảo hành.</w:t>
      </w:r>
    </w:p>
    <w:p w14:paraId="7F05A7ED" w14:textId="77777777" w:rsidR="00A25F79" w:rsidRPr="004F7FC0" w:rsidRDefault="00A25F79" w:rsidP="00A25F79">
      <w:pPr>
        <w:widowControl w:val="0"/>
        <w:spacing w:before="120"/>
        <w:ind w:left="20" w:right="40" w:firstLine="547"/>
        <w:rPr>
          <w:rFonts w:eastAsia="Calibri"/>
          <w:sz w:val="28"/>
          <w:szCs w:val="28"/>
          <w:shd w:val="clear" w:color="auto" w:fill="FFFFFF"/>
          <w:lang w:val="es-ES" w:eastAsia="vi-VN"/>
        </w:rPr>
      </w:pPr>
      <w:r w:rsidRPr="004F7FC0">
        <w:rPr>
          <w:rFonts w:eastAsia="Calibri"/>
          <w:sz w:val="28"/>
          <w:szCs w:val="28"/>
          <w:shd w:val="clear" w:color="auto" w:fill="FFFFFF"/>
          <w:lang w:val="es-ES" w:eastAsia="vi-VN"/>
        </w:rPr>
        <w:t xml:space="preserve">Nhà thầu phải chịu trách nhiệm bảo hành công trình tối thiểu 12 tháng. Trong thời gian bảo hành, nhà thầu phải sửa chữa những hư hỏng được xác định do nhà thầu bằng kinh phí của nhà thầu. Trường hợp nhà thầu không tiến hành </w:t>
      </w:r>
      <w:r w:rsidRPr="004F7FC0">
        <w:rPr>
          <w:rFonts w:eastAsia="Calibri"/>
          <w:sz w:val="28"/>
          <w:szCs w:val="28"/>
          <w:shd w:val="clear" w:color="auto" w:fill="FFFFFF"/>
          <w:lang w:val="es-ES" w:eastAsia="vi-VN"/>
        </w:rPr>
        <w:lastRenderedPageBreak/>
        <w:t>sửa chữa sau 04 ngày kể từ ngày nhận được thông báo của chủ đầu tư hoặc sửa chữa không đáp ứng được yêu cầu về chất lượng và kỹ thuật, Chủ đầu tư có quyền thuê đơn vị khác sửa chữa. Kinh phí sửa chữa đó do nhà thầu chịu mà không khiếu nại gì.</w:t>
      </w:r>
      <w:r w:rsidR="00FC3E98" w:rsidRPr="004F7FC0">
        <w:rPr>
          <w:rFonts w:eastAsia="Calibri"/>
          <w:sz w:val="28"/>
          <w:szCs w:val="28"/>
          <w:shd w:val="clear" w:color="auto" w:fill="FFFFFF"/>
          <w:lang w:val="es-ES" w:eastAsia="vi-VN"/>
        </w:rPr>
        <w:t xml:space="preserve"> </w:t>
      </w:r>
      <w:r w:rsidR="00696B0C" w:rsidRPr="004F7FC0">
        <w:rPr>
          <w:sz w:val="28"/>
          <w:szCs w:val="28"/>
          <w:lang w:val="nl-NL"/>
        </w:rPr>
        <w:t>Đối với các thiết bị mà nhà sản xuất hoặc nhà cung cấp…có quy định về thời gian bảo hành thì thời gian bảo hành cho thiết bị đó phải tối thiếu bằng thời gian bảo hành của nhà sản xuất, nhà cung cấp.</w:t>
      </w:r>
    </w:p>
    <w:p w14:paraId="170830A7" w14:textId="333A5ADD" w:rsidR="00AF4D2D" w:rsidRPr="00740066" w:rsidRDefault="00A52E83" w:rsidP="002A255C">
      <w:pPr>
        <w:widowControl w:val="0"/>
        <w:autoSpaceDE w:val="0"/>
        <w:autoSpaceDN w:val="0"/>
        <w:adjustRightInd w:val="0"/>
        <w:spacing w:before="120"/>
        <w:ind w:right="-14" w:firstLine="567"/>
        <w:rPr>
          <w:b/>
          <w:sz w:val="28"/>
          <w:szCs w:val="28"/>
        </w:rPr>
      </w:pPr>
      <w:r>
        <w:rPr>
          <w:b/>
          <w:sz w:val="28"/>
          <w:szCs w:val="28"/>
        </w:rPr>
        <w:t>6</w:t>
      </w:r>
      <w:r w:rsidR="00AF4D2D" w:rsidRPr="00740066">
        <w:rPr>
          <w:b/>
          <w:sz w:val="28"/>
          <w:szCs w:val="28"/>
        </w:rPr>
        <w:t>. Yêu cầu về biện pháp tổ chức thi công tổng thể và các hạng mục:</w:t>
      </w:r>
    </w:p>
    <w:p w14:paraId="303F3A08" w14:textId="77777777" w:rsidR="00B13FB2" w:rsidRPr="0098772D" w:rsidRDefault="00AF4D2D" w:rsidP="002A255C">
      <w:pPr>
        <w:autoSpaceDE w:val="0"/>
        <w:autoSpaceDN w:val="0"/>
        <w:adjustRightInd w:val="0"/>
        <w:spacing w:before="60"/>
        <w:ind w:firstLine="567"/>
        <w:rPr>
          <w:rFonts w:eastAsia="MS Mincho"/>
          <w:color w:val="0000CC"/>
          <w:sz w:val="28"/>
          <w:szCs w:val="28"/>
        </w:rPr>
      </w:pPr>
      <w:r w:rsidRPr="0098772D">
        <w:rPr>
          <w:rFonts w:eastAsia="MS Mincho"/>
          <w:color w:val="0000CC"/>
          <w:sz w:val="28"/>
          <w:szCs w:val="28"/>
        </w:rPr>
        <w:t>- Dựa trên hồ sơ thiết kế bản vẽ thi công được duyệt</w:t>
      </w:r>
      <w:r w:rsidR="00B13FB2" w:rsidRPr="0098772D">
        <w:rPr>
          <w:rFonts w:eastAsia="MS Mincho"/>
          <w:color w:val="0000CC"/>
          <w:sz w:val="28"/>
          <w:szCs w:val="28"/>
        </w:rPr>
        <w:t>, chỉ dẫn kỹ thuật</w:t>
      </w:r>
      <w:r w:rsidRPr="0098772D">
        <w:rPr>
          <w:rFonts w:eastAsia="MS Mincho"/>
          <w:color w:val="0000CC"/>
          <w:sz w:val="28"/>
          <w:szCs w:val="28"/>
        </w:rPr>
        <w:t xml:space="preserve"> và tiến độ thi công yêu cầu, nhà thầu </w:t>
      </w:r>
      <w:r w:rsidR="00B13FB2" w:rsidRPr="0098772D">
        <w:rPr>
          <w:rFonts w:eastAsia="MS Mincho"/>
          <w:color w:val="0000CC"/>
          <w:sz w:val="28"/>
          <w:szCs w:val="28"/>
        </w:rPr>
        <w:t xml:space="preserve">phải </w:t>
      </w:r>
      <w:r w:rsidRPr="0098772D">
        <w:rPr>
          <w:rFonts w:eastAsia="MS Mincho"/>
          <w:color w:val="0000CC"/>
          <w:sz w:val="28"/>
          <w:szCs w:val="28"/>
        </w:rPr>
        <w:t xml:space="preserve">tiến hành lập và nêu </w:t>
      </w:r>
      <w:r w:rsidR="00B13FB2" w:rsidRPr="0098772D">
        <w:rPr>
          <w:rFonts w:eastAsia="MS Mincho"/>
          <w:color w:val="0000CC"/>
          <w:sz w:val="28"/>
          <w:szCs w:val="28"/>
        </w:rPr>
        <w:t>rõ trong H</w:t>
      </w:r>
      <w:r w:rsidR="00AE24E2" w:rsidRPr="0098772D">
        <w:rPr>
          <w:rFonts w:eastAsia="MS Mincho"/>
          <w:color w:val="0000CC"/>
          <w:sz w:val="28"/>
          <w:szCs w:val="28"/>
        </w:rPr>
        <w:t>ồ</w:t>
      </w:r>
      <w:r w:rsidR="00B13FB2" w:rsidRPr="0098772D">
        <w:rPr>
          <w:rFonts w:eastAsia="MS Mincho"/>
          <w:color w:val="0000CC"/>
          <w:sz w:val="28"/>
          <w:szCs w:val="28"/>
        </w:rPr>
        <w:t xml:space="preserve"> sơ dự thầu:</w:t>
      </w:r>
    </w:p>
    <w:p w14:paraId="04A203B3" w14:textId="77777777" w:rsidR="00B13FB2" w:rsidRPr="0098772D" w:rsidRDefault="00B13FB2" w:rsidP="002A255C">
      <w:pPr>
        <w:autoSpaceDE w:val="0"/>
        <w:autoSpaceDN w:val="0"/>
        <w:adjustRightInd w:val="0"/>
        <w:spacing w:before="60"/>
        <w:ind w:firstLine="567"/>
        <w:rPr>
          <w:rFonts w:eastAsia="MS Mincho"/>
          <w:color w:val="0000CC"/>
          <w:sz w:val="28"/>
          <w:szCs w:val="28"/>
        </w:rPr>
      </w:pPr>
      <w:r w:rsidRPr="0098772D">
        <w:rPr>
          <w:rFonts w:eastAsia="MS Mincho"/>
          <w:color w:val="0000CC"/>
          <w:sz w:val="28"/>
          <w:szCs w:val="28"/>
        </w:rPr>
        <w:t xml:space="preserve">+ </w:t>
      </w:r>
      <w:r w:rsidR="00AE24E2" w:rsidRPr="0098772D">
        <w:rPr>
          <w:rFonts w:eastAsia="MS Mincho"/>
          <w:color w:val="0000CC"/>
          <w:sz w:val="28"/>
          <w:szCs w:val="28"/>
        </w:rPr>
        <w:t xml:space="preserve">Trình </w:t>
      </w:r>
      <w:r w:rsidRPr="0098772D">
        <w:rPr>
          <w:rFonts w:eastAsia="MS Mincho"/>
          <w:color w:val="0000CC"/>
          <w:sz w:val="28"/>
          <w:szCs w:val="28"/>
        </w:rPr>
        <w:t xml:space="preserve">tự thi công các hạng mục theo phương pháp </w:t>
      </w:r>
      <w:r w:rsidR="0098772D" w:rsidRPr="0098772D">
        <w:rPr>
          <w:rFonts w:eastAsia="MS Mincho"/>
          <w:color w:val="0000CC"/>
          <w:sz w:val="28"/>
          <w:szCs w:val="28"/>
        </w:rPr>
        <w:t xml:space="preserve">thi công </w:t>
      </w:r>
      <w:r w:rsidRPr="0098772D">
        <w:rPr>
          <w:rFonts w:eastAsia="MS Mincho"/>
          <w:color w:val="0000CC"/>
          <w:sz w:val="28"/>
          <w:szCs w:val="28"/>
        </w:rPr>
        <w:t>phù hợp</w:t>
      </w:r>
      <w:r w:rsidR="00AE24E2" w:rsidRPr="0098772D">
        <w:rPr>
          <w:rFonts w:eastAsia="MS Mincho"/>
          <w:color w:val="0000CC"/>
          <w:sz w:val="28"/>
          <w:szCs w:val="28"/>
        </w:rPr>
        <w:t xml:space="preserve"> với tiến độ </w:t>
      </w:r>
      <w:r w:rsidR="0098772D" w:rsidRPr="0098772D">
        <w:rPr>
          <w:rFonts w:eastAsia="MS Mincho"/>
          <w:color w:val="0000CC"/>
          <w:sz w:val="28"/>
          <w:szCs w:val="28"/>
        </w:rPr>
        <w:t>đề xuất</w:t>
      </w:r>
      <w:r w:rsidR="00FD5AC8">
        <w:rPr>
          <w:rFonts w:eastAsia="MS Mincho"/>
          <w:color w:val="0000CC"/>
          <w:sz w:val="28"/>
          <w:szCs w:val="28"/>
        </w:rPr>
        <w:t>.</w:t>
      </w:r>
    </w:p>
    <w:p w14:paraId="5674A5BF" w14:textId="77777777" w:rsidR="00AE24E2" w:rsidRPr="0098772D" w:rsidRDefault="00AE24E2" w:rsidP="002A255C">
      <w:pPr>
        <w:autoSpaceDE w:val="0"/>
        <w:autoSpaceDN w:val="0"/>
        <w:adjustRightInd w:val="0"/>
        <w:spacing w:before="60"/>
        <w:ind w:firstLine="567"/>
        <w:rPr>
          <w:rFonts w:eastAsia="MS Mincho"/>
          <w:color w:val="0000CC"/>
          <w:sz w:val="28"/>
          <w:szCs w:val="28"/>
        </w:rPr>
      </w:pPr>
      <w:r w:rsidRPr="0098772D">
        <w:rPr>
          <w:rFonts w:eastAsia="MS Mincho"/>
          <w:color w:val="0000CC"/>
          <w:sz w:val="28"/>
          <w:szCs w:val="28"/>
        </w:rPr>
        <w:t xml:space="preserve">+ Biện </w:t>
      </w:r>
      <w:r w:rsidR="00AF4D2D" w:rsidRPr="0098772D">
        <w:rPr>
          <w:rFonts w:eastAsia="MS Mincho"/>
          <w:color w:val="0000CC"/>
          <w:sz w:val="28"/>
          <w:szCs w:val="28"/>
        </w:rPr>
        <w:t xml:space="preserve">pháp thi công tổng thể </w:t>
      </w:r>
      <w:r w:rsidRPr="0098772D">
        <w:rPr>
          <w:rFonts w:eastAsia="MS Mincho"/>
          <w:color w:val="0000CC"/>
          <w:sz w:val="28"/>
          <w:szCs w:val="28"/>
        </w:rPr>
        <w:t>thể hiện đầy đủ các hạng mục phù hợp với tiến độ thi công đề xuất.</w:t>
      </w:r>
    </w:p>
    <w:p w14:paraId="5407614F" w14:textId="77777777" w:rsidR="00AE24E2" w:rsidRPr="0098772D" w:rsidRDefault="00AE24E2" w:rsidP="002A255C">
      <w:pPr>
        <w:autoSpaceDE w:val="0"/>
        <w:autoSpaceDN w:val="0"/>
        <w:adjustRightInd w:val="0"/>
        <w:spacing w:before="60"/>
        <w:ind w:firstLine="567"/>
        <w:rPr>
          <w:rFonts w:eastAsia="MS Mincho"/>
          <w:color w:val="0000CC"/>
          <w:sz w:val="28"/>
          <w:szCs w:val="28"/>
        </w:rPr>
      </w:pPr>
      <w:r w:rsidRPr="0098772D">
        <w:rPr>
          <w:rFonts w:eastAsia="MS Mincho"/>
          <w:color w:val="0000CC"/>
          <w:sz w:val="28"/>
          <w:szCs w:val="28"/>
        </w:rPr>
        <w:t xml:space="preserve">+ Biện pháp thi công chi tiết từng hạng mục </w:t>
      </w:r>
      <w:r w:rsidR="0098772D">
        <w:rPr>
          <w:rFonts w:eastAsia="MS Mincho"/>
          <w:color w:val="0000CC"/>
          <w:sz w:val="28"/>
          <w:szCs w:val="28"/>
        </w:rPr>
        <w:t xml:space="preserve">gắn </w:t>
      </w:r>
      <w:r w:rsidR="0098772D" w:rsidRPr="0098772D">
        <w:rPr>
          <w:rFonts w:eastAsia="MS Mincho"/>
          <w:color w:val="0000CC"/>
          <w:sz w:val="28"/>
          <w:szCs w:val="28"/>
        </w:rPr>
        <w:t xml:space="preserve">với </w:t>
      </w:r>
      <w:r w:rsidR="0098772D">
        <w:rPr>
          <w:rFonts w:eastAsia="MS Mincho"/>
          <w:color w:val="0000CC"/>
          <w:sz w:val="28"/>
          <w:szCs w:val="28"/>
        </w:rPr>
        <w:t xml:space="preserve">huy động nhân sự, thiết bị và </w:t>
      </w:r>
      <w:r w:rsidR="00700A9A">
        <w:rPr>
          <w:rFonts w:eastAsia="MS Mincho"/>
          <w:color w:val="0000CC"/>
          <w:sz w:val="28"/>
          <w:szCs w:val="28"/>
        </w:rPr>
        <w:t xml:space="preserve">phù hợp </w:t>
      </w:r>
      <w:r w:rsidR="0098772D" w:rsidRPr="0098772D">
        <w:rPr>
          <w:rFonts w:eastAsia="MS Mincho"/>
          <w:color w:val="0000CC"/>
          <w:sz w:val="28"/>
          <w:szCs w:val="28"/>
        </w:rPr>
        <w:t xml:space="preserve">tiến độ </w:t>
      </w:r>
      <w:r w:rsidRPr="0098772D">
        <w:rPr>
          <w:rFonts w:eastAsia="MS Mincho"/>
          <w:color w:val="0000CC"/>
          <w:sz w:val="28"/>
          <w:szCs w:val="28"/>
        </w:rPr>
        <w:t>thi công đề xuất.</w:t>
      </w:r>
    </w:p>
    <w:p w14:paraId="3A2CF422"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Nhà thầu phải tự khảo sát điều kiện mặt bằng thi công để chủ động trong việc lập giải pháp kỹ thuật và lập biện pháp tổ chức thi công xây dự</w:t>
      </w:r>
      <w:r w:rsidR="00E03578">
        <w:rPr>
          <w:rFonts w:eastAsia="MS Mincho"/>
          <w:color w:val="C00000"/>
          <w:sz w:val="28"/>
          <w:szCs w:val="28"/>
        </w:rPr>
        <w:t>ng</w:t>
      </w:r>
      <w:r w:rsidRPr="005B41F0">
        <w:rPr>
          <w:rFonts w:eastAsia="MS Mincho"/>
          <w:color w:val="C00000"/>
          <w:sz w:val="28"/>
          <w:szCs w:val="28"/>
        </w:rPr>
        <w:t xml:space="preserve">. </w:t>
      </w:r>
    </w:p>
    <w:p w14:paraId="699E8D6C"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Nhà thầu phải chịu chi phí cho bất kỳ công việc phát sinh nào cần thiết phải làm do việc khảo sát không phù hợp với thực tế công trình. </w:t>
      </w:r>
    </w:p>
    <w:p w14:paraId="02A4569C"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Biện pháp tổ chức thi công có thể lập tổng thể cho cả công trình hoặc cho từng hạng mục riêng biệt. </w:t>
      </w:r>
    </w:p>
    <w:p w14:paraId="759B4123"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98772D">
        <w:rPr>
          <w:rFonts w:eastAsia="MS Mincho"/>
          <w:color w:val="C00000"/>
          <w:sz w:val="28"/>
          <w:szCs w:val="28"/>
        </w:rPr>
        <w:t>- Biện pháp tổ chức thi công phải có tính khả thi, đảm bảo</w:t>
      </w:r>
      <w:r w:rsidRPr="005B41F0">
        <w:rPr>
          <w:rFonts w:eastAsia="MS Mincho"/>
          <w:color w:val="C00000"/>
          <w:sz w:val="28"/>
          <w:szCs w:val="28"/>
        </w:rPr>
        <w:t xml:space="preserve"> phù hợp với điều kiện mặt bằng thi công thực tế, năng lực huy động nhân lực, thiết bị của nhà thầu. </w:t>
      </w:r>
    </w:p>
    <w:p w14:paraId="601ECAD6"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Biện pháp tổ chức thi công phải tuân thủ các yêu cầu kỹ thuật quy định trong các quy chuẩn, tiêu chuẩn được áp dụ</w:t>
      </w:r>
      <w:r w:rsidR="00AE24E2">
        <w:rPr>
          <w:rFonts w:eastAsia="MS Mincho"/>
          <w:color w:val="C00000"/>
          <w:sz w:val="28"/>
          <w:szCs w:val="28"/>
        </w:rPr>
        <w:t>ng và trong chỉ dẫn kỹ thuật kèm theo Hồ sơ mời thầu.</w:t>
      </w:r>
    </w:p>
    <w:p w14:paraId="18584C89"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Biện pháp tổ chức thi công không làm ảnh hưởng đến toàn bộ công trình chính và khu vực lân cận. Nhà thầu phải chịu mọi chi phí bồi hoàn cho các bên liên quan nếu việc thi công làm ảnh hưởng đến bên thứ ba. </w:t>
      </w:r>
    </w:p>
    <w:p w14:paraId="0E7CE09D"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w:t>
      </w:r>
      <w:r w:rsidR="00E03578">
        <w:rPr>
          <w:rFonts w:eastAsia="MS Mincho"/>
          <w:color w:val="C00000"/>
          <w:sz w:val="28"/>
          <w:szCs w:val="28"/>
        </w:rPr>
        <w:t>ng khác</w:t>
      </w:r>
      <w:r w:rsidRPr="005B41F0">
        <w:rPr>
          <w:rFonts w:eastAsia="MS Mincho"/>
          <w:color w:val="C00000"/>
          <w:sz w:val="28"/>
          <w:szCs w:val="28"/>
        </w:rPr>
        <w:t xml:space="preserve">. </w:t>
      </w:r>
    </w:p>
    <w:p w14:paraId="67C1AD64"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Các bản vẽ trên đây khi trình duyệt sẽ là cơ sở pháp lý để Chủ đầu tư và tư vấn giám sát theo dõi khối lượng thực tế thi công và tính toán khối lượng lắp đặt khi thanh toán và làm phát sinh hợp đồng (nếu có). </w:t>
      </w:r>
    </w:p>
    <w:p w14:paraId="0C25C4AD"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 </w:t>
      </w:r>
    </w:p>
    <w:p w14:paraId="1FF6D12E" w14:textId="77777777" w:rsidR="00AF4D2D" w:rsidRPr="005B41F0" w:rsidRDefault="00AF4D2D" w:rsidP="002A255C">
      <w:pPr>
        <w:autoSpaceDE w:val="0"/>
        <w:autoSpaceDN w:val="0"/>
        <w:adjustRightInd w:val="0"/>
        <w:spacing w:before="60"/>
        <w:ind w:firstLine="567"/>
        <w:rPr>
          <w:rFonts w:eastAsia="MS Mincho"/>
          <w:color w:val="C00000"/>
          <w:sz w:val="28"/>
          <w:szCs w:val="28"/>
        </w:rPr>
      </w:pPr>
      <w:r w:rsidRPr="005B41F0">
        <w:rPr>
          <w:rFonts w:eastAsia="MS Mincho"/>
          <w:color w:val="C00000"/>
          <w:sz w:val="28"/>
          <w:szCs w:val="28"/>
        </w:rPr>
        <w:t xml:space="preserve">-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 </w:t>
      </w:r>
    </w:p>
    <w:p w14:paraId="5AC38B41" w14:textId="77777777" w:rsidR="00AF4D2D" w:rsidRPr="005B41F0" w:rsidRDefault="00AF4D2D" w:rsidP="002A255C">
      <w:pPr>
        <w:tabs>
          <w:tab w:val="left" w:pos="851"/>
        </w:tabs>
        <w:autoSpaceDE w:val="0"/>
        <w:autoSpaceDN w:val="0"/>
        <w:adjustRightInd w:val="0"/>
        <w:spacing w:before="60"/>
        <w:ind w:firstLine="567"/>
        <w:rPr>
          <w:color w:val="C00000"/>
          <w:sz w:val="28"/>
          <w:szCs w:val="28"/>
        </w:rPr>
      </w:pPr>
      <w:r w:rsidRPr="005B41F0">
        <w:rPr>
          <w:rFonts w:eastAsia="MS Mincho"/>
          <w:color w:val="C00000"/>
          <w:sz w:val="28"/>
          <w:szCs w:val="28"/>
        </w:rPr>
        <w:lastRenderedPageBreak/>
        <w:t>- Bản vẽ hoàn công cũng phải trình duyệt nhằm chứng minh phần thanh toán công việc đã thực hiện. Nhà thầu phải chỉ ra rõ ràng chính xác công việc đã thực hiện.</w:t>
      </w:r>
    </w:p>
    <w:p w14:paraId="1AC229A3" w14:textId="3D032B66" w:rsidR="00AF4D2D" w:rsidRPr="008D3AAE" w:rsidRDefault="00A52E83" w:rsidP="008D3AAE">
      <w:pPr>
        <w:widowControl w:val="0"/>
        <w:autoSpaceDE w:val="0"/>
        <w:autoSpaceDN w:val="0"/>
        <w:adjustRightInd w:val="0"/>
        <w:spacing w:before="120"/>
        <w:ind w:right="-14" w:firstLine="567"/>
        <w:rPr>
          <w:b/>
          <w:sz w:val="28"/>
          <w:szCs w:val="28"/>
        </w:rPr>
      </w:pPr>
      <w:r>
        <w:rPr>
          <w:b/>
          <w:sz w:val="28"/>
          <w:szCs w:val="28"/>
        </w:rPr>
        <w:t>7</w:t>
      </w:r>
      <w:r w:rsidR="00AF4D2D" w:rsidRPr="008D3AAE">
        <w:rPr>
          <w:b/>
          <w:sz w:val="28"/>
          <w:szCs w:val="28"/>
        </w:rPr>
        <w:t>. Yêu cầu về hệ thống kiểm tra, giám sát chất lượng của nhà thầu:</w:t>
      </w:r>
    </w:p>
    <w:p w14:paraId="25C410B5" w14:textId="77777777" w:rsidR="00696B0C" w:rsidRPr="008D3AAE" w:rsidRDefault="00696B0C" w:rsidP="00EB5AD8">
      <w:pPr>
        <w:widowControl w:val="0"/>
        <w:numPr>
          <w:ilvl w:val="0"/>
          <w:numId w:val="11"/>
        </w:numPr>
        <w:tabs>
          <w:tab w:val="left" w:pos="851"/>
        </w:tabs>
        <w:spacing w:before="120"/>
        <w:ind w:firstLine="567"/>
        <w:rPr>
          <w:rFonts w:eastAsia="Calibri"/>
          <w:sz w:val="28"/>
          <w:szCs w:val="28"/>
          <w:lang w:val="es-ES"/>
        </w:rPr>
      </w:pPr>
      <w:r w:rsidRPr="008D3AAE">
        <w:rPr>
          <w:rFonts w:eastAsia="Calibri"/>
          <w:sz w:val="28"/>
          <w:szCs w:val="28"/>
          <w:shd w:val="clear" w:color="auto" w:fill="FFFFFF"/>
          <w:lang w:val="es-ES" w:eastAsia="vi-VN"/>
        </w:rPr>
        <w:t>Yêu cầu về hồ sơ, tài liệu hoàn công:</w:t>
      </w:r>
    </w:p>
    <w:p w14:paraId="6DC1B5F6" w14:textId="77777777" w:rsidR="00696B0C" w:rsidRPr="008D3AAE" w:rsidRDefault="00696B0C" w:rsidP="008D3AAE">
      <w:pPr>
        <w:widowControl w:val="0"/>
        <w:spacing w:before="120"/>
        <w:ind w:right="40" w:firstLine="567"/>
        <w:rPr>
          <w:rFonts w:eastAsia="Calibri"/>
          <w:color w:val="FF0000"/>
          <w:sz w:val="28"/>
          <w:szCs w:val="28"/>
          <w:lang w:val="es-ES"/>
        </w:rPr>
      </w:pPr>
      <w:r w:rsidRPr="008D3AAE">
        <w:rPr>
          <w:rFonts w:eastAsia="Calibri"/>
          <w:sz w:val="28"/>
          <w:szCs w:val="28"/>
          <w:shd w:val="clear" w:color="auto" w:fill="FFFFFF"/>
          <w:lang w:val="es-ES" w:eastAsia="vi-VN"/>
        </w:rPr>
        <w:t xml:space="preserve">Nhà thầu phải lập toàn bộ hồ sơ hoàn công của công trình cùng các tài liệu: biên bản nghiệm thu, nhật ký công trình và các tài liệu khác có liên quan, bàn giao đầy đủ cho chủ đầu tư chậm nhất không quá </w:t>
      </w:r>
      <w:r w:rsidR="008D3AAE" w:rsidRPr="008D3AAE">
        <w:rPr>
          <w:rFonts w:eastAsia="Calibri"/>
          <w:color w:val="FF0000"/>
          <w:sz w:val="28"/>
          <w:szCs w:val="28"/>
          <w:shd w:val="clear" w:color="auto" w:fill="FFFFFF"/>
          <w:lang w:val="es-ES" w:eastAsia="vi-VN"/>
        </w:rPr>
        <w:t>10</w:t>
      </w:r>
      <w:r w:rsidRPr="008D3AAE">
        <w:rPr>
          <w:rFonts w:eastAsia="Calibri"/>
          <w:color w:val="FF0000"/>
          <w:sz w:val="28"/>
          <w:szCs w:val="28"/>
          <w:shd w:val="clear" w:color="auto" w:fill="FFFFFF"/>
          <w:lang w:val="es-ES" w:eastAsia="vi-VN"/>
        </w:rPr>
        <w:t xml:space="preserve"> ngày kể từ ngày nghiệm thu.</w:t>
      </w:r>
    </w:p>
    <w:p w14:paraId="3B6E7FC6" w14:textId="77777777" w:rsidR="00696B0C" w:rsidRPr="008D3AAE" w:rsidRDefault="00696B0C" w:rsidP="008D3AAE">
      <w:pPr>
        <w:widowControl w:val="0"/>
        <w:numPr>
          <w:ilvl w:val="0"/>
          <w:numId w:val="11"/>
        </w:numPr>
        <w:tabs>
          <w:tab w:val="left" w:pos="851"/>
        </w:tabs>
        <w:spacing w:before="120"/>
        <w:ind w:firstLine="567"/>
        <w:rPr>
          <w:rFonts w:eastAsia="Calibri"/>
          <w:sz w:val="28"/>
          <w:szCs w:val="28"/>
          <w:shd w:val="clear" w:color="auto" w:fill="FFFFFF"/>
          <w:lang w:val="es-ES" w:eastAsia="vi-VN"/>
        </w:rPr>
      </w:pPr>
      <w:r w:rsidRPr="008D3AAE">
        <w:rPr>
          <w:rFonts w:eastAsia="Calibri"/>
          <w:sz w:val="28"/>
          <w:szCs w:val="28"/>
          <w:shd w:val="clear" w:color="auto" w:fill="FFFFFF"/>
          <w:lang w:val="es-ES" w:eastAsia="vi-VN"/>
        </w:rPr>
        <w:t>Yêu cầu về hệ thống kiểm tra giám sát chất lượng của nhà thầu:</w:t>
      </w:r>
    </w:p>
    <w:p w14:paraId="1928ADDE" w14:textId="77777777" w:rsidR="00696B0C" w:rsidRPr="008D3AAE" w:rsidRDefault="00696B0C" w:rsidP="008D3AAE">
      <w:pPr>
        <w:widowControl w:val="0"/>
        <w:spacing w:before="120"/>
        <w:ind w:right="40" w:firstLine="567"/>
        <w:rPr>
          <w:rFonts w:eastAsia="Calibri"/>
          <w:sz w:val="28"/>
          <w:szCs w:val="28"/>
          <w:lang w:val="es-ES"/>
        </w:rPr>
      </w:pPr>
      <w:r w:rsidRPr="008D3AAE">
        <w:rPr>
          <w:rFonts w:eastAsia="Calibri"/>
          <w:sz w:val="28"/>
          <w:szCs w:val="28"/>
          <w:shd w:val="clear" w:color="auto" w:fill="FFFFFF"/>
          <w:lang w:val="es-ES" w:eastAsia="vi-VN"/>
        </w:rPr>
        <w:t xml:space="preserve">Nhà thầu phải xây dựng quy trình nghiệm thu vật tư nhập vào công trường, nghiệm thu các công việc xây dựng, nghiệm thu các giai đoạn hoàn thành, nghiệm thu hạng mục công trình (bao gồm giữa nhà thầu - đơn vị tư vấn giám sát của chủ đầu tư và giữa các bộ phận nội bộ của nhà thầu) theo các bước quy định tại Nghị định </w:t>
      </w:r>
      <w:r w:rsidRPr="008D3AAE">
        <w:rPr>
          <w:rFonts w:eastAsia="Calibri"/>
          <w:sz w:val="28"/>
          <w:szCs w:val="28"/>
          <w:lang w:val="es-ES"/>
        </w:rPr>
        <w:t>số 06/2021/NĐ-CP ngày 26/01/2021 của Chính Phủ</w:t>
      </w:r>
      <w:r w:rsidRPr="008D3AAE">
        <w:rPr>
          <w:rFonts w:eastAsia="Calibri"/>
          <w:sz w:val="28"/>
          <w:szCs w:val="28"/>
          <w:shd w:val="clear" w:color="auto" w:fill="FFFFFF"/>
          <w:lang w:val="es-ES" w:eastAsia="vi-VN"/>
        </w:rPr>
        <w:t xml:space="preserve"> và trình cho Chủ đầu tư và đơn vị giám sát.</w:t>
      </w:r>
    </w:p>
    <w:p w14:paraId="48A2D672" w14:textId="77777777" w:rsidR="00696B0C" w:rsidRPr="008D3AAE" w:rsidRDefault="008D3AAE" w:rsidP="008D3AAE">
      <w:pPr>
        <w:widowControl w:val="0"/>
        <w:spacing w:before="120"/>
        <w:ind w:right="40" w:firstLine="567"/>
        <w:rPr>
          <w:rFonts w:eastAsia="Calibri"/>
          <w:sz w:val="28"/>
          <w:szCs w:val="28"/>
          <w:shd w:val="clear" w:color="auto" w:fill="FFFFFF"/>
          <w:lang w:val="es-ES" w:eastAsia="vi-VN"/>
        </w:rPr>
      </w:pPr>
      <w:r>
        <w:rPr>
          <w:rFonts w:eastAsia="Calibri"/>
          <w:sz w:val="28"/>
          <w:szCs w:val="28"/>
          <w:shd w:val="clear" w:color="auto" w:fill="FFFFFF"/>
          <w:lang w:val="es-ES" w:eastAsia="vi-VN"/>
        </w:rPr>
        <w:t xml:space="preserve">Khi thi công, </w:t>
      </w:r>
      <w:r w:rsidR="00696B0C" w:rsidRPr="008D3AAE">
        <w:rPr>
          <w:rFonts w:eastAsia="Calibri"/>
          <w:sz w:val="28"/>
          <w:szCs w:val="28"/>
          <w:shd w:val="clear" w:color="auto" w:fill="FFFFFF"/>
          <w:lang w:val="es-ES" w:eastAsia="vi-VN"/>
        </w:rPr>
        <w:t>nhà thầu xây lắp phải có biện pháp bảo đảm an toàn cho các công trình lân cận, đặc biệt là các vấn đề chống sạt lở. Trong hồ sơ dự thầu, nhà thầu phải trình bày phương án khả thi để đảm bảo an toàn cho các công trình đang thi công và các công trình lân cận trong quá trình thi công ngầm dưới mặt đất</w:t>
      </w:r>
    </w:p>
    <w:p w14:paraId="2A09A11E" w14:textId="77777777" w:rsidR="00696B0C" w:rsidRPr="008D3AAE" w:rsidRDefault="00696B0C" w:rsidP="008D3AAE">
      <w:pPr>
        <w:widowControl w:val="0"/>
        <w:spacing w:before="120"/>
        <w:ind w:right="40" w:firstLine="567"/>
        <w:rPr>
          <w:rFonts w:eastAsia="Calibri"/>
          <w:sz w:val="28"/>
          <w:szCs w:val="28"/>
          <w:shd w:val="clear" w:color="auto" w:fill="FFFFFF"/>
          <w:lang w:val="es-ES" w:eastAsia="vi-VN"/>
        </w:rPr>
      </w:pPr>
      <w:r w:rsidRPr="008D3AAE">
        <w:rPr>
          <w:rFonts w:eastAsia="Calibri"/>
          <w:sz w:val="28"/>
          <w:szCs w:val="28"/>
          <w:shd w:val="clear" w:color="auto" w:fill="FFFFFF"/>
          <w:lang w:val="es-ES" w:eastAsia="vi-VN"/>
        </w:rPr>
        <w:t>Trong quá trình thi công, nhà thầu phải bảo đảm giữ vệ sinh môi trường cho các khu vực xung quanh công trường. Không được để xe chở vật liệu xây dựng, đất cát làm rơi vãi ra đường phố; cần hạn chế đến mức tối thiểu các ô nhiễm môi trường gây ra bởi bụi bặm, tiếng ồn, nước thải, rác rưởi ...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 cụ thể như sau:</w:t>
      </w:r>
    </w:p>
    <w:p w14:paraId="4E76BD3C" w14:textId="77777777" w:rsidR="00696B0C" w:rsidRPr="008D3AAE" w:rsidRDefault="00696B0C" w:rsidP="008D3AAE">
      <w:pPr>
        <w:widowControl w:val="0"/>
        <w:numPr>
          <w:ilvl w:val="0"/>
          <w:numId w:val="10"/>
        </w:numPr>
        <w:tabs>
          <w:tab w:val="left" w:pos="910"/>
        </w:tabs>
        <w:spacing w:before="120"/>
        <w:ind w:right="40" w:firstLine="567"/>
        <w:rPr>
          <w:rFonts w:eastAsia="Calibri"/>
          <w:sz w:val="28"/>
          <w:szCs w:val="28"/>
          <w:lang w:val="es-ES"/>
        </w:rPr>
      </w:pPr>
      <w:r w:rsidRPr="008D3AAE">
        <w:rPr>
          <w:rFonts w:eastAsia="Calibri"/>
          <w:sz w:val="28"/>
          <w:szCs w:val="28"/>
          <w:shd w:val="clear" w:color="auto" w:fill="FFFFFF"/>
          <w:lang w:val="es-ES" w:eastAsia="vi-VN"/>
        </w:rPr>
        <w:t>Bảo đảm an toàn giao thông cho các đường xung quanh khu vực công trường khi có xe cộ, máy móc thiết bị phục vụ thi công ra vào công trường</w:t>
      </w:r>
      <w:r w:rsidR="00B44AA4">
        <w:rPr>
          <w:rFonts w:eastAsia="Calibri"/>
          <w:sz w:val="28"/>
          <w:szCs w:val="28"/>
          <w:shd w:val="clear" w:color="auto" w:fill="FFFFFF"/>
          <w:lang w:val="es-ES" w:eastAsia="vi-VN"/>
        </w:rPr>
        <w:t xml:space="preserve"> (nếu có)</w:t>
      </w:r>
      <w:r w:rsidRPr="008D3AAE">
        <w:rPr>
          <w:rFonts w:eastAsia="Calibri"/>
          <w:sz w:val="28"/>
          <w:szCs w:val="28"/>
          <w:shd w:val="clear" w:color="auto" w:fill="FFFFFF"/>
          <w:lang w:val="es-ES" w:eastAsia="vi-VN"/>
        </w:rPr>
        <w:t>. Bảo đảm che chắn không để vật liệu thi công rơi từ trên cao xuống trong suốt quá trình thi công các tầng của công trình. Phải bố trí biển báo, đèn cảnh báo (vào ban đêm) tại những khu vực nguy hiểm, có thể xảy ra tai nạn trong công trườ</w:t>
      </w:r>
      <w:r w:rsidR="00B44AA4">
        <w:rPr>
          <w:rFonts w:eastAsia="Calibri"/>
          <w:sz w:val="28"/>
          <w:szCs w:val="28"/>
          <w:shd w:val="clear" w:color="auto" w:fill="FFFFFF"/>
          <w:lang w:val="es-ES" w:eastAsia="vi-VN"/>
        </w:rPr>
        <w:t xml:space="preserve">ng. </w:t>
      </w:r>
      <w:r w:rsidRPr="008D3AAE">
        <w:rPr>
          <w:rFonts w:eastAsia="Calibri"/>
          <w:sz w:val="28"/>
          <w:szCs w:val="28"/>
          <w:shd w:val="clear" w:color="auto" w:fill="FFFFFF"/>
          <w:lang w:val="es-ES" w:eastAsia="vi-VN"/>
        </w:rPr>
        <w:t>Trên công trường phải bố trí hệ thống đèn chiếu sáng đầy đủ trên các tuyên đường giao thông đi lại và các khu vực đang thi công vào ban đêm, không cho phép làm việc ở những nơi không được chiếu sang đầy đủ.</w:t>
      </w:r>
    </w:p>
    <w:p w14:paraId="24CAF7C5" w14:textId="028F3200" w:rsidR="00696B0C" w:rsidRPr="008D3AAE" w:rsidRDefault="00A52E83" w:rsidP="008D3AAE">
      <w:pPr>
        <w:spacing w:before="120"/>
        <w:ind w:firstLine="567"/>
        <w:rPr>
          <w:sz w:val="28"/>
          <w:szCs w:val="28"/>
          <w:shd w:val="clear" w:color="auto" w:fill="FFFFFF"/>
          <w:lang w:eastAsia="vi-VN"/>
        </w:rPr>
      </w:pPr>
      <w:r>
        <w:rPr>
          <w:b/>
          <w:bCs/>
          <w:sz w:val="28"/>
          <w:szCs w:val="28"/>
          <w:lang w:val="es-ES"/>
        </w:rPr>
        <w:t>8</w:t>
      </w:r>
      <w:r w:rsidR="00696B0C" w:rsidRPr="008D3AAE">
        <w:rPr>
          <w:b/>
          <w:bCs/>
          <w:sz w:val="28"/>
          <w:szCs w:val="28"/>
          <w:lang w:val="es-ES"/>
        </w:rPr>
        <w:t>. Yêu cầu khác</w:t>
      </w:r>
    </w:p>
    <w:p w14:paraId="198FFD69" w14:textId="77777777" w:rsidR="00696B0C" w:rsidRPr="008D3AAE" w:rsidRDefault="00696B0C" w:rsidP="008D3AAE">
      <w:pPr>
        <w:widowControl w:val="0"/>
        <w:autoSpaceDE w:val="0"/>
        <w:autoSpaceDN w:val="0"/>
        <w:adjustRightInd w:val="0"/>
        <w:spacing w:before="120"/>
        <w:ind w:right="-14" w:firstLine="567"/>
        <w:rPr>
          <w:b/>
          <w:sz w:val="28"/>
          <w:szCs w:val="28"/>
          <w:lang w:val="es-ES"/>
        </w:rPr>
      </w:pPr>
      <w:r w:rsidRPr="008D3AAE">
        <w:rPr>
          <w:sz w:val="28"/>
          <w:szCs w:val="28"/>
          <w:lang w:val="vi-VN" w:eastAsia="vi-VN"/>
        </w:rPr>
        <w:t>Nhà thầu cần xem rõ các yêu cầu khác của gói thầu được nêu tại Bản vẽ thiết kế và thuyết minh thiết kế được phát hành cùng với hồ sơ mời thầu</w:t>
      </w:r>
      <w:r w:rsidRPr="008D3AAE">
        <w:rPr>
          <w:sz w:val="28"/>
          <w:szCs w:val="28"/>
          <w:lang w:val="es-ES" w:eastAsia="vi-VN"/>
        </w:rPr>
        <w:t>.</w:t>
      </w:r>
    </w:p>
    <w:p w14:paraId="43F96B81" w14:textId="77777777" w:rsidR="00AF4D2D" w:rsidRPr="00C13EE6" w:rsidRDefault="00AF4D2D" w:rsidP="002A255C">
      <w:pPr>
        <w:widowControl w:val="0"/>
        <w:spacing w:before="120" w:after="120" w:line="264" w:lineRule="auto"/>
        <w:ind w:firstLine="567"/>
        <w:rPr>
          <w:b/>
          <w:sz w:val="28"/>
          <w:szCs w:val="28"/>
        </w:rPr>
      </w:pPr>
      <w:r w:rsidRPr="00C13EE6">
        <w:rPr>
          <w:b/>
          <w:sz w:val="28"/>
          <w:szCs w:val="28"/>
        </w:rPr>
        <w:t>III. Các bản vẽ</w:t>
      </w:r>
    </w:p>
    <w:p w14:paraId="529DFCD8" w14:textId="77777777" w:rsidR="00AF4D2D" w:rsidRPr="005B41F0" w:rsidRDefault="00AF4D2D" w:rsidP="002A255C">
      <w:pPr>
        <w:widowControl w:val="0"/>
        <w:spacing w:before="120" w:after="120" w:line="264" w:lineRule="auto"/>
        <w:ind w:firstLine="567"/>
        <w:rPr>
          <w:color w:val="C00000"/>
          <w:sz w:val="28"/>
          <w:szCs w:val="28"/>
        </w:rPr>
      </w:pPr>
      <w:r w:rsidRPr="005B41F0">
        <w:rPr>
          <w:color w:val="C00000"/>
          <w:sz w:val="28"/>
          <w:szCs w:val="28"/>
        </w:rPr>
        <w:lastRenderedPageBreak/>
        <w:t>Liệt kê các bản vẽ</w:t>
      </w:r>
      <w:r w:rsidRPr="005B41F0">
        <w:rPr>
          <w:rStyle w:val="FootnoteReference"/>
          <w:rFonts w:eastAsia="MS Gothic"/>
          <w:color w:val="C00000"/>
          <w:sz w:val="28"/>
          <w:szCs w:val="28"/>
        </w:rPr>
        <w:footnoteReference w:id="1"/>
      </w:r>
      <w:r w:rsidRPr="005B41F0">
        <w:rPr>
          <w:color w:val="C00000"/>
          <w:sz w:val="28"/>
          <w:szCs w:val="28"/>
        </w:rPr>
        <w:t>. Chi tiết file bản vẽ kèm theo</w:t>
      </w:r>
      <w:r w:rsidR="00DE4A8F">
        <w:rPr>
          <w:color w:val="C00000"/>
          <w:sz w:val="28"/>
          <w:szCs w:val="28"/>
        </w:rPr>
        <w:t xml:space="preserve"> HSMT</w:t>
      </w:r>
    </w:p>
    <w:sectPr w:rsidR="00AF4D2D" w:rsidRPr="005B41F0" w:rsidSect="00FB46F8">
      <w:headerReference w:type="default" r:id="rId7"/>
      <w:pgSz w:w="11907" w:h="16839" w:code="9"/>
      <w:pgMar w:top="1204"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ABF4" w14:textId="77777777" w:rsidR="00E01D30" w:rsidRDefault="00E01D30" w:rsidP="00AF4D2D">
      <w:r>
        <w:separator/>
      </w:r>
    </w:p>
  </w:endnote>
  <w:endnote w:type="continuationSeparator" w:id="0">
    <w:p w14:paraId="5EB70275" w14:textId="77777777" w:rsidR="00E01D30" w:rsidRDefault="00E01D30" w:rsidP="00AF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B4B0" w14:textId="77777777" w:rsidR="00E01D30" w:rsidRDefault="00E01D30" w:rsidP="00AF4D2D">
      <w:r>
        <w:separator/>
      </w:r>
    </w:p>
  </w:footnote>
  <w:footnote w:type="continuationSeparator" w:id="0">
    <w:p w14:paraId="708F9771" w14:textId="77777777" w:rsidR="00E01D30" w:rsidRDefault="00E01D30" w:rsidP="00AF4D2D">
      <w:r>
        <w:continuationSeparator/>
      </w:r>
    </w:p>
  </w:footnote>
  <w:footnote w:id="1">
    <w:p w14:paraId="2869045F" w14:textId="77777777" w:rsidR="00AF4D2D" w:rsidRDefault="00AF4D2D" w:rsidP="00AF4D2D">
      <w:pPr>
        <w:pStyle w:val="FootnoteText"/>
      </w:pPr>
      <w:r>
        <w:rPr>
          <w:rStyle w:val="FootnoteReference"/>
          <w:rFonts w:eastAsia="MS Gothic"/>
        </w:rPr>
        <w:footnoteRef/>
      </w:r>
      <w:r>
        <w:t xml:space="preserve"> Chủ đầu tư căn cứ pháp luật về xây dựng để đưa ra danh mục các bản vẽ cho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079650"/>
      <w:docPartObj>
        <w:docPartGallery w:val="Page Numbers (Top of Page)"/>
        <w:docPartUnique/>
      </w:docPartObj>
    </w:sdtPr>
    <w:sdtEndPr>
      <w:rPr>
        <w:noProof/>
      </w:rPr>
    </w:sdtEndPr>
    <w:sdtContent>
      <w:p w14:paraId="21378B49" w14:textId="77777777" w:rsidR="00F2316B" w:rsidRDefault="00F2316B" w:rsidP="00F2316B">
        <w:pPr>
          <w:pStyle w:val="Header"/>
          <w:jc w:val="center"/>
        </w:pPr>
        <w:r>
          <w:fldChar w:fldCharType="begin"/>
        </w:r>
        <w:r>
          <w:instrText xml:space="preserve"> PAGE   \* MERGEFORMAT </w:instrText>
        </w:r>
        <w:r>
          <w:fldChar w:fldCharType="separate"/>
        </w:r>
        <w:r w:rsidR="00EB5AD8">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D560518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F4B618B"/>
    <w:multiLevelType w:val="singleLevel"/>
    <w:tmpl w:val="2E3874F4"/>
    <w:lvl w:ilvl="0">
      <w:start w:val="1"/>
      <w:numFmt w:val="bullet"/>
      <w:pStyle w:val="MTDisplayEquation"/>
      <w:lvlText w:val="-"/>
      <w:lvlJc w:val="left"/>
      <w:pPr>
        <w:tabs>
          <w:tab w:val="num" w:pos="3760"/>
        </w:tabs>
        <w:ind w:left="3457" w:hanging="57"/>
      </w:pPr>
      <w:rPr>
        <w:rFonts w:ascii="Times New Roman" w:hAnsi="Times New Roman" w:hint="default"/>
      </w:rPr>
    </w:lvl>
  </w:abstractNum>
  <w:abstractNum w:abstractNumId="3" w15:restartNumberingAfterBreak="0">
    <w:nsid w:val="0F9212A7"/>
    <w:multiLevelType w:val="hybridMultilevel"/>
    <w:tmpl w:val="42F4F584"/>
    <w:lvl w:ilvl="0" w:tplc="A57CF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8EA"/>
    <w:multiLevelType w:val="hybridMultilevel"/>
    <w:tmpl w:val="8222B66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2244AD"/>
    <w:multiLevelType w:val="hybridMultilevel"/>
    <w:tmpl w:val="B0FAF562"/>
    <w:lvl w:ilvl="0" w:tplc="2AE0511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8DC3AB4"/>
    <w:multiLevelType w:val="hybridMultilevel"/>
    <w:tmpl w:val="0B3AEDF0"/>
    <w:lvl w:ilvl="0" w:tplc="A2621466">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15:restartNumberingAfterBreak="0">
    <w:nsid w:val="2B744B46"/>
    <w:multiLevelType w:val="hybridMultilevel"/>
    <w:tmpl w:val="0804CF8E"/>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8" w15:restartNumberingAfterBreak="0">
    <w:nsid w:val="3AA05827"/>
    <w:multiLevelType w:val="hybridMultilevel"/>
    <w:tmpl w:val="B0D42810"/>
    <w:lvl w:ilvl="0" w:tplc="7B8AF534">
      <w:numFmt w:val="bullet"/>
      <w:lvlText w:val="-"/>
      <w:lvlJc w:val="left"/>
      <w:pPr>
        <w:ind w:left="1070" w:hanging="360"/>
      </w:pPr>
      <w:rPr>
        <w:rFonts w:ascii="Times New Roman" w:eastAsia="Times New Roman" w:hAnsi="Times New Roman" w:cs="Times New Roman"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402F7EC6"/>
    <w:multiLevelType w:val="multilevel"/>
    <w:tmpl w:val="E62852A4"/>
    <w:lvl w:ilvl="0">
      <w:start w:val="1"/>
      <w:numFmt w:val="decimal"/>
      <w:lvlText w:val="%1."/>
      <w:lvlJc w:val="left"/>
      <w:pPr>
        <w:ind w:left="927" w:hanging="360"/>
      </w:pPr>
      <w:rPr>
        <w:rFonts w:hint="default"/>
        <w:color w:val="auto"/>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14E1D5F"/>
    <w:multiLevelType w:val="hybridMultilevel"/>
    <w:tmpl w:val="12500122"/>
    <w:lvl w:ilvl="0" w:tplc="A0B4BAF4">
      <w:start w:val="7"/>
      <w:numFmt w:val="bullet"/>
      <w:lvlText w:val="-"/>
      <w:lvlJc w:val="left"/>
      <w:pPr>
        <w:tabs>
          <w:tab w:val="num" w:pos="1070"/>
        </w:tabs>
        <w:ind w:left="1070" w:hanging="360"/>
      </w:pPr>
      <w:rPr>
        <w:rFonts w:ascii="VNI-Times" w:eastAsia="Times New Roman" w:hAnsi="VNI-Times" w:hint="default"/>
        <w:b w:val="0"/>
        <w:bCs w:val="0"/>
        <w:sz w:val="24"/>
        <w:szCs w:val="24"/>
      </w:rPr>
    </w:lvl>
    <w:lvl w:ilvl="1" w:tplc="04090003">
      <w:start w:val="1"/>
      <w:numFmt w:val="bullet"/>
      <w:lvlText w:val="o"/>
      <w:lvlJc w:val="left"/>
      <w:pPr>
        <w:tabs>
          <w:tab w:val="num" w:pos="1070"/>
        </w:tabs>
        <w:ind w:left="1070" w:hanging="360"/>
      </w:pPr>
      <w:rPr>
        <w:rFonts w:ascii="VNI-Times" w:hAnsi="VNI-Times" w:cs="VNI-Times" w:hint="default"/>
      </w:rPr>
    </w:lvl>
    <w:lvl w:ilvl="2" w:tplc="04090005">
      <w:start w:val="1"/>
      <w:numFmt w:val="bullet"/>
      <w:lvlText w:val=""/>
      <w:lvlJc w:val="left"/>
      <w:pPr>
        <w:tabs>
          <w:tab w:val="num" w:pos="1790"/>
        </w:tabs>
        <w:ind w:left="1790" w:hanging="360"/>
      </w:pPr>
      <w:rPr>
        <w:rFonts w:ascii="VNI-Times" w:hAnsi="VNI-Times" w:cs="VNI-Times" w:hint="default"/>
      </w:rPr>
    </w:lvl>
    <w:lvl w:ilvl="3" w:tplc="04090001">
      <w:start w:val="1"/>
      <w:numFmt w:val="bullet"/>
      <w:lvlText w:val=""/>
      <w:lvlJc w:val="left"/>
      <w:pPr>
        <w:tabs>
          <w:tab w:val="num" w:pos="2510"/>
        </w:tabs>
        <w:ind w:left="2510" w:hanging="360"/>
      </w:pPr>
      <w:rPr>
        <w:rFonts w:ascii="VNI-Times" w:hAnsi="VNI-Times" w:cs="VNI-Times" w:hint="default"/>
      </w:rPr>
    </w:lvl>
    <w:lvl w:ilvl="4" w:tplc="04090003">
      <w:start w:val="1"/>
      <w:numFmt w:val="bullet"/>
      <w:lvlText w:val="o"/>
      <w:lvlJc w:val="left"/>
      <w:pPr>
        <w:tabs>
          <w:tab w:val="num" w:pos="3230"/>
        </w:tabs>
        <w:ind w:left="3230" w:hanging="360"/>
      </w:pPr>
      <w:rPr>
        <w:rFonts w:ascii="VNI-Times" w:hAnsi="VNI-Times" w:cs="VNI-Times" w:hint="default"/>
      </w:rPr>
    </w:lvl>
    <w:lvl w:ilvl="5" w:tplc="04090005">
      <w:start w:val="1"/>
      <w:numFmt w:val="bullet"/>
      <w:lvlText w:val=""/>
      <w:lvlJc w:val="left"/>
      <w:pPr>
        <w:tabs>
          <w:tab w:val="num" w:pos="3950"/>
        </w:tabs>
        <w:ind w:left="3950" w:hanging="360"/>
      </w:pPr>
      <w:rPr>
        <w:rFonts w:ascii="VNI-Times" w:hAnsi="VNI-Times" w:cs="VNI-Times" w:hint="default"/>
      </w:rPr>
    </w:lvl>
    <w:lvl w:ilvl="6" w:tplc="04090001">
      <w:start w:val="1"/>
      <w:numFmt w:val="bullet"/>
      <w:lvlText w:val=""/>
      <w:lvlJc w:val="left"/>
      <w:pPr>
        <w:tabs>
          <w:tab w:val="num" w:pos="4670"/>
        </w:tabs>
        <w:ind w:left="4670" w:hanging="360"/>
      </w:pPr>
      <w:rPr>
        <w:rFonts w:ascii="VNI-Times" w:hAnsi="VNI-Times" w:cs="VNI-Times" w:hint="default"/>
      </w:rPr>
    </w:lvl>
    <w:lvl w:ilvl="7" w:tplc="04090003">
      <w:start w:val="1"/>
      <w:numFmt w:val="bullet"/>
      <w:lvlText w:val="o"/>
      <w:lvlJc w:val="left"/>
      <w:pPr>
        <w:tabs>
          <w:tab w:val="num" w:pos="5390"/>
        </w:tabs>
        <w:ind w:left="5390" w:hanging="360"/>
      </w:pPr>
      <w:rPr>
        <w:rFonts w:ascii="VNI-Times" w:hAnsi="VNI-Times" w:cs="VNI-Times" w:hint="default"/>
      </w:rPr>
    </w:lvl>
    <w:lvl w:ilvl="8" w:tplc="04090005">
      <w:start w:val="1"/>
      <w:numFmt w:val="bullet"/>
      <w:lvlText w:val=""/>
      <w:lvlJc w:val="left"/>
      <w:pPr>
        <w:tabs>
          <w:tab w:val="num" w:pos="6110"/>
        </w:tabs>
        <w:ind w:left="6110" w:hanging="360"/>
      </w:pPr>
      <w:rPr>
        <w:rFonts w:ascii="VNI-Times" w:hAnsi="VNI-Times" w:cs="VNI-Times" w:hint="default"/>
      </w:rPr>
    </w:lvl>
  </w:abstractNum>
  <w:abstractNum w:abstractNumId="11" w15:restartNumberingAfterBreak="0">
    <w:nsid w:val="63EB0D2B"/>
    <w:multiLevelType w:val="hybridMultilevel"/>
    <w:tmpl w:val="BDE69CC0"/>
    <w:lvl w:ilvl="0" w:tplc="ED56A02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FE87119"/>
    <w:multiLevelType w:val="hybridMultilevel"/>
    <w:tmpl w:val="6A6E9F94"/>
    <w:lvl w:ilvl="0" w:tplc="AAF885B2">
      <w:start w:val="3"/>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7B9E3903"/>
    <w:multiLevelType w:val="hybridMultilevel"/>
    <w:tmpl w:val="DFB4A544"/>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904216578">
    <w:abstractNumId w:val="11"/>
  </w:num>
  <w:num w:numId="2" w16cid:durableId="1708604984">
    <w:abstractNumId w:val="12"/>
  </w:num>
  <w:num w:numId="3" w16cid:durableId="1711028759">
    <w:abstractNumId w:val="13"/>
  </w:num>
  <w:num w:numId="4" w16cid:durableId="382825137">
    <w:abstractNumId w:val="8"/>
  </w:num>
  <w:num w:numId="5" w16cid:durableId="1361395811">
    <w:abstractNumId w:val="9"/>
  </w:num>
  <w:num w:numId="6" w16cid:durableId="483358554">
    <w:abstractNumId w:val="10"/>
  </w:num>
  <w:num w:numId="7" w16cid:durableId="931082674">
    <w:abstractNumId w:val="3"/>
  </w:num>
  <w:num w:numId="8" w16cid:durableId="1800104577">
    <w:abstractNumId w:val="7"/>
  </w:num>
  <w:num w:numId="9" w16cid:durableId="32310364">
    <w:abstractNumId w:val="4"/>
  </w:num>
  <w:num w:numId="10" w16cid:durableId="755636750">
    <w:abstractNumId w:val="0"/>
  </w:num>
  <w:num w:numId="11" w16cid:durableId="247545072">
    <w:abstractNumId w:val="1"/>
  </w:num>
  <w:num w:numId="12" w16cid:durableId="1550143079">
    <w:abstractNumId w:val="6"/>
  </w:num>
  <w:num w:numId="13" w16cid:durableId="1181509739">
    <w:abstractNumId w:val="5"/>
  </w:num>
  <w:num w:numId="14" w16cid:durableId="137882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2D"/>
    <w:rsid w:val="00003F2E"/>
    <w:rsid w:val="000179F1"/>
    <w:rsid w:val="00024D35"/>
    <w:rsid w:val="000444FF"/>
    <w:rsid w:val="0007662A"/>
    <w:rsid w:val="000C28A1"/>
    <w:rsid w:val="000C6359"/>
    <w:rsid w:val="000D22EE"/>
    <w:rsid w:val="000F36C6"/>
    <w:rsid w:val="0012404F"/>
    <w:rsid w:val="001542D6"/>
    <w:rsid w:val="00182F68"/>
    <w:rsid w:val="00194357"/>
    <w:rsid w:val="001A5CB5"/>
    <w:rsid w:val="001B3472"/>
    <w:rsid w:val="001D0296"/>
    <w:rsid w:val="00200D6E"/>
    <w:rsid w:val="002021D6"/>
    <w:rsid w:val="00257C81"/>
    <w:rsid w:val="00282D66"/>
    <w:rsid w:val="002835AA"/>
    <w:rsid w:val="002A255C"/>
    <w:rsid w:val="002C3CEA"/>
    <w:rsid w:val="002C72FB"/>
    <w:rsid w:val="002F5530"/>
    <w:rsid w:val="0036214D"/>
    <w:rsid w:val="00362182"/>
    <w:rsid w:val="00376663"/>
    <w:rsid w:val="003B7BA0"/>
    <w:rsid w:val="003D3253"/>
    <w:rsid w:val="003D6E74"/>
    <w:rsid w:val="00462FA0"/>
    <w:rsid w:val="004663F3"/>
    <w:rsid w:val="004753CA"/>
    <w:rsid w:val="0048223F"/>
    <w:rsid w:val="004A1AB5"/>
    <w:rsid w:val="004E5FE0"/>
    <w:rsid w:val="004E720A"/>
    <w:rsid w:val="004F7FC0"/>
    <w:rsid w:val="0050652E"/>
    <w:rsid w:val="00522AAD"/>
    <w:rsid w:val="0054017A"/>
    <w:rsid w:val="00547D3F"/>
    <w:rsid w:val="0055722A"/>
    <w:rsid w:val="005573DD"/>
    <w:rsid w:val="00575EF3"/>
    <w:rsid w:val="005B05C3"/>
    <w:rsid w:val="00601B1C"/>
    <w:rsid w:val="0061024F"/>
    <w:rsid w:val="00617450"/>
    <w:rsid w:val="00696B0C"/>
    <w:rsid w:val="006B0BB3"/>
    <w:rsid w:val="006C111C"/>
    <w:rsid w:val="006F5FC6"/>
    <w:rsid w:val="006F693E"/>
    <w:rsid w:val="00700A9A"/>
    <w:rsid w:val="00702F2D"/>
    <w:rsid w:val="00740066"/>
    <w:rsid w:val="0074673E"/>
    <w:rsid w:val="00755339"/>
    <w:rsid w:val="0077642E"/>
    <w:rsid w:val="0078744F"/>
    <w:rsid w:val="00794E25"/>
    <w:rsid w:val="007A5CE7"/>
    <w:rsid w:val="007C0AA7"/>
    <w:rsid w:val="007D1ADB"/>
    <w:rsid w:val="007F6FFD"/>
    <w:rsid w:val="00802E80"/>
    <w:rsid w:val="008127A7"/>
    <w:rsid w:val="0082189E"/>
    <w:rsid w:val="00834E8E"/>
    <w:rsid w:val="008A196D"/>
    <w:rsid w:val="008C5C1B"/>
    <w:rsid w:val="008D2B64"/>
    <w:rsid w:val="008D3AAE"/>
    <w:rsid w:val="008D70B8"/>
    <w:rsid w:val="008F18F6"/>
    <w:rsid w:val="00904255"/>
    <w:rsid w:val="00905AE6"/>
    <w:rsid w:val="0090792A"/>
    <w:rsid w:val="0095323E"/>
    <w:rsid w:val="009637E8"/>
    <w:rsid w:val="0098772D"/>
    <w:rsid w:val="00987C82"/>
    <w:rsid w:val="009A57B1"/>
    <w:rsid w:val="009A6E87"/>
    <w:rsid w:val="009E2F97"/>
    <w:rsid w:val="00A25C2B"/>
    <w:rsid w:val="00A25F79"/>
    <w:rsid w:val="00A42A50"/>
    <w:rsid w:val="00A52E83"/>
    <w:rsid w:val="00AA239E"/>
    <w:rsid w:val="00AE24E2"/>
    <w:rsid w:val="00AF35B4"/>
    <w:rsid w:val="00AF4D2D"/>
    <w:rsid w:val="00B13FB2"/>
    <w:rsid w:val="00B341BB"/>
    <w:rsid w:val="00B34ADC"/>
    <w:rsid w:val="00B412BE"/>
    <w:rsid w:val="00B44AA4"/>
    <w:rsid w:val="00B46DE8"/>
    <w:rsid w:val="00B70BD6"/>
    <w:rsid w:val="00B810F9"/>
    <w:rsid w:val="00BA38D0"/>
    <w:rsid w:val="00BA6CBA"/>
    <w:rsid w:val="00BB29AB"/>
    <w:rsid w:val="00BB62E2"/>
    <w:rsid w:val="00BF2059"/>
    <w:rsid w:val="00BF70BB"/>
    <w:rsid w:val="00C01380"/>
    <w:rsid w:val="00C03F0A"/>
    <w:rsid w:val="00C16DA7"/>
    <w:rsid w:val="00C22A71"/>
    <w:rsid w:val="00C5089F"/>
    <w:rsid w:val="00C64AEF"/>
    <w:rsid w:val="00C74FB1"/>
    <w:rsid w:val="00C917DD"/>
    <w:rsid w:val="00CF430F"/>
    <w:rsid w:val="00D13B02"/>
    <w:rsid w:val="00D1460D"/>
    <w:rsid w:val="00D14C50"/>
    <w:rsid w:val="00D21CEF"/>
    <w:rsid w:val="00D84FD0"/>
    <w:rsid w:val="00DA0616"/>
    <w:rsid w:val="00DB3CD7"/>
    <w:rsid w:val="00DE34E8"/>
    <w:rsid w:val="00DE4A8F"/>
    <w:rsid w:val="00DF0204"/>
    <w:rsid w:val="00DF6137"/>
    <w:rsid w:val="00E01D30"/>
    <w:rsid w:val="00E03578"/>
    <w:rsid w:val="00E71F86"/>
    <w:rsid w:val="00E82BF8"/>
    <w:rsid w:val="00EB5AD8"/>
    <w:rsid w:val="00F040C6"/>
    <w:rsid w:val="00F2316B"/>
    <w:rsid w:val="00F25A96"/>
    <w:rsid w:val="00F4741A"/>
    <w:rsid w:val="00F62416"/>
    <w:rsid w:val="00FB1207"/>
    <w:rsid w:val="00FB46F8"/>
    <w:rsid w:val="00FB5341"/>
    <w:rsid w:val="00FC3E98"/>
    <w:rsid w:val="00FD5AC8"/>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84C6"/>
  <w15:docId w15:val="{7CD410F3-760B-4BAD-AAA3-056534C9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2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F4D2D"/>
    <w:pPr>
      <w:tabs>
        <w:tab w:val="left" w:pos="360"/>
      </w:tabs>
      <w:ind w:left="360" w:hanging="360"/>
    </w:pPr>
    <w:rPr>
      <w:sz w:val="20"/>
    </w:rPr>
  </w:style>
  <w:style w:type="character" w:customStyle="1" w:styleId="FootnoteTextChar">
    <w:name w:val="Footnote Text Char"/>
    <w:basedOn w:val="DefaultParagraphFont"/>
    <w:link w:val="FootnoteText"/>
    <w:rsid w:val="00AF4D2D"/>
    <w:rPr>
      <w:rFonts w:ascii="Times New Roman" w:eastAsia="Times New Roman" w:hAnsi="Times New Roman" w:cs="Times New Roman"/>
      <w:sz w:val="20"/>
      <w:szCs w:val="20"/>
    </w:rPr>
  </w:style>
  <w:style w:type="character" w:styleId="FootnoteReference">
    <w:name w:val="footnote reference"/>
    <w:semiHidden/>
    <w:rsid w:val="00AF4D2D"/>
    <w:rPr>
      <w:vertAlign w:val="superscript"/>
    </w:rPr>
  </w:style>
  <w:style w:type="paragraph" w:customStyle="1" w:styleId="Section4heading">
    <w:name w:val="Section 4 heading"/>
    <w:basedOn w:val="Normal"/>
    <w:next w:val="Normal"/>
    <w:rsid w:val="00AF4D2D"/>
    <w:pPr>
      <w:widowControl w:val="0"/>
      <w:tabs>
        <w:tab w:val="left" w:leader="dot" w:pos="8748"/>
      </w:tabs>
      <w:autoSpaceDE w:val="0"/>
      <w:autoSpaceDN w:val="0"/>
      <w:spacing w:after="240"/>
      <w:jc w:val="center"/>
    </w:pPr>
    <w:rPr>
      <w:b/>
      <w:sz w:val="36"/>
      <w:szCs w:val="24"/>
    </w:rPr>
  </w:style>
  <w:style w:type="paragraph" w:styleId="ListParagraph">
    <w:name w:val="List Paragraph"/>
    <w:aliases w:val="dau,ghichuhinh,dau dong,DẦU THẤP,dau cham,Cong thuc,numbering,CHAM SAO,TLTK,Hình 1.xxx,Note,Dau cham vuong,Hình 1,xxx,footnote"/>
    <w:basedOn w:val="Normal"/>
    <w:link w:val="ListParagraphChar"/>
    <w:qFormat/>
    <w:rsid w:val="00AF4D2D"/>
    <w:pPr>
      <w:ind w:left="720"/>
      <w:contextualSpacing/>
    </w:pPr>
  </w:style>
  <w:style w:type="character" w:customStyle="1" w:styleId="ListParagraphChar">
    <w:name w:val="List Paragraph Char"/>
    <w:aliases w:val="dau Char,ghichuhinh Char,dau dong Char,DẦU THẤP Char,dau cham Char,Cong thuc Char,numbering Char,CHAM SAO Char,TLTK Char,Hình 1.xxx Char,Note Char,Dau cham vuong Char,Hình 1 Char,xxx Char,footnote Char"/>
    <w:link w:val="ListParagraph"/>
    <w:uiPriority w:val="34"/>
    <w:locked/>
    <w:rsid w:val="00AF4D2D"/>
    <w:rPr>
      <w:rFonts w:ascii="Times New Roman" w:eastAsia="Times New Roman" w:hAnsi="Times New Roman" w:cs="Times New Roman"/>
      <w:sz w:val="24"/>
      <w:szCs w:val="20"/>
    </w:rPr>
  </w:style>
  <w:style w:type="paragraph" w:styleId="Header">
    <w:name w:val="header"/>
    <w:aliases w:val="S-title"/>
    <w:basedOn w:val="Normal"/>
    <w:link w:val="HeaderChar"/>
    <w:uiPriority w:val="99"/>
    <w:rsid w:val="009A6E87"/>
    <w:pPr>
      <w:tabs>
        <w:tab w:val="center" w:pos="4153"/>
        <w:tab w:val="right" w:pos="8306"/>
      </w:tabs>
    </w:pPr>
    <w:rPr>
      <w:rFonts w:ascii="VNI-Centur" w:hAnsi="VNI-Centur" w:cs="VNI-Centur"/>
      <w:szCs w:val="24"/>
    </w:rPr>
  </w:style>
  <w:style w:type="character" w:customStyle="1" w:styleId="HeaderChar">
    <w:name w:val="Header Char"/>
    <w:aliases w:val="S-title Char"/>
    <w:basedOn w:val="DefaultParagraphFont"/>
    <w:link w:val="Header"/>
    <w:uiPriority w:val="99"/>
    <w:rsid w:val="009A6E87"/>
    <w:rPr>
      <w:rFonts w:ascii="VNI-Centur" w:eastAsia="Times New Roman" w:hAnsi="VNI-Centur" w:cs="VNI-Centur"/>
      <w:sz w:val="24"/>
      <w:szCs w:val="24"/>
    </w:rPr>
  </w:style>
  <w:style w:type="paragraph" w:styleId="BodyTextIndent">
    <w:name w:val="Body Text Indent"/>
    <w:basedOn w:val="Normal"/>
    <w:link w:val="BodyTextIndentChar"/>
    <w:uiPriority w:val="99"/>
    <w:semiHidden/>
    <w:rsid w:val="009A6E87"/>
    <w:pPr>
      <w:spacing w:before="120"/>
      <w:ind w:firstLine="851"/>
    </w:pPr>
    <w:rPr>
      <w:rFonts w:ascii="VNI-Times" w:hAnsi="VNI-Times" w:cs="VNI-Times"/>
      <w:sz w:val="26"/>
      <w:szCs w:val="26"/>
    </w:rPr>
  </w:style>
  <w:style w:type="character" w:customStyle="1" w:styleId="BodyTextIndentChar">
    <w:name w:val="Body Text Indent Char"/>
    <w:basedOn w:val="DefaultParagraphFont"/>
    <w:link w:val="BodyTextIndent"/>
    <w:uiPriority w:val="99"/>
    <w:semiHidden/>
    <w:rsid w:val="009A6E87"/>
    <w:rPr>
      <w:rFonts w:ascii="VNI-Times" w:eastAsia="Times New Roman" w:hAnsi="VNI-Times" w:cs="VNI-Times"/>
      <w:sz w:val="26"/>
      <w:szCs w:val="26"/>
    </w:rPr>
  </w:style>
  <w:style w:type="paragraph" w:styleId="Footer">
    <w:name w:val="footer"/>
    <w:basedOn w:val="Normal"/>
    <w:link w:val="FooterChar"/>
    <w:uiPriority w:val="99"/>
    <w:unhideWhenUsed/>
    <w:rsid w:val="00F2316B"/>
    <w:pPr>
      <w:tabs>
        <w:tab w:val="center" w:pos="4680"/>
        <w:tab w:val="right" w:pos="9360"/>
      </w:tabs>
    </w:pPr>
  </w:style>
  <w:style w:type="character" w:customStyle="1" w:styleId="FooterChar">
    <w:name w:val="Footer Char"/>
    <w:basedOn w:val="DefaultParagraphFont"/>
    <w:link w:val="Footer"/>
    <w:uiPriority w:val="99"/>
    <w:rsid w:val="00F2316B"/>
    <w:rPr>
      <w:rFonts w:ascii="Times New Roman" w:eastAsia="Times New Roman" w:hAnsi="Times New Roman" w:cs="Times New Roman"/>
      <w:sz w:val="24"/>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6F693E"/>
    <w:pPr>
      <w:widowControl w:val="0"/>
    </w:pPr>
    <w:rPr>
      <w:b/>
      <w:kern w:val="2"/>
      <w:szCs w:val="24"/>
      <w:lang w:eastAsia="zh-CN"/>
    </w:rPr>
  </w:style>
  <w:style w:type="paragraph" w:styleId="BalloonText">
    <w:name w:val="Balloon Text"/>
    <w:basedOn w:val="Normal"/>
    <w:link w:val="BalloonTextChar"/>
    <w:uiPriority w:val="99"/>
    <w:semiHidden/>
    <w:unhideWhenUsed/>
    <w:rsid w:val="007A5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CE7"/>
    <w:rPr>
      <w:rFonts w:ascii="Segoe UI" w:eastAsia="Times New Roman" w:hAnsi="Segoe UI" w:cs="Segoe UI"/>
      <w:sz w:val="18"/>
      <w:szCs w:val="18"/>
    </w:rPr>
  </w:style>
  <w:style w:type="paragraph" w:styleId="BodyText">
    <w:name w:val="Body Text"/>
    <w:basedOn w:val="Normal"/>
    <w:link w:val="BodyTextChar"/>
    <w:uiPriority w:val="99"/>
    <w:semiHidden/>
    <w:unhideWhenUsed/>
    <w:rsid w:val="0054017A"/>
    <w:pPr>
      <w:spacing w:after="120"/>
    </w:pPr>
  </w:style>
  <w:style w:type="character" w:customStyle="1" w:styleId="BodyTextChar">
    <w:name w:val="Body Text Char"/>
    <w:basedOn w:val="DefaultParagraphFont"/>
    <w:link w:val="BodyText"/>
    <w:uiPriority w:val="99"/>
    <w:semiHidden/>
    <w:rsid w:val="0054017A"/>
    <w:rPr>
      <w:rFonts w:ascii="Times New Roman" w:eastAsia="Times New Roman" w:hAnsi="Times New Roman" w:cs="Times New Roman"/>
      <w:sz w:val="24"/>
      <w:szCs w:val="20"/>
    </w:rPr>
  </w:style>
  <w:style w:type="paragraph" w:styleId="NormalWeb">
    <w:name w:val="Normal (Web)"/>
    <w:basedOn w:val="Normal"/>
    <w:rsid w:val="00794E25"/>
    <w:pPr>
      <w:spacing w:before="100" w:beforeAutospacing="1" w:after="100" w:afterAutospacing="1"/>
      <w:jc w:val="left"/>
    </w:pPr>
    <w:rPr>
      <w:szCs w:val="24"/>
    </w:rPr>
  </w:style>
  <w:style w:type="paragraph" w:customStyle="1" w:styleId="MTDisplayEquation">
    <w:name w:val="MTDisplayEquation"/>
    <w:basedOn w:val="Normal"/>
    <w:next w:val="Normal"/>
    <w:rsid w:val="00FF498C"/>
    <w:pPr>
      <w:numPr>
        <w:numId w:val="14"/>
      </w:numPr>
      <w:tabs>
        <w:tab w:val="center" w:pos="4920"/>
        <w:tab w:val="right" w:pos="9800"/>
      </w:tabs>
      <w:spacing w:after="120" w:line="288" w:lineRule="auto"/>
    </w:pPr>
    <w:rPr>
      <w:rFonts w:ascii="VNI-Times" w:hAnsi="VNI-Time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4538">
      <w:bodyDiv w:val="1"/>
      <w:marLeft w:val="0"/>
      <w:marRight w:val="0"/>
      <w:marTop w:val="0"/>
      <w:marBottom w:val="0"/>
      <w:divBdr>
        <w:top w:val="none" w:sz="0" w:space="0" w:color="auto"/>
        <w:left w:val="none" w:sz="0" w:space="0" w:color="auto"/>
        <w:bottom w:val="none" w:sz="0" w:space="0" w:color="auto"/>
        <w:right w:val="none" w:sz="0" w:space="0" w:color="auto"/>
      </w:divBdr>
    </w:div>
    <w:div w:id="167522975">
      <w:bodyDiv w:val="1"/>
      <w:marLeft w:val="0"/>
      <w:marRight w:val="0"/>
      <w:marTop w:val="0"/>
      <w:marBottom w:val="0"/>
      <w:divBdr>
        <w:top w:val="none" w:sz="0" w:space="0" w:color="auto"/>
        <w:left w:val="none" w:sz="0" w:space="0" w:color="auto"/>
        <w:bottom w:val="none" w:sz="0" w:space="0" w:color="auto"/>
        <w:right w:val="none" w:sz="0" w:space="0" w:color="auto"/>
      </w:divBdr>
    </w:div>
    <w:div w:id="250433671">
      <w:bodyDiv w:val="1"/>
      <w:marLeft w:val="0"/>
      <w:marRight w:val="0"/>
      <w:marTop w:val="0"/>
      <w:marBottom w:val="0"/>
      <w:divBdr>
        <w:top w:val="none" w:sz="0" w:space="0" w:color="auto"/>
        <w:left w:val="none" w:sz="0" w:space="0" w:color="auto"/>
        <w:bottom w:val="none" w:sz="0" w:space="0" w:color="auto"/>
        <w:right w:val="none" w:sz="0" w:space="0" w:color="auto"/>
      </w:divBdr>
    </w:div>
    <w:div w:id="299383971">
      <w:bodyDiv w:val="1"/>
      <w:marLeft w:val="0"/>
      <w:marRight w:val="0"/>
      <w:marTop w:val="0"/>
      <w:marBottom w:val="0"/>
      <w:divBdr>
        <w:top w:val="none" w:sz="0" w:space="0" w:color="auto"/>
        <w:left w:val="none" w:sz="0" w:space="0" w:color="auto"/>
        <w:bottom w:val="none" w:sz="0" w:space="0" w:color="auto"/>
        <w:right w:val="none" w:sz="0" w:space="0" w:color="auto"/>
      </w:divBdr>
    </w:div>
    <w:div w:id="1704666335">
      <w:bodyDiv w:val="1"/>
      <w:marLeft w:val="0"/>
      <w:marRight w:val="0"/>
      <w:marTop w:val="0"/>
      <w:marBottom w:val="0"/>
      <w:divBdr>
        <w:top w:val="none" w:sz="0" w:space="0" w:color="auto"/>
        <w:left w:val="none" w:sz="0" w:space="0" w:color="auto"/>
        <w:bottom w:val="none" w:sz="0" w:space="0" w:color="auto"/>
        <w:right w:val="none" w:sz="0" w:space="0" w:color="auto"/>
      </w:divBdr>
    </w:div>
    <w:div w:id="1791971914">
      <w:bodyDiv w:val="1"/>
      <w:marLeft w:val="0"/>
      <w:marRight w:val="0"/>
      <w:marTop w:val="0"/>
      <w:marBottom w:val="0"/>
      <w:divBdr>
        <w:top w:val="none" w:sz="0" w:space="0" w:color="auto"/>
        <w:left w:val="none" w:sz="0" w:space="0" w:color="auto"/>
        <w:bottom w:val="none" w:sz="0" w:space="0" w:color="auto"/>
        <w:right w:val="none" w:sz="0" w:space="0" w:color="auto"/>
      </w:divBdr>
    </w:div>
    <w:div w:id="1865287711">
      <w:bodyDiv w:val="1"/>
      <w:marLeft w:val="0"/>
      <w:marRight w:val="0"/>
      <w:marTop w:val="0"/>
      <w:marBottom w:val="0"/>
      <w:divBdr>
        <w:top w:val="none" w:sz="0" w:space="0" w:color="auto"/>
        <w:left w:val="none" w:sz="0" w:space="0" w:color="auto"/>
        <w:bottom w:val="none" w:sz="0" w:space="0" w:color="auto"/>
        <w:right w:val="none" w:sz="0" w:space="0" w:color="auto"/>
      </w:divBdr>
    </w:div>
    <w:div w:id="1909070776">
      <w:bodyDiv w:val="1"/>
      <w:marLeft w:val="0"/>
      <w:marRight w:val="0"/>
      <w:marTop w:val="0"/>
      <w:marBottom w:val="0"/>
      <w:divBdr>
        <w:top w:val="none" w:sz="0" w:space="0" w:color="auto"/>
        <w:left w:val="none" w:sz="0" w:space="0" w:color="auto"/>
        <w:bottom w:val="none" w:sz="0" w:space="0" w:color="auto"/>
        <w:right w:val="none" w:sz="0" w:space="0" w:color="auto"/>
      </w:divBdr>
    </w:div>
    <w:div w:id="21104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BLC</dc:creator>
  <cp:keywords/>
  <dc:description/>
  <cp:lastModifiedBy>BLC</cp:lastModifiedBy>
  <cp:revision>4</cp:revision>
  <cp:lastPrinted>2023-06-21T10:23:00Z</cp:lastPrinted>
  <dcterms:created xsi:type="dcterms:W3CDTF">2024-12-04T07:15:00Z</dcterms:created>
  <dcterms:modified xsi:type="dcterms:W3CDTF">2026-03-18T10:45:00Z</dcterms:modified>
</cp:coreProperties>
</file>