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52D9" w14:textId="77777777" w:rsidR="00E06203" w:rsidRPr="00E06203" w:rsidRDefault="00E06203" w:rsidP="00E06203">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 w:val="28"/>
          <w:szCs w:val="28"/>
          <w:lang w:val="nl-NL"/>
          <w14:ligatures w14:val="none"/>
        </w:rPr>
      </w:pPr>
      <w:r w:rsidRPr="00E06203">
        <w:rPr>
          <w:rFonts w:eastAsia="Times New Roman" w:cs="Times New Roman"/>
          <w:b/>
          <w:kern w:val="0"/>
          <w:sz w:val="28"/>
          <w:szCs w:val="28"/>
          <w:lang w:val="nl-NL"/>
          <w14:ligatures w14:val="none"/>
        </w:rPr>
        <w:t>Phần 2. YÊU CẦU VỀ KỸ THUẬT</w:t>
      </w:r>
    </w:p>
    <w:p w14:paraId="78B51AF5" w14:textId="77777777" w:rsidR="00E06203" w:rsidRPr="00E06203" w:rsidRDefault="00E06203" w:rsidP="00E06203">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 w:val="28"/>
          <w:szCs w:val="28"/>
          <w:lang w:val="vi-VN"/>
          <w14:ligatures w14:val="none"/>
        </w:rPr>
      </w:pPr>
      <w:r w:rsidRPr="00E06203">
        <w:rPr>
          <w:rFonts w:eastAsia="Times New Roman" w:cs="Times New Roman"/>
          <w:kern w:val="0"/>
          <w:sz w:val="28"/>
          <w:szCs w:val="28"/>
          <w:lang w:val="nl-NL"/>
          <w14:ligatures w14:val="none"/>
        </w:rPr>
        <w:t xml:space="preserve"> </w:t>
      </w:r>
      <w:r w:rsidRPr="00E06203">
        <w:rPr>
          <w:rFonts w:eastAsia="Times New Roman" w:cs="Times New Roman"/>
          <w:b/>
          <w:kern w:val="0"/>
          <w:sz w:val="28"/>
          <w:szCs w:val="28"/>
          <w:lang w:val="vi-VN"/>
          <w14:ligatures w14:val="none"/>
        </w:rPr>
        <w:t>Chương V. YÊU CẦU VỀ KỸ THUẬT</w:t>
      </w:r>
    </w:p>
    <w:p w14:paraId="56D817D2" w14:textId="77777777" w:rsidR="00E06203" w:rsidRPr="00E06203" w:rsidRDefault="00E06203" w:rsidP="00E06203">
      <w:pPr>
        <w:tabs>
          <w:tab w:val="left" w:pos="1418"/>
        </w:tabs>
        <w:spacing w:before="120" w:after="120" w:line="264" w:lineRule="auto"/>
        <w:ind w:firstLine="709"/>
        <w:jc w:val="both"/>
        <w:rPr>
          <w:rFonts w:eastAsia="Times New Roman" w:cs="Times New Roman"/>
          <w:b/>
          <w:kern w:val="0"/>
          <w:sz w:val="28"/>
          <w:szCs w:val="28"/>
          <w:lang w:val="vi-VN"/>
          <w14:ligatures w14:val="none"/>
        </w:rPr>
      </w:pPr>
      <w:r w:rsidRPr="00E06203">
        <w:rPr>
          <w:rFonts w:eastAsia="Times New Roman" w:cs="Times New Roman"/>
          <w:b/>
          <w:kern w:val="0"/>
          <w:sz w:val="28"/>
          <w:szCs w:val="28"/>
          <w:lang w:val="vi-VN"/>
          <w14:ligatures w14:val="none"/>
        </w:rPr>
        <w:t>I. Giới thiệu về gói thầu</w:t>
      </w:r>
    </w:p>
    <w:p w14:paraId="3B16C601" w14:textId="77777777" w:rsidR="00E06203" w:rsidRPr="00E06203" w:rsidRDefault="00E06203" w:rsidP="00E06203">
      <w:pPr>
        <w:tabs>
          <w:tab w:val="left" w:pos="1418"/>
        </w:tabs>
        <w:spacing w:before="120" w:after="120" w:line="264" w:lineRule="auto"/>
        <w:ind w:firstLine="709"/>
        <w:jc w:val="both"/>
        <w:rPr>
          <w:rFonts w:eastAsia="Times New Roman" w:cs="Times New Roman"/>
          <w:kern w:val="0"/>
          <w:sz w:val="28"/>
          <w:szCs w:val="28"/>
          <w14:ligatures w14:val="none"/>
        </w:rPr>
      </w:pPr>
      <w:r w:rsidRPr="00E06203">
        <w:rPr>
          <w:rFonts w:eastAsia="Times New Roman" w:cs="Times New Roman"/>
          <w:kern w:val="0"/>
          <w:sz w:val="28"/>
          <w:szCs w:val="28"/>
          <w:lang w:val="vi-VN"/>
          <w14:ligatures w14:val="none"/>
        </w:rPr>
        <w:t>1. Phạm vi công việc của gói thầu</w:t>
      </w:r>
      <w:r w:rsidRPr="00E06203">
        <w:rPr>
          <w:rFonts w:eastAsia="Times New Roman" w:cs="Times New Roman"/>
          <w:kern w:val="0"/>
          <w:sz w:val="28"/>
          <w:szCs w:val="28"/>
          <w14:ligatures w14:val="none"/>
        </w:rPr>
        <w:t>:</w:t>
      </w:r>
    </w:p>
    <w:p w14:paraId="73B6F1B9" w14:textId="77777777" w:rsidR="00E06203" w:rsidRPr="00E06203" w:rsidRDefault="00E06203" w:rsidP="00E06203">
      <w:pPr>
        <w:autoSpaceDE w:val="0"/>
        <w:autoSpaceDN w:val="0"/>
        <w:adjustRightInd w:val="0"/>
        <w:spacing w:after="0" w:line="240" w:lineRule="auto"/>
        <w:ind w:firstLine="709"/>
        <w:rPr>
          <w:rFonts w:eastAsia="MS Mincho" w:cs="Times New Roman"/>
          <w:color w:val="000000"/>
          <w:kern w:val="0"/>
          <w:sz w:val="28"/>
          <w:szCs w:val="28"/>
          <w14:ligatures w14:val="none"/>
        </w:rPr>
      </w:pPr>
      <w:r w:rsidRPr="00E06203">
        <w:rPr>
          <w:rFonts w:eastAsia="MS Mincho" w:cs="Times New Roman"/>
          <w:color w:val="000000"/>
          <w:kern w:val="0"/>
          <w:sz w:val="28"/>
          <w:szCs w:val="28"/>
          <w14:ligatures w14:val="none"/>
        </w:rPr>
        <w:t>- Căng tin bệnh nhân, kho thuốc đông y, kho thuốc tây y: Xây mới khối nhà 02 tầng.</w:t>
      </w:r>
    </w:p>
    <w:p w14:paraId="4C642C7C" w14:textId="77777777" w:rsidR="00E06203" w:rsidRPr="00E06203" w:rsidRDefault="00E06203" w:rsidP="00E06203">
      <w:pPr>
        <w:autoSpaceDE w:val="0"/>
        <w:autoSpaceDN w:val="0"/>
        <w:adjustRightInd w:val="0"/>
        <w:spacing w:after="0" w:line="240" w:lineRule="auto"/>
        <w:ind w:firstLine="709"/>
        <w:rPr>
          <w:rFonts w:eastAsia="MS Mincho" w:cs="Times New Roman"/>
          <w:color w:val="000000"/>
          <w:kern w:val="0"/>
          <w:sz w:val="28"/>
          <w:szCs w:val="28"/>
          <w14:ligatures w14:val="none"/>
        </w:rPr>
      </w:pPr>
      <w:r w:rsidRPr="00E06203">
        <w:rPr>
          <w:rFonts w:eastAsia="MS Mincho" w:cs="Times New Roman"/>
          <w:color w:val="000000"/>
          <w:kern w:val="0"/>
          <w:sz w:val="28"/>
          <w:szCs w:val="28"/>
          <w14:ligatures w14:val="none"/>
        </w:rPr>
        <w:t xml:space="preserve">- Cải tạo khu Y học cổ truyền: Cải tạo khu điều trị ngoại trú và Cải tạo khu vệ sinh </w:t>
      </w:r>
    </w:p>
    <w:p w14:paraId="3A0B68A4" w14:textId="77777777" w:rsidR="00E06203" w:rsidRPr="00E06203" w:rsidRDefault="00E06203" w:rsidP="00047C75">
      <w:pPr>
        <w:autoSpaceDE w:val="0"/>
        <w:autoSpaceDN w:val="0"/>
        <w:adjustRightInd w:val="0"/>
        <w:spacing w:after="0" w:line="240" w:lineRule="auto"/>
        <w:ind w:firstLine="709"/>
        <w:rPr>
          <w:rFonts w:eastAsia="MS Mincho" w:cs="Times New Roman"/>
          <w:color w:val="000000"/>
          <w:kern w:val="0"/>
          <w:sz w:val="28"/>
          <w:szCs w:val="28"/>
          <w14:ligatures w14:val="none"/>
        </w:rPr>
      </w:pPr>
      <w:r w:rsidRPr="00E06203">
        <w:rPr>
          <w:rFonts w:eastAsia="MS Mincho" w:cs="Times New Roman"/>
          <w:color w:val="000000"/>
          <w:kern w:val="0"/>
          <w:sz w:val="28"/>
          <w:szCs w:val="28"/>
          <w14:ligatures w14:val="none"/>
        </w:rPr>
        <w:t>- Hệ thống thu gom nước thải:</w:t>
      </w:r>
    </w:p>
    <w:p w14:paraId="62BA1C04" w14:textId="77777777" w:rsidR="00E06203" w:rsidRPr="00E06203" w:rsidRDefault="00E06203" w:rsidP="00047C75">
      <w:pPr>
        <w:autoSpaceDE w:val="0"/>
        <w:autoSpaceDN w:val="0"/>
        <w:adjustRightInd w:val="0"/>
        <w:spacing w:after="0" w:line="240" w:lineRule="auto"/>
        <w:ind w:firstLine="709"/>
        <w:rPr>
          <w:rFonts w:eastAsia="MS Mincho" w:cs="Times New Roman"/>
          <w:color w:val="000000"/>
          <w:kern w:val="0"/>
          <w:sz w:val="28"/>
          <w:szCs w:val="28"/>
          <w14:ligatures w14:val="none"/>
        </w:rPr>
      </w:pPr>
      <w:r w:rsidRPr="00E06203">
        <w:rPr>
          <w:rFonts w:eastAsia="MS Mincho" w:cs="Times New Roman"/>
          <w:color w:val="000000"/>
          <w:kern w:val="0"/>
          <w:sz w:val="28"/>
          <w:szCs w:val="28"/>
          <w14:ligatures w14:val="none"/>
        </w:rPr>
        <w:t>- Hệ thống phòng cháy, chữa cháy toàn công trình.</w:t>
      </w:r>
    </w:p>
    <w:p w14:paraId="18D1A763" w14:textId="77777777" w:rsidR="00E06203" w:rsidRPr="00E06203" w:rsidRDefault="00E06203" w:rsidP="00047C75">
      <w:pPr>
        <w:widowControl w:val="0"/>
        <w:tabs>
          <w:tab w:val="left" w:pos="1418"/>
        </w:tabs>
        <w:spacing w:before="120" w:after="120" w:line="264" w:lineRule="auto"/>
        <w:ind w:firstLine="709"/>
        <w:jc w:val="both"/>
        <w:rPr>
          <w:rFonts w:eastAsia="Times New Roman" w:cs="Times New Roman"/>
          <w:b/>
          <w:kern w:val="0"/>
          <w:sz w:val="28"/>
          <w:szCs w:val="28"/>
          <w14:ligatures w14:val="none"/>
        </w:rPr>
      </w:pPr>
      <w:r w:rsidRPr="00E06203">
        <w:rPr>
          <w:rFonts w:eastAsia="Times New Roman" w:cs="Times New Roman"/>
          <w:kern w:val="0"/>
          <w:sz w:val="28"/>
          <w:szCs w:val="28"/>
          <w:lang w:val="vi-VN"/>
          <w14:ligatures w14:val="none"/>
        </w:rPr>
        <w:t>2. Thời hạn hoàn thành</w:t>
      </w:r>
      <w:r w:rsidRPr="00E06203">
        <w:rPr>
          <w:rFonts w:eastAsia="Times New Roman" w:cs="Times New Roman"/>
          <w:kern w:val="0"/>
          <w:sz w:val="28"/>
          <w:szCs w:val="28"/>
          <w14:ligatures w14:val="none"/>
        </w:rPr>
        <w:t xml:space="preserve">: </w:t>
      </w:r>
      <w:r w:rsidRPr="00E06203">
        <w:rPr>
          <w:rFonts w:eastAsia="Times New Roman" w:cs="Times New Roman"/>
          <w:b/>
          <w:kern w:val="0"/>
          <w:sz w:val="28"/>
          <w:szCs w:val="28"/>
          <w14:ligatures w14:val="none"/>
        </w:rPr>
        <w:t>180 ngày</w:t>
      </w:r>
    </w:p>
    <w:p w14:paraId="3E0F43F4" w14:textId="77777777" w:rsidR="00E06203" w:rsidRPr="00E06203" w:rsidRDefault="00E06203" w:rsidP="00047C75">
      <w:pPr>
        <w:widowControl w:val="0"/>
        <w:spacing w:after="120" w:line="240" w:lineRule="auto"/>
        <w:ind w:firstLine="709"/>
        <w:jc w:val="both"/>
        <w:rPr>
          <w:rFonts w:eastAsia="Times New Roman" w:cs="Times New Roman"/>
          <w:kern w:val="0"/>
          <w:szCs w:val="26"/>
          <w:lang w:val="vi-VN"/>
          <w14:ligatures w14:val="none"/>
        </w:rPr>
      </w:pPr>
      <w:r w:rsidRPr="00E06203">
        <w:rPr>
          <w:rFonts w:eastAsia="Times New Roman" w:cs="Times New Roman"/>
          <w:kern w:val="0"/>
          <w:szCs w:val="26"/>
          <w:lang w:val="vi-VN"/>
          <w14:ligatures w14:val="none"/>
        </w:rPr>
        <w:t xml:space="preserve">3. Giá gói thầu đã bao gồm chi phí cho các loại thuế, phí, lệ phí và chi phí dự phòng (nếu có), trong đó thuế VAT là </w:t>
      </w:r>
      <w:r w:rsidRPr="00E06203">
        <w:rPr>
          <w:rFonts w:eastAsia="Times New Roman" w:cs="Times New Roman"/>
          <w:kern w:val="0"/>
          <w:szCs w:val="26"/>
          <w14:ligatures w14:val="none"/>
        </w:rPr>
        <w:t>08</w:t>
      </w:r>
      <w:r w:rsidRPr="00E06203">
        <w:rPr>
          <w:rFonts w:eastAsia="Times New Roman" w:cs="Times New Roman"/>
          <w:kern w:val="0"/>
          <w:szCs w:val="26"/>
          <w:lang w:val="vi-VN"/>
          <w14:ligatures w14:val="none"/>
        </w:rPr>
        <w:t>%.</w:t>
      </w:r>
    </w:p>
    <w:p w14:paraId="6AAEA9F3" w14:textId="77777777" w:rsidR="00E06203" w:rsidRPr="00E06203" w:rsidRDefault="00E06203" w:rsidP="00047C75">
      <w:pPr>
        <w:widowControl w:val="0"/>
        <w:tabs>
          <w:tab w:val="left" w:pos="1418"/>
        </w:tabs>
        <w:spacing w:before="120" w:after="120" w:line="264" w:lineRule="auto"/>
        <w:ind w:firstLine="709"/>
        <w:jc w:val="both"/>
        <w:rPr>
          <w:rFonts w:eastAsia="Times New Roman" w:cs="Times New Roman"/>
          <w:b/>
          <w:kern w:val="0"/>
          <w:sz w:val="28"/>
          <w:szCs w:val="28"/>
          <w:lang w:val="vi-VN"/>
          <w14:ligatures w14:val="none"/>
        </w:rPr>
      </w:pPr>
      <w:r w:rsidRPr="00E06203">
        <w:rPr>
          <w:rFonts w:eastAsia="Times New Roman" w:cs="Times New Roman"/>
          <w:b/>
          <w:kern w:val="0"/>
          <w:sz w:val="28"/>
          <w:szCs w:val="28"/>
          <w:lang w:val="vi-VN"/>
          <w14:ligatures w14:val="none"/>
        </w:rPr>
        <w:t>II. Yêu cầu về tiến độ thực hiện</w:t>
      </w:r>
    </w:p>
    <w:p w14:paraId="49BAC5F7" w14:textId="77777777" w:rsidR="00E06203" w:rsidRPr="00E06203" w:rsidRDefault="00E06203" w:rsidP="00047C75">
      <w:pPr>
        <w:widowControl w:val="0"/>
        <w:spacing w:after="120" w:line="240" w:lineRule="auto"/>
        <w:ind w:firstLine="709"/>
        <w:jc w:val="both"/>
        <w:rPr>
          <w:rFonts w:eastAsia="Times New Roman" w:cs="Times New Roman"/>
          <w:kern w:val="0"/>
          <w:szCs w:val="26"/>
          <w:lang w:val="es-ES"/>
          <w14:ligatures w14:val="none"/>
        </w:rPr>
      </w:pPr>
      <w:r w:rsidRPr="00E06203">
        <w:rPr>
          <w:rFonts w:eastAsia="Times New Roman" w:cs="Times New Roman"/>
          <w:kern w:val="0"/>
          <w:szCs w:val="26"/>
          <w:lang w:val="es-ES"/>
          <w14:ligatures w14:val="none"/>
        </w:rPr>
        <w:t xml:space="preserve">Thời gian từ khi khởi công </w:t>
      </w:r>
      <w:r w:rsidRPr="00E06203">
        <w:rPr>
          <w:rFonts w:eastAsia="Calibri" w:cs="Times New Roman"/>
          <w:kern w:val="24"/>
          <w:szCs w:val="26"/>
          <w:lang w:val="vi-VN" w:eastAsia="vi-VN"/>
          <w14:ligatures w14:val="none"/>
        </w:rPr>
        <w:t>đến</w:t>
      </w:r>
      <w:r w:rsidRPr="00E06203">
        <w:rPr>
          <w:rFonts w:eastAsia="Times New Roman" w:cs="Times New Roman"/>
          <w:kern w:val="0"/>
          <w:szCs w:val="26"/>
          <w:lang w:val="es-ES"/>
          <w14:ligatures w14:val="none"/>
        </w:rPr>
        <w:t xml:space="preserve"> khi hoàn thành hợp đồng: </w:t>
      </w:r>
      <w:r w:rsidRPr="00E06203">
        <w:rPr>
          <w:rFonts w:eastAsia="Times New Roman" w:cs="Times New Roman"/>
          <w:b/>
          <w:kern w:val="0"/>
          <w:szCs w:val="26"/>
          <w:lang w:val="es-ES"/>
          <w14:ligatures w14:val="none"/>
        </w:rPr>
        <w:t>180</w:t>
      </w:r>
      <w:r w:rsidRPr="00E06203">
        <w:rPr>
          <w:rFonts w:eastAsia="Times New Roman" w:cs="Times New Roman"/>
          <w:b/>
          <w:bCs/>
          <w:kern w:val="0"/>
          <w:szCs w:val="26"/>
          <w:lang w:val="es-ES"/>
          <w14:ligatures w14:val="none"/>
        </w:rPr>
        <w:t xml:space="preserve"> ngày.</w:t>
      </w:r>
    </w:p>
    <w:p w14:paraId="1D4963C8" w14:textId="77777777" w:rsidR="00E06203" w:rsidRPr="00E06203" w:rsidRDefault="00E06203" w:rsidP="00047C75">
      <w:pPr>
        <w:widowControl w:val="0"/>
        <w:tabs>
          <w:tab w:val="left" w:pos="1418"/>
        </w:tabs>
        <w:spacing w:before="120" w:after="120" w:line="264" w:lineRule="auto"/>
        <w:ind w:firstLine="709"/>
        <w:jc w:val="both"/>
        <w:rPr>
          <w:rFonts w:eastAsia="Times New Roman" w:cs="Times New Roman"/>
          <w:kern w:val="0"/>
          <w:sz w:val="28"/>
          <w:szCs w:val="28"/>
          <w:lang w:val="vi-VN"/>
          <w14:ligatures w14:val="none"/>
        </w:rPr>
      </w:pPr>
      <w:r w:rsidRPr="00E06203">
        <w:rPr>
          <w:rFonts w:eastAsia="Times New Roman" w:cs="Times New Roman"/>
          <w:kern w:val="0"/>
          <w:sz w:val="28"/>
          <w:szCs w:val="28"/>
          <w:lang w:val="vi-VN"/>
          <w14:ligatures w14:val="none"/>
        </w:rPr>
        <w:t>Trường hợp ngoài yêu cầu thời hạn hoàn thành cho toàn bộ công trình còn có yêu cầu tiến độ hoàn thành cho từng hạng mục công trình thì lập bảng yêu cầu tiến độ hoàn thành.</w:t>
      </w:r>
    </w:p>
    <w:p w14:paraId="2385BB56" w14:textId="77777777" w:rsidR="00E06203" w:rsidRPr="00E06203" w:rsidRDefault="00E06203" w:rsidP="00047C75">
      <w:pPr>
        <w:widowControl w:val="0"/>
        <w:tabs>
          <w:tab w:val="left" w:pos="700"/>
          <w:tab w:val="left" w:pos="1418"/>
        </w:tabs>
        <w:spacing w:before="120" w:after="120" w:line="264" w:lineRule="auto"/>
        <w:ind w:firstLine="709"/>
        <w:jc w:val="both"/>
        <w:rPr>
          <w:rFonts w:eastAsia="Times New Roman" w:cs="Times New Roman"/>
          <w:b/>
          <w:bCs/>
          <w:kern w:val="0"/>
          <w:sz w:val="28"/>
          <w:szCs w:val="28"/>
          <w14:ligatures w14:val="none"/>
        </w:rPr>
      </w:pPr>
      <w:r w:rsidRPr="00E06203">
        <w:rPr>
          <w:rFonts w:eastAsia="Times New Roman" w:cs="Times New Roman"/>
          <w:b/>
          <w:bCs/>
          <w:kern w:val="0"/>
          <w:sz w:val="28"/>
          <w:szCs w:val="28"/>
          <w14:ligatures w14:val="none"/>
        </w:rPr>
        <w:t>III. Yêu cầu về kỹ thuật/chỉ dẫn kỹ thuật</w:t>
      </w:r>
    </w:p>
    <w:p w14:paraId="5C709740" w14:textId="77777777" w:rsidR="00E06203" w:rsidRPr="00E06203" w:rsidRDefault="00E06203" w:rsidP="00047C75">
      <w:pPr>
        <w:widowControl w:val="0"/>
        <w:tabs>
          <w:tab w:val="left" w:pos="700"/>
        </w:tabs>
        <w:spacing w:after="120" w:line="240" w:lineRule="auto"/>
        <w:ind w:firstLine="709"/>
        <w:jc w:val="both"/>
        <w:rPr>
          <w:rFonts w:eastAsia="Times New Roman" w:cs="Times New Roman"/>
          <w:b/>
          <w:bCs/>
          <w:kern w:val="0"/>
          <w:szCs w:val="26"/>
          <w14:ligatures w14:val="none"/>
        </w:rPr>
      </w:pPr>
      <w:r w:rsidRPr="00E06203">
        <w:rPr>
          <w:rFonts w:eastAsia="Times New Roman" w:cs="Times New Roman"/>
          <w:bCs/>
          <w:kern w:val="0"/>
          <w:sz w:val="28"/>
          <w:szCs w:val="28"/>
          <w14:ligatures w14:val="none"/>
        </w:rPr>
        <w:t xml:space="preserve">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w:t>
      </w:r>
      <w:r w:rsidRPr="00E06203">
        <w:rPr>
          <w:rFonts w:eastAsia="Times New Roman" w:cs="Times New Roman"/>
          <w:b/>
          <w:bCs/>
          <w:kern w:val="0"/>
          <w:szCs w:val="26"/>
          <w14:ligatures w14:val="none"/>
        </w:rPr>
        <w:tab/>
        <w:t>III. Yêu cầu về kỹ thuật/chỉ dẫn kỹ thuật</w:t>
      </w:r>
    </w:p>
    <w:p w14:paraId="66675740"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Toàn bộ các công việc thi công xây lắp, nghiệm thu, thí nghiệm, an toàn lao động, quản lý chất lượng xây dựng của gói thầu phải tuân thủ các yêu cầu của hệ thống quy chuẩn, tiêu chuẩn hiện hành khác của Việt Nam.</w:t>
      </w:r>
    </w:p>
    <w:p w14:paraId="258B2CC2"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lang w:val="nl-NL"/>
          <w14:ligatures w14:val="none"/>
        </w:rPr>
      </w:pPr>
      <w:r w:rsidRPr="00E06203">
        <w:rPr>
          <w:rFonts w:eastAsia="Times New Roman" w:cs="Times New Roman"/>
          <w:b/>
          <w:kern w:val="0"/>
          <w:szCs w:val="26"/>
          <w:lang w:val="nl-NL"/>
          <w14:ligatures w14:val="none"/>
        </w:rPr>
        <w:t>Yêu cầu về tổ chức kỹ thuật thi công, giám sát.</w:t>
      </w:r>
    </w:p>
    <w:p w14:paraId="6740E7A4"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Tổ chức quản lý chất lượng Xây lắp công trình:</w:t>
      </w:r>
    </w:p>
    <w:p w14:paraId="40035E43"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Quản lý chất lượng Xây lắp công trình bao gồm các hoạt động quản lý chất lượng của nhà thầu Xây lắp; giám sát Xây lắp công trình và nghiệm thu công trình xây dựng của chủ đầu tư; giám sát tác giả của nhà thầu thiết kế xây dựng công trình.</w:t>
      </w:r>
    </w:p>
    <w:p w14:paraId="5C440874"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Nhà thầu Xây lắp công trình phải có hệ thống quản lý chất lượng để thực hiện nội dung quản lý chất lượng Xây lắp công trình được quy định tại Nghị định số 06/2021/NĐ-CP ngày 26/01/2021 và các thông tư hướng dẫn hiện hành.</w:t>
      </w:r>
    </w:p>
    <w:p w14:paraId="39053B5C"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Tổ chức kỹ thuật thi công của nhà thầu:</w:t>
      </w:r>
    </w:p>
    <w:p w14:paraId="18C2FD82"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lastRenderedPageBreak/>
        <w:t>Được tổ chức thực hiện theo Nghị định 06/2021/NĐ-CP của Chính phủ.</w:t>
      </w:r>
    </w:p>
    <w:p w14:paraId="0B8429D7"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lang w:val="nl-NL"/>
          <w14:ligatures w14:val="none"/>
        </w:rPr>
      </w:pPr>
      <w:r w:rsidRPr="00E06203">
        <w:rPr>
          <w:rFonts w:eastAsia="Times New Roman" w:cs="Times New Roman"/>
          <w:b/>
          <w:kern w:val="0"/>
          <w:szCs w:val="26"/>
          <w:lang w:val="nl-NL"/>
          <w14:ligatures w14:val="none"/>
        </w:rPr>
        <w:t>Yêu cầu về chủng loại, chất lượng vật tư, máy móc, thiết bị (kèm theo các tiêu chuẩn về phương pháp thử)</w:t>
      </w:r>
    </w:p>
    <w:p w14:paraId="6845C6C3"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Tất cả các vật liệu, cấu kiện xây dựng sử dụng vào công trình phải có mẫu, chứng nhận về chất lượng, gửi đến TVGS, chủ đầu tư để kiểm tra sau đó mới được sử dụng vào thi công.</w:t>
      </w:r>
    </w:p>
    <w:p w14:paraId="57E726BE" w14:textId="77777777" w:rsidR="00E06203" w:rsidRPr="00E06203" w:rsidRDefault="00E06203" w:rsidP="00047C75">
      <w:pPr>
        <w:widowControl w:val="0"/>
        <w:numPr>
          <w:ilvl w:val="0"/>
          <w:numId w:val="2"/>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Chất lượng vật liệu:</w:t>
      </w:r>
    </w:p>
    <w:p w14:paraId="59C6232F"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Chất lượng vật liệu theo hướng dẫn trong E-HSMT, hồ sơ thiết kế.</w:t>
      </w:r>
    </w:p>
    <w:p w14:paraId="2140ABF3"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Nhãn hiệu, mã hiệu, xuất xứ… hàng hóa nêu trong E-HSMT (nếu có) chỉ mang tính tham khảo và minh họa cho yêu cầu về kỹ thuật của hàng hóa, nhà thầu 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 - “Tương đương” có nghĩa là có đặc tính kỹ thuật tương tự, có tính năng sử dụng là tương đương với các hàng hóa đã nêu trên.</w:t>
      </w:r>
    </w:p>
    <w:p w14:paraId="49115601"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Vật liệu sử dụng phải nêu rõ tên hãng sản xuất, nhãn hiệu, các tiêu chuẩn chất lượng ưu tiên các vật liệu của nhà cung cấp đạt tiêu chuẩn ISO.</w:t>
      </w:r>
    </w:p>
    <w:p w14:paraId="391D3E34"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Sản phẩm cửa chống tia X phải được đo đạc, kiểm tra đảm bảo tiêu chuẩn an toàn bức xạ của cơ quan chức năng trước khi đưa vào sử dụng</w:t>
      </w:r>
    </w:p>
    <w:p w14:paraId="31E82290"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Trong quá trình thi công, nếu nhà thầu không tìm được chủng loại trong hồ sơ dự thầu thì có thể đề xuất vật liệu tương đương thay thế. Nhà thầu phải giải trình nguyên nhân (kèm theo tài liệu chứng minh) và chứng minh chất lượng vật liệu là tương đương. Đồng thời nhà thầu phải thực hiện công tác thẩm định giá vật liệu tại đơn vị đảm bảo điều kiện theo quy định của pháp luật. Khi có sự chấp thuận của tư vấn giám sát, chủ đầu tư và đơn vị thiết kế thì mới được phép sử dụng.</w:t>
      </w:r>
    </w:p>
    <w:p w14:paraId="3182C7B4"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phải duy trì tại công trường một bản sao của tất cả các tiêu chuẩn và quy phạm liên quan đến phục vụ cho quá trình thi công, quá trình giám sát.</w:t>
      </w:r>
    </w:p>
    <w:p w14:paraId="0134129F" w14:textId="77777777" w:rsidR="00E06203" w:rsidRPr="00E06203" w:rsidRDefault="00E06203" w:rsidP="00047C75">
      <w:pPr>
        <w:widowControl w:val="0"/>
        <w:numPr>
          <w:ilvl w:val="0"/>
          <w:numId w:val="2"/>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Kiểm tra chất lượng:</w:t>
      </w:r>
    </w:p>
    <w:p w14:paraId="45BB0327"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Trước khi cung cấp vật liệu đến công trường, nhà thầu phải cung cấp các chứng chỉ cần thiết của Nhà sản xuất chứng minh các chỉ tiêu đạt yêu cầu thiết kế, HSMT, cam kết trong hồ sơ dự thầu và của Hợp đồng để tư vấn giam sát và chủ đầu tư xem xét, chấp thuận. Nhà thầu phải đảm bảo chất lượng vật liệu đúng mẫu thử.</w:t>
      </w:r>
    </w:p>
    <w:p w14:paraId="3274BB26"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Sau khi vận chuyển đến chân công trình, lấy mẫu thử theo từng lô. Số lượng mẫu trên 1 lô theo quy định của TCVN. Mỗi chứng chỉ phải có các thông tin như: Địa chỉ của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và đóng dấu.</w:t>
      </w:r>
    </w:p>
    <w:p w14:paraId="433C66CA"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Những vật liệu hiện nay tiêu chuẩn Việt Nam còn căn cứ vào các tiêu chuẩn nước ngoài thì thí nghiệm theo tiêu chuẩn cam kết của Nhà sản xuất vật liệu đó.</w:t>
      </w:r>
    </w:p>
    <w:p w14:paraId="7F401FE2"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Nếu kết quả thí nghiệm không đạt yêu cầu thì tư vấn giám sát và chủ đầu tư sẽ từ chối không cho thi công. Nhà thầu phải thay thế lô vật liệu khác. Chi phí do nhà thầu chịu.</w:t>
      </w:r>
    </w:p>
    <w:p w14:paraId="5A140C66"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Phương pháp lấy mẫu theo chỉ định của tư vấn giám sát và chủ đầu tư</w:t>
      </w:r>
    </w:p>
    <w:p w14:paraId="4E2C8317" w14:textId="77777777" w:rsidR="00E06203" w:rsidRPr="00E06203" w:rsidRDefault="00E06203" w:rsidP="00047C75">
      <w:pPr>
        <w:widowControl w:val="0"/>
        <w:numPr>
          <w:ilvl w:val="0"/>
          <w:numId w:val="2"/>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 xml:space="preserve">Khi cần thiết tư vấn giám sát và chủ đầu tư sẽ lấy mẫu độc lập để thuê một đơn vị </w:t>
      </w:r>
      <w:r w:rsidRPr="00E06203">
        <w:rPr>
          <w:rFonts w:eastAsia="Times New Roman" w:cs="Times New Roman"/>
          <w:kern w:val="0"/>
          <w:szCs w:val="26"/>
          <w14:ligatures w14:val="none"/>
        </w:rPr>
        <w:lastRenderedPageBreak/>
        <w:t>kiểm định khác kiểm tra.</w:t>
      </w:r>
    </w:p>
    <w:p w14:paraId="1CADE1A0" w14:textId="77777777" w:rsidR="00E06203" w:rsidRPr="00E06203" w:rsidRDefault="00E06203" w:rsidP="00047C75">
      <w:pPr>
        <w:widowControl w:val="0"/>
        <w:numPr>
          <w:ilvl w:val="0"/>
          <w:numId w:val="2"/>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Chỉ dẫn của các nhà cung cấp:</w:t>
      </w:r>
    </w:p>
    <w:p w14:paraId="55B5698D"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 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2B9F296E" w14:textId="77777777" w:rsidR="00E06203" w:rsidRPr="00E06203" w:rsidRDefault="00E06203" w:rsidP="00047C75">
      <w:pPr>
        <w:widowControl w:val="0"/>
        <w:numPr>
          <w:ilvl w:val="0"/>
          <w:numId w:val="2"/>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Vật liệu bị hư hỏng hay có khiếm khuyết:</w:t>
      </w:r>
    </w:p>
    <w:p w14:paraId="14052752"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Nếu có vật liệu bị hư hỏng hay có khiếm khuyết gì thì phải xếp đống riêng có đánh dấu, báo cáo cho tư vấn giám sát và chủ đầu tư.</w:t>
      </w:r>
    </w:p>
    <w:p w14:paraId="24C23DC5"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Nếu có thể sửa tại chỗ, phải được sự thống nhất ý kiến của tư vấn giám sát và chủ đầu tư. Nếu không thể khắc phục, tư vấn giám sát và chủ đầu tư sẽ yêu cầu chuyển ngay ra khỏi công trường.</w:t>
      </w:r>
    </w:p>
    <w:p w14:paraId="4AC88542" w14:textId="77777777" w:rsidR="00E06203" w:rsidRPr="00E06203" w:rsidRDefault="00E06203" w:rsidP="00047C75">
      <w:pPr>
        <w:widowControl w:val="0"/>
        <w:spacing w:after="120" w:line="240" w:lineRule="auto"/>
        <w:ind w:firstLine="709"/>
        <w:jc w:val="both"/>
        <w:rPr>
          <w:rFonts w:eastAsia="Times New Roman" w:cs="Times New Roman"/>
          <w:kern w:val="0"/>
          <w:szCs w:val="26"/>
          <w:lang w:val="nl-NL"/>
          <w14:ligatures w14:val="none"/>
        </w:rPr>
      </w:pPr>
      <w:r w:rsidRPr="00E06203">
        <w:rPr>
          <w:rFonts w:eastAsia="Times New Roman" w:cs="Times New Roman"/>
          <w:kern w:val="0"/>
          <w:szCs w:val="26"/>
          <w:lang w:val="nl-NL"/>
          <w14:ligatures w14:val="none"/>
        </w:rPr>
        <w:t xml:space="preserve">Các thiết bị PCCC phải được dán tem kiểm định theo quy định (nếu có). </w:t>
      </w:r>
    </w:p>
    <w:p w14:paraId="09AD14E3"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Yêu cầu về trình tự thi công, lắp đặt</w:t>
      </w:r>
    </w:p>
    <w:p w14:paraId="50070F1F"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Công tác xây dựng trong phạm vi gói thầu được thực hiện theo hồ sơ thiết kế bản vẽ thi công, tiên lượng và các quy định về điều kiện kỹ thuật thi công.</w:t>
      </w:r>
    </w:p>
    <w:p w14:paraId="39DBFD1E"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phải tìm hiểu các điều kiện xã hội, phong tục tập quán dân cư... để có biện pháp thi công phù hợp, không làm ảnh hưởng đến khu vực xung quanh.</w:t>
      </w:r>
    </w:p>
    <w:p w14:paraId="478A2E1B"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phải xem xét mặt bằng hiện trạng để đưa ra giải pháp mặt bằng thi công và sơ đồ tổ chức hiện trường một cách phù hợp nhất với điều kiện thi công.</w:t>
      </w:r>
    </w:p>
    <w:p w14:paraId="1B17A338"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Trước khi bắt đầu thực hiện thi công các hạng mục công trình, bên B phải trình bên A các tài liệu về công tác này gồm: Các biện pháp kỹ thuật thi công, tiến độ và an toàn thi công.</w:t>
      </w:r>
    </w:p>
    <w:p w14:paraId="74DD53E9"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Yêu cầu về vận hành thử nghiệm, an toàn</w:t>
      </w:r>
    </w:p>
    <w:p w14:paraId="69E9172A"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phải cung cấp tất cả các trang thiết bị, phương tiện và máy móc để thực hiện công việc thí nghiệm theo yêu cầu để thực hiện hợp đồng.</w:t>
      </w:r>
    </w:p>
    <w:p w14:paraId="2E2A9A79"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Thiết bị thí nghiệm phải có chứng chỉ đang còn hiệu lực, việc kiểm định thiết bị thực hiện theo quy định hiện hành.</w:t>
      </w:r>
    </w:p>
    <w:p w14:paraId="3374E33B"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Số lượng và chủng loại các thiết bị thí nghiệm phải đáp ứng được các yêu cầu của công tác thí nghiệm quy định trong các quy trình, quy phạm kỹ thuật thi công và nghiệm thu.</w:t>
      </w:r>
    </w:p>
    <w:p w14:paraId="263E2F05"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Thí nghiệm viên của nhà thầu phải được đào tạo để có trình độ chuyên môn, nghiệp vụ phù hợp với công việc thử nghiệm được giao và phải được sự chấp thuận của tư vấn giám sát.</w:t>
      </w:r>
    </w:p>
    <w:p w14:paraId="3A9E8B76"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6F5913FE"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4760E737"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 xml:space="preserve">Nhà thầu phải cung cấp các mẫu thí nghiệm kể cả vật liệu và các sản phẩm đã </w:t>
      </w:r>
      <w:r w:rsidRPr="00E06203">
        <w:rPr>
          <w:rFonts w:eastAsia="Times New Roman" w:cs="Times New Roman"/>
          <w:kern w:val="0"/>
          <w:szCs w:val="26"/>
          <w14:ligatures w14:val="none"/>
        </w:rPr>
        <w:lastRenderedPageBreak/>
        <w:t>hoàn tất mà không có thêm một chi phí nào của chủ đầu tư. Nhà thầu phải chịu mọi chi phí cho công việc thực hiện các thí nghiệm cần thiết để hoàn thành công trình. Các chi phí này phải bao gồm toàn bộ chi phí liên quan.</w:t>
      </w:r>
    </w:p>
    <w:p w14:paraId="6B931134"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vật liệu mà nhà thầu sử dụng không phù hợp với các quy định của tài liệu hợp đồng thì nhà thầu phải chịu các chi phí thí nghiệm đó.</w:t>
      </w:r>
    </w:p>
    <w:p w14:paraId="0407EB22"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spacing w:val="-5"/>
          <w:kern w:val="0"/>
          <w:szCs w:val="26"/>
          <w14:ligatures w14:val="none"/>
        </w:rPr>
        <w:t xml:space="preserve">Yêu </w:t>
      </w:r>
      <w:r w:rsidRPr="00E06203">
        <w:rPr>
          <w:rFonts w:eastAsia="Times New Roman" w:cs="Times New Roman"/>
          <w:b/>
          <w:spacing w:val="-4"/>
          <w:kern w:val="0"/>
          <w:szCs w:val="26"/>
          <w14:ligatures w14:val="none"/>
        </w:rPr>
        <w:t xml:space="preserve">cầu về an </w:t>
      </w:r>
      <w:r w:rsidRPr="00E06203">
        <w:rPr>
          <w:rFonts w:eastAsia="Times New Roman" w:cs="Times New Roman"/>
          <w:b/>
          <w:spacing w:val="-5"/>
          <w:kern w:val="0"/>
          <w:szCs w:val="26"/>
          <w14:ligatures w14:val="none"/>
        </w:rPr>
        <w:t xml:space="preserve">toàn lao </w:t>
      </w:r>
      <w:r w:rsidRPr="00E06203">
        <w:rPr>
          <w:rFonts w:eastAsia="Times New Roman" w:cs="Times New Roman"/>
          <w:b/>
          <w:spacing w:val="-6"/>
          <w:kern w:val="0"/>
          <w:szCs w:val="26"/>
          <w14:ligatures w14:val="none"/>
        </w:rPr>
        <w:t xml:space="preserve">động, </w:t>
      </w:r>
      <w:r w:rsidRPr="00E06203">
        <w:rPr>
          <w:rFonts w:eastAsia="Times New Roman" w:cs="Times New Roman"/>
          <w:b/>
          <w:spacing w:val="-4"/>
          <w:kern w:val="0"/>
          <w:szCs w:val="26"/>
          <w14:ligatures w14:val="none"/>
        </w:rPr>
        <w:t xml:space="preserve">vệ </w:t>
      </w:r>
      <w:r w:rsidRPr="00E06203">
        <w:rPr>
          <w:rFonts w:eastAsia="Times New Roman" w:cs="Times New Roman"/>
          <w:b/>
          <w:spacing w:val="-5"/>
          <w:kern w:val="0"/>
          <w:szCs w:val="26"/>
          <w14:ligatures w14:val="none"/>
        </w:rPr>
        <w:t xml:space="preserve">sinh </w:t>
      </w:r>
      <w:r w:rsidRPr="00E06203">
        <w:rPr>
          <w:rFonts w:eastAsia="Times New Roman" w:cs="Times New Roman"/>
          <w:b/>
          <w:spacing w:val="-3"/>
          <w:kern w:val="0"/>
          <w:szCs w:val="26"/>
          <w14:ligatures w14:val="none"/>
        </w:rPr>
        <w:t xml:space="preserve">môi </w:t>
      </w:r>
      <w:r w:rsidRPr="00E06203">
        <w:rPr>
          <w:rFonts w:eastAsia="Times New Roman" w:cs="Times New Roman"/>
          <w:b/>
          <w:spacing w:val="-5"/>
          <w:kern w:val="0"/>
          <w:szCs w:val="26"/>
          <w14:ligatures w14:val="none"/>
        </w:rPr>
        <w:t xml:space="preserve">trường, phòng, chống </w:t>
      </w:r>
      <w:r w:rsidRPr="00E06203">
        <w:rPr>
          <w:rFonts w:eastAsia="Times New Roman" w:cs="Times New Roman"/>
          <w:b/>
          <w:spacing w:val="-6"/>
          <w:kern w:val="0"/>
          <w:szCs w:val="26"/>
          <w14:ligatures w14:val="none"/>
        </w:rPr>
        <w:t xml:space="preserve">cháy, </w:t>
      </w:r>
      <w:r w:rsidRPr="00E06203">
        <w:rPr>
          <w:rFonts w:eastAsia="Times New Roman" w:cs="Times New Roman"/>
          <w:b/>
          <w:spacing w:val="-4"/>
          <w:kern w:val="0"/>
          <w:szCs w:val="26"/>
          <w14:ligatures w14:val="none"/>
        </w:rPr>
        <w:t>nổ</w:t>
      </w:r>
    </w:p>
    <w:p w14:paraId="3ED438EA"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Tăng cường công tác tuyên truyền, phổ biến, huấn luyện và kiểm tra việc thực hiện các quy định đã ban hành về ATVSLĐ và PCCN nhằm hạn chế tai nạn lao động xảy ra, đồng thời giúp người lao động nhận thức rõ quyền và trách nhiệm của mình khi tham gia xây lắp.</w:t>
      </w:r>
    </w:p>
    <w:p w14:paraId="6E98405F"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Thực hiện nghiêm túc các quy định về tổ chức mặt bằng thi công tại các công trường xây dựng và yêu cầu về an toàn điện khi xây lắp. Các biện pháp đảm bảo an toàn, nội quy về an toàn phải được phổ biến và công khai trên công trường để mọi người biết và chấp hành.</w:t>
      </w:r>
    </w:p>
    <w:p w14:paraId="61EA74C5"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xây lắp công trình có trách nhiệm thành lập mạng lưới và bộ phận quản lý công tác an toàn lao động trên công trường; đồng thời quy định cụ thể công việc thực hiện và trách nhiệm đối với những cá nhân quản lý công tác an toàn lao động trong quá trình thi công.</w:t>
      </w:r>
    </w:p>
    <w:p w14:paraId="7A8E97EF"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Những người tham gia xây lắp trên công trường phải được khám sức khỏe, huấn luyện về an toàn và được cấp phát đầy đủ phương tiện bảo vệ cá nhân theo quy định.</w:t>
      </w:r>
    </w:p>
    <w:p w14:paraId="4B679B04" w14:textId="77777777" w:rsidR="00E06203" w:rsidRPr="00E06203" w:rsidRDefault="00E06203" w:rsidP="00047C75">
      <w:pPr>
        <w:widowControl w:val="0"/>
        <w:numPr>
          <w:ilvl w:val="2"/>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Máy, thiết bị thi công có yêu cầu nghiêm ngặt về ATLĐ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0B2D792"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Biện pháp huy động nhân lực và thiết bị phục vụ thi công</w:t>
      </w:r>
    </w:p>
    <w:p w14:paraId="4804E430"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phải có biểu đồ huy động nhân lực, xe máy phục vụ thi công công trình đảm bảo tiến độ đặt ra và chất lượng theo yêu cầu.</w:t>
      </w:r>
    </w:p>
    <w:p w14:paraId="7EB2F1B5"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Yêu cầu về biện pháp tổ chức thi công tổng thể và các hạng mục</w:t>
      </w:r>
    </w:p>
    <w:p w14:paraId="31EF98A7"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spacing w:val="-5"/>
          <w:kern w:val="0"/>
          <w:szCs w:val="26"/>
          <w14:ligatures w14:val="none"/>
        </w:rPr>
        <w:t xml:space="preserve">Nhà thầu </w:t>
      </w:r>
      <w:r w:rsidRPr="00E06203">
        <w:rPr>
          <w:rFonts w:eastAsia="Times New Roman" w:cs="Times New Roman"/>
          <w:spacing w:val="-6"/>
          <w:kern w:val="0"/>
          <w:szCs w:val="26"/>
          <w14:ligatures w14:val="none"/>
        </w:rPr>
        <w:t xml:space="preserve">phải </w:t>
      </w:r>
      <w:r w:rsidRPr="00E06203">
        <w:rPr>
          <w:rFonts w:eastAsia="Times New Roman" w:cs="Times New Roman"/>
          <w:spacing w:val="-4"/>
          <w:kern w:val="0"/>
          <w:szCs w:val="26"/>
          <w14:ligatures w14:val="none"/>
        </w:rPr>
        <w:t xml:space="preserve">lập </w:t>
      </w:r>
      <w:r w:rsidRPr="00E06203">
        <w:rPr>
          <w:rFonts w:eastAsia="Times New Roman" w:cs="Times New Roman"/>
          <w:spacing w:val="-5"/>
          <w:kern w:val="0"/>
          <w:szCs w:val="26"/>
          <w14:ligatures w14:val="none"/>
        </w:rPr>
        <w:t xml:space="preserve">biện pháp </w:t>
      </w:r>
      <w:r w:rsidRPr="00E06203">
        <w:rPr>
          <w:rFonts w:eastAsia="Times New Roman" w:cs="Times New Roman"/>
          <w:spacing w:val="-4"/>
          <w:kern w:val="0"/>
          <w:szCs w:val="26"/>
          <w14:ligatures w14:val="none"/>
        </w:rPr>
        <w:t xml:space="preserve">tổ </w:t>
      </w:r>
      <w:r w:rsidRPr="00E06203">
        <w:rPr>
          <w:rFonts w:eastAsia="Times New Roman" w:cs="Times New Roman"/>
          <w:spacing w:val="-5"/>
          <w:kern w:val="0"/>
          <w:szCs w:val="26"/>
          <w14:ligatures w14:val="none"/>
        </w:rPr>
        <w:t xml:space="preserve">chức </w:t>
      </w:r>
      <w:r w:rsidRPr="00E06203">
        <w:rPr>
          <w:rFonts w:eastAsia="Times New Roman" w:cs="Times New Roman"/>
          <w:spacing w:val="-4"/>
          <w:kern w:val="0"/>
          <w:szCs w:val="26"/>
          <w14:ligatures w14:val="none"/>
        </w:rPr>
        <w:t xml:space="preserve">thi </w:t>
      </w:r>
      <w:r w:rsidRPr="00E06203">
        <w:rPr>
          <w:rFonts w:eastAsia="Times New Roman" w:cs="Times New Roman"/>
          <w:spacing w:val="-6"/>
          <w:kern w:val="0"/>
          <w:szCs w:val="26"/>
          <w14:ligatures w14:val="none"/>
        </w:rPr>
        <w:t xml:space="preserve">công </w:t>
      </w:r>
      <w:r w:rsidRPr="00E06203">
        <w:rPr>
          <w:rFonts w:eastAsia="Times New Roman" w:cs="Times New Roman"/>
          <w:spacing w:val="-5"/>
          <w:kern w:val="0"/>
          <w:szCs w:val="26"/>
          <w14:ligatures w14:val="none"/>
        </w:rPr>
        <w:t xml:space="preserve">tổng </w:t>
      </w:r>
      <w:r w:rsidRPr="00E06203">
        <w:rPr>
          <w:rFonts w:eastAsia="Times New Roman" w:cs="Times New Roman"/>
          <w:spacing w:val="-4"/>
          <w:kern w:val="0"/>
          <w:szCs w:val="26"/>
          <w14:ligatures w14:val="none"/>
        </w:rPr>
        <w:t xml:space="preserve">thể </w:t>
      </w:r>
      <w:r w:rsidRPr="00E06203">
        <w:rPr>
          <w:rFonts w:eastAsia="Times New Roman" w:cs="Times New Roman"/>
          <w:kern w:val="0"/>
          <w:szCs w:val="26"/>
          <w14:ligatures w14:val="none"/>
        </w:rPr>
        <w:t xml:space="preserve">và </w:t>
      </w:r>
      <w:r w:rsidRPr="00E06203">
        <w:rPr>
          <w:rFonts w:eastAsia="Times New Roman" w:cs="Times New Roman"/>
          <w:spacing w:val="-4"/>
          <w:kern w:val="0"/>
          <w:szCs w:val="26"/>
          <w14:ligatures w14:val="none"/>
        </w:rPr>
        <w:t xml:space="preserve">các </w:t>
      </w:r>
      <w:r w:rsidRPr="00E06203">
        <w:rPr>
          <w:rFonts w:eastAsia="Times New Roman" w:cs="Times New Roman"/>
          <w:spacing w:val="-5"/>
          <w:kern w:val="0"/>
          <w:szCs w:val="26"/>
          <w14:ligatures w14:val="none"/>
        </w:rPr>
        <w:t xml:space="preserve">hạng mục công </w:t>
      </w:r>
      <w:r w:rsidRPr="00E06203">
        <w:rPr>
          <w:rFonts w:eastAsia="Times New Roman" w:cs="Times New Roman"/>
          <w:spacing w:val="-6"/>
          <w:kern w:val="0"/>
          <w:szCs w:val="26"/>
          <w14:ligatures w14:val="none"/>
        </w:rPr>
        <w:t>trình.</w:t>
      </w:r>
    </w:p>
    <w:p w14:paraId="4FC007B9"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Yêu cầu về hệ thống kiểm tra, giám sát chất lượng của nhà thầu</w:t>
      </w:r>
    </w:p>
    <w:p w14:paraId="14F521DF"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Lập hệ thống quản lý chất lượng phù hợp với yêu cầu, tính chất, quy mô công trình xây dựng, trong đó quy định trách nhiệm của từng cá nhân, bộ phận xây lắp công trình trong việc quản lý chất lượng công trình xây dựng;</w:t>
      </w:r>
    </w:p>
    <w:p w14:paraId="1B211D70"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Thực hiện các thí nghiệm kiểm tra vật liệu, cấu kiện, vật tư, thiết bị công trình, thiết bị công nghệ trước khi xây dựng và lắp đặt vào công trình xây dựng theo tiêu chuẩn và yêu cầu thiết kế;</w:t>
      </w:r>
    </w:p>
    <w:p w14:paraId="607318B8"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Lập và kiểm tra thực hiện biện pháp thi công, tiến độ thi công;</w:t>
      </w:r>
    </w:p>
    <w:p w14:paraId="3A882C2D"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Lập và ghi nhật ký thi công theo quy định;</w:t>
      </w:r>
    </w:p>
    <w:p w14:paraId="15139251"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spacing w:val="-5"/>
          <w:kern w:val="0"/>
          <w:szCs w:val="26"/>
          <w14:ligatures w14:val="none"/>
        </w:rPr>
        <w:lastRenderedPageBreak/>
        <w:t xml:space="preserve">Kiểm tra </w:t>
      </w:r>
      <w:r w:rsidRPr="00E06203">
        <w:rPr>
          <w:rFonts w:eastAsia="Times New Roman" w:cs="Times New Roman"/>
          <w:kern w:val="0"/>
          <w:szCs w:val="26"/>
          <w14:ligatures w14:val="none"/>
        </w:rPr>
        <w:t xml:space="preserve">an </w:t>
      </w:r>
      <w:r w:rsidRPr="00E06203">
        <w:rPr>
          <w:rFonts w:eastAsia="Times New Roman" w:cs="Times New Roman"/>
          <w:spacing w:val="-5"/>
          <w:kern w:val="0"/>
          <w:szCs w:val="26"/>
          <w14:ligatures w14:val="none"/>
        </w:rPr>
        <w:t xml:space="preserve">toàn </w:t>
      </w:r>
      <w:r w:rsidRPr="00E06203">
        <w:rPr>
          <w:rFonts w:eastAsia="Times New Roman" w:cs="Times New Roman"/>
          <w:spacing w:val="-4"/>
          <w:kern w:val="0"/>
          <w:szCs w:val="26"/>
          <w14:ligatures w14:val="none"/>
        </w:rPr>
        <w:t xml:space="preserve">lao </w:t>
      </w:r>
      <w:r w:rsidRPr="00E06203">
        <w:rPr>
          <w:rFonts w:eastAsia="Times New Roman" w:cs="Times New Roman"/>
          <w:spacing w:val="-5"/>
          <w:kern w:val="0"/>
          <w:szCs w:val="26"/>
          <w14:ligatures w14:val="none"/>
        </w:rPr>
        <w:t xml:space="preserve">động, </w:t>
      </w:r>
      <w:r w:rsidRPr="00E06203">
        <w:rPr>
          <w:rFonts w:eastAsia="Times New Roman" w:cs="Times New Roman"/>
          <w:spacing w:val="-3"/>
          <w:kern w:val="0"/>
          <w:szCs w:val="26"/>
          <w14:ligatures w14:val="none"/>
        </w:rPr>
        <w:t xml:space="preserve">vệ </w:t>
      </w:r>
      <w:r w:rsidRPr="00E06203">
        <w:rPr>
          <w:rFonts w:eastAsia="Times New Roman" w:cs="Times New Roman"/>
          <w:spacing w:val="-5"/>
          <w:kern w:val="0"/>
          <w:szCs w:val="26"/>
          <w14:ligatures w14:val="none"/>
        </w:rPr>
        <w:t xml:space="preserve">sinh môi trường </w:t>
      </w:r>
      <w:r w:rsidRPr="00E06203">
        <w:rPr>
          <w:rFonts w:eastAsia="Times New Roman" w:cs="Times New Roman"/>
          <w:spacing w:val="-4"/>
          <w:kern w:val="0"/>
          <w:szCs w:val="26"/>
          <w14:ligatures w14:val="none"/>
        </w:rPr>
        <w:t xml:space="preserve">bên </w:t>
      </w:r>
      <w:r w:rsidRPr="00E06203">
        <w:rPr>
          <w:rFonts w:eastAsia="Times New Roman" w:cs="Times New Roman"/>
          <w:spacing w:val="-5"/>
          <w:kern w:val="0"/>
          <w:szCs w:val="26"/>
          <w14:ligatures w14:val="none"/>
        </w:rPr>
        <w:t xml:space="preserve">trong </w:t>
      </w:r>
      <w:r w:rsidRPr="00E06203">
        <w:rPr>
          <w:rFonts w:eastAsia="Times New Roman" w:cs="Times New Roman"/>
          <w:spacing w:val="-3"/>
          <w:kern w:val="0"/>
          <w:szCs w:val="26"/>
          <w14:ligatures w14:val="none"/>
        </w:rPr>
        <w:t xml:space="preserve">và </w:t>
      </w:r>
      <w:r w:rsidRPr="00E06203">
        <w:rPr>
          <w:rFonts w:eastAsia="Times New Roman" w:cs="Times New Roman"/>
          <w:spacing w:val="-4"/>
          <w:kern w:val="0"/>
          <w:szCs w:val="26"/>
          <w14:ligatures w14:val="none"/>
        </w:rPr>
        <w:t xml:space="preserve">bên </w:t>
      </w:r>
      <w:r w:rsidRPr="00E06203">
        <w:rPr>
          <w:rFonts w:eastAsia="Times New Roman" w:cs="Times New Roman"/>
          <w:spacing w:val="-5"/>
          <w:kern w:val="0"/>
          <w:szCs w:val="26"/>
          <w14:ligatures w14:val="none"/>
        </w:rPr>
        <w:t xml:space="preserve">ngoài công </w:t>
      </w:r>
      <w:r w:rsidRPr="00E06203">
        <w:rPr>
          <w:rFonts w:eastAsia="Times New Roman" w:cs="Times New Roman"/>
          <w:spacing w:val="-6"/>
          <w:kern w:val="0"/>
          <w:szCs w:val="26"/>
          <w14:ligatures w14:val="none"/>
        </w:rPr>
        <w:t>trường;</w:t>
      </w:r>
    </w:p>
    <w:p w14:paraId="2AE0EA58"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Nghiệm thu nội bộ và lập bản vẽ hoàn công cho bộ phận công trình xây dựng, hạng mục công trình xây dựng và công trình xây dựng hoàn thành;</w:t>
      </w:r>
    </w:p>
    <w:p w14:paraId="118AFF4C"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Báo cáo chủ đầu tư về tiến độ, chất lượng, khối lượng, an toàn lao động và vệ sinh môi trường Xây lắp theo yêu cầu của chủ đầu tư;</w:t>
      </w:r>
    </w:p>
    <w:p w14:paraId="1C70CB79" w14:textId="77777777" w:rsidR="00E06203" w:rsidRPr="00E06203" w:rsidRDefault="00E06203" w:rsidP="00047C75">
      <w:pPr>
        <w:widowControl w:val="0"/>
        <w:numPr>
          <w:ilvl w:val="1"/>
          <w:numId w:val="1"/>
        </w:numPr>
        <w:autoSpaceDE w:val="0"/>
        <w:autoSpaceDN w:val="0"/>
        <w:spacing w:after="120" w:line="240" w:lineRule="auto"/>
        <w:ind w:left="0" w:firstLine="709"/>
        <w:jc w:val="both"/>
        <w:rPr>
          <w:rFonts w:eastAsia="Times New Roman" w:cs="Times New Roman"/>
          <w:kern w:val="0"/>
          <w:szCs w:val="26"/>
          <w14:ligatures w14:val="none"/>
        </w:rPr>
      </w:pPr>
      <w:r w:rsidRPr="00E06203">
        <w:rPr>
          <w:rFonts w:eastAsia="Times New Roman" w:cs="Times New Roman"/>
          <w:kern w:val="0"/>
          <w:szCs w:val="26"/>
          <w14:ligatures w14:val="none"/>
        </w:rPr>
        <w:t xml:space="preserve">Chuẩn bị tài liệu làm căn cứ nghiệm thu theo quy định tại Nghị định </w:t>
      </w:r>
      <w:r w:rsidRPr="00E06203">
        <w:rPr>
          <w:rFonts w:eastAsia="Times New Roman" w:cs="Times New Roman"/>
          <w:kern w:val="0"/>
          <w:szCs w:val="26"/>
          <w:lang w:val="nl-NL"/>
          <w14:ligatures w14:val="none"/>
        </w:rPr>
        <w:t xml:space="preserve">06/2021/NĐ-CP </w:t>
      </w:r>
      <w:r w:rsidRPr="00E06203">
        <w:rPr>
          <w:rFonts w:eastAsia="Times New Roman" w:cs="Times New Roman"/>
          <w:kern w:val="0"/>
          <w:szCs w:val="26"/>
          <w14:ligatures w14:val="none"/>
        </w:rPr>
        <w:t>về Quản lý chất lượng công trình xây dựng và lập phiếu yêu cầu chủ đầu tư tổ chức nghiệm thu.</w:t>
      </w:r>
    </w:p>
    <w:p w14:paraId="2E3A91A9" w14:textId="77777777" w:rsidR="00E06203" w:rsidRPr="00E06203" w:rsidRDefault="00E06203" w:rsidP="00047C75">
      <w:pPr>
        <w:widowControl w:val="0"/>
        <w:numPr>
          <w:ilvl w:val="0"/>
          <w:numId w:val="1"/>
        </w:numPr>
        <w:autoSpaceDE w:val="0"/>
        <w:autoSpaceDN w:val="0"/>
        <w:spacing w:after="120" w:line="240" w:lineRule="auto"/>
        <w:ind w:left="0" w:firstLine="709"/>
        <w:jc w:val="both"/>
        <w:rPr>
          <w:rFonts w:eastAsia="Times New Roman" w:cs="Times New Roman"/>
          <w:b/>
          <w:bCs/>
          <w:kern w:val="0"/>
          <w:szCs w:val="26"/>
          <w14:ligatures w14:val="none"/>
        </w:rPr>
      </w:pPr>
      <w:r w:rsidRPr="00E06203">
        <w:rPr>
          <w:rFonts w:eastAsia="Times New Roman" w:cs="Times New Roman"/>
          <w:b/>
          <w:bCs/>
          <w:kern w:val="0"/>
          <w:szCs w:val="26"/>
          <w14:ligatures w14:val="none"/>
        </w:rPr>
        <w:t>Yêu cầu về công tác bảo hành:</w:t>
      </w:r>
    </w:p>
    <w:p w14:paraId="17F2DCC9"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 Nhà thầu phải có trách nhiệm bảo hành công trình, bảo hành thiết bị lắp đặt cho công trình theo quy định. Thời hạn bảo hành công trình tối thiểu 12 tháng kể từ ngày CĐT, nhà thầu và các bên liên quan ký biên bản nghiệm thu bàn giao đưa công trình/hạng mục công trình vào sử dụng;</w:t>
      </w:r>
    </w:p>
    <w:p w14:paraId="5B0CBD12"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 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14:paraId="12BE4245"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 xml:space="preserve">- Trong thời hạn 48 tiếng kể từ khi nhận được thông báo của CĐT, Nhà thầu phải lập kế hoạch, biện pháp bảo hành công trình trình CĐT để được chấp thuận và phối hợp thực hiện; </w:t>
      </w:r>
    </w:p>
    <w:p w14:paraId="280105AB"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có quyền từ chối bảo hành trong các trường hợp hư hỏng phát sinh không phải do lỗi của nhà thầu gây ra hoặc do nguyên nhân bất khả kháng.</w:t>
      </w:r>
    </w:p>
    <w:p w14:paraId="4A43383A"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 Các hình thức cam kết bảo hành: Nhà thầu có văn bản cam kết thực hiện nghĩa vụ bảo hành công trình với các nội dung trên.</w:t>
      </w:r>
    </w:p>
    <w:p w14:paraId="0FD0F160" w14:textId="77777777" w:rsidR="00E06203" w:rsidRPr="00E06203" w:rsidRDefault="00E06203" w:rsidP="00047C75">
      <w:pPr>
        <w:widowControl w:val="0"/>
        <w:numPr>
          <w:ilvl w:val="0"/>
          <w:numId w:val="3"/>
        </w:numPr>
        <w:tabs>
          <w:tab w:val="left" w:pos="993"/>
        </w:tabs>
        <w:autoSpaceDE w:val="0"/>
        <w:autoSpaceDN w:val="0"/>
        <w:spacing w:after="120" w:line="240" w:lineRule="auto"/>
        <w:ind w:left="0"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Yêu cầu khác</w:t>
      </w:r>
    </w:p>
    <w:p w14:paraId="5DC89D5B" w14:textId="77777777" w:rsidR="00E06203" w:rsidRPr="00E06203" w:rsidRDefault="00E06203" w:rsidP="00047C75">
      <w:pPr>
        <w:widowControl w:val="0"/>
        <w:tabs>
          <w:tab w:val="left" w:pos="993"/>
        </w:tabs>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xây lắp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 cho bên thứ ba.</w:t>
      </w:r>
    </w:p>
    <w:p w14:paraId="74498FB6"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Trong yêu cầu về mặt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14:paraId="451B2949" w14:textId="77777777" w:rsidR="00E06203" w:rsidRPr="00E06203" w:rsidRDefault="00E06203" w:rsidP="00047C75">
      <w:pPr>
        <w:widowControl w:val="0"/>
        <w:spacing w:after="120" w:line="240" w:lineRule="auto"/>
        <w:ind w:firstLine="709"/>
        <w:jc w:val="both"/>
        <w:rPr>
          <w:rFonts w:eastAsia="Times New Roman" w:cs="Times New Roman"/>
          <w:b/>
          <w:kern w:val="0"/>
          <w:szCs w:val="26"/>
          <w14:ligatures w14:val="none"/>
        </w:rPr>
      </w:pPr>
      <w:r w:rsidRPr="00E06203">
        <w:rPr>
          <w:rFonts w:eastAsia="Times New Roman" w:cs="Times New Roman"/>
          <w:b/>
          <w:kern w:val="0"/>
          <w:szCs w:val="26"/>
          <w14:ligatures w14:val="none"/>
        </w:rPr>
        <w:t>IV. Các bản vẽ</w:t>
      </w:r>
    </w:p>
    <w:p w14:paraId="3E0BAC36" w14:textId="77777777" w:rsidR="00E06203" w:rsidRPr="00E06203" w:rsidRDefault="00E06203" w:rsidP="00047C75">
      <w:pPr>
        <w:widowControl w:val="0"/>
        <w:spacing w:after="120" w:line="240" w:lineRule="auto"/>
        <w:ind w:firstLine="709"/>
        <w:jc w:val="both"/>
        <w:rPr>
          <w:rFonts w:eastAsia="Times New Roman" w:cs="Times New Roman"/>
          <w:kern w:val="0"/>
          <w:szCs w:val="26"/>
          <w14:ligatures w14:val="none"/>
        </w:rPr>
      </w:pPr>
      <w:r w:rsidRPr="00E06203">
        <w:rPr>
          <w:rFonts w:eastAsia="Times New Roman" w:cs="Times New Roman"/>
          <w:kern w:val="0"/>
          <w:szCs w:val="26"/>
          <w14:ligatures w14:val="none"/>
        </w:rPr>
        <w:t>Nhà thầu được nhận:</w:t>
      </w:r>
    </w:p>
    <w:p w14:paraId="60DA7386" w14:textId="77777777" w:rsidR="00E06203" w:rsidRPr="00E06203" w:rsidRDefault="00E06203" w:rsidP="00047C75">
      <w:pPr>
        <w:widowControl w:val="0"/>
        <w:tabs>
          <w:tab w:val="left" w:pos="700"/>
          <w:tab w:val="left" w:pos="1418"/>
        </w:tabs>
        <w:spacing w:before="120" w:after="120" w:line="264" w:lineRule="auto"/>
        <w:ind w:firstLine="709"/>
        <w:jc w:val="both"/>
        <w:rPr>
          <w:rFonts w:eastAsia="Times New Roman" w:cs="Times New Roman"/>
          <w:i/>
          <w:kern w:val="0"/>
          <w:sz w:val="28"/>
          <w:szCs w:val="28"/>
          <w14:ligatures w14:val="none"/>
        </w:rPr>
      </w:pPr>
      <w:r w:rsidRPr="00E06203">
        <w:rPr>
          <w:rFonts w:eastAsia="Times New Roman" w:cs="Times New Roman"/>
          <w:kern w:val="0"/>
          <w:szCs w:val="26"/>
          <w14:ligatures w14:val="none"/>
        </w:rPr>
        <w:t>- 01 bộ Hồ sơ thiết kế bản vẽ thi công được phê duyệt (kèm theo E-HSMT trên Hệ thống mạng đấu thầu Quốc gia).</w:t>
      </w:r>
    </w:p>
    <w:p w14:paraId="4D982FFF" w14:textId="77777777" w:rsidR="0048723A" w:rsidRDefault="0048723A"/>
    <w:sectPr w:rsidR="0048723A" w:rsidSect="00BA1063">
      <w:pgSz w:w="11909" w:h="16834" w:code="9"/>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0123"/>
    <w:multiLevelType w:val="hybridMultilevel"/>
    <w:tmpl w:val="E0F486FE"/>
    <w:lvl w:ilvl="0" w:tplc="695673F6">
      <w:numFmt w:val="bullet"/>
      <w:suff w:val="space"/>
      <w:lvlText w:val="*"/>
      <w:lvlJc w:val="left"/>
      <w:pPr>
        <w:ind w:left="146" w:hanging="195"/>
      </w:pPr>
      <w:rPr>
        <w:rFonts w:ascii="Times New Roman" w:eastAsia="Times New Roman" w:hAnsi="Times New Roman" w:cs="Times New Roman" w:hint="default"/>
        <w:w w:val="99"/>
        <w:sz w:val="26"/>
        <w:szCs w:val="26"/>
        <w:lang w:eastAsia="en-US" w:bidi="ar-SA"/>
      </w:rPr>
    </w:lvl>
    <w:lvl w:ilvl="1" w:tplc="4E66F774">
      <w:numFmt w:val="bullet"/>
      <w:lvlText w:val="•"/>
      <w:lvlJc w:val="left"/>
      <w:pPr>
        <w:ind w:left="1910" w:hanging="195"/>
      </w:pPr>
      <w:rPr>
        <w:lang w:eastAsia="en-US" w:bidi="ar-SA"/>
      </w:rPr>
    </w:lvl>
    <w:lvl w:ilvl="2" w:tplc="C12AECA6">
      <w:numFmt w:val="bullet"/>
      <w:lvlText w:val="•"/>
      <w:lvlJc w:val="left"/>
      <w:pPr>
        <w:ind w:left="2781" w:hanging="195"/>
      </w:pPr>
      <w:rPr>
        <w:lang w:eastAsia="en-US" w:bidi="ar-SA"/>
      </w:rPr>
    </w:lvl>
    <w:lvl w:ilvl="3" w:tplc="56988370">
      <w:numFmt w:val="bullet"/>
      <w:lvlText w:val="•"/>
      <w:lvlJc w:val="left"/>
      <w:pPr>
        <w:ind w:left="3651" w:hanging="195"/>
      </w:pPr>
      <w:rPr>
        <w:lang w:eastAsia="en-US" w:bidi="ar-SA"/>
      </w:rPr>
    </w:lvl>
    <w:lvl w:ilvl="4" w:tplc="F79E24B4">
      <w:numFmt w:val="bullet"/>
      <w:lvlText w:val="•"/>
      <w:lvlJc w:val="left"/>
      <w:pPr>
        <w:ind w:left="4522" w:hanging="195"/>
      </w:pPr>
      <w:rPr>
        <w:lang w:eastAsia="en-US" w:bidi="ar-SA"/>
      </w:rPr>
    </w:lvl>
    <w:lvl w:ilvl="5" w:tplc="5AEEC75C">
      <w:numFmt w:val="bullet"/>
      <w:lvlText w:val="•"/>
      <w:lvlJc w:val="left"/>
      <w:pPr>
        <w:ind w:left="5393" w:hanging="195"/>
      </w:pPr>
      <w:rPr>
        <w:lang w:eastAsia="en-US" w:bidi="ar-SA"/>
      </w:rPr>
    </w:lvl>
    <w:lvl w:ilvl="6" w:tplc="CC1A9B02">
      <w:numFmt w:val="bullet"/>
      <w:lvlText w:val="•"/>
      <w:lvlJc w:val="left"/>
      <w:pPr>
        <w:ind w:left="6263" w:hanging="195"/>
      </w:pPr>
      <w:rPr>
        <w:lang w:eastAsia="en-US" w:bidi="ar-SA"/>
      </w:rPr>
    </w:lvl>
    <w:lvl w:ilvl="7" w:tplc="1FDA6474">
      <w:numFmt w:val="bullet"/>
      <w:lvlText w:val="•"/>
      <w:lvlJc w:val="left"/>
      <w:pPr>
        <w:ind w:left="7134" w:hanging="195"/>
      </w:pPr>
      <w:rPr>
        <w:lang w:eastAsia="en-US" w:bidi="ar-SA"/>
      </w:rPr>
    </w:lvl>
    <w:lvl w:ilvl="8" w:tplc="0B4485BE">
      <w:numFmt w:val="bullet"/>
      <w:lvlText w:val="•"/>
      <w:lvlJc w:val="left"/>
      <w:pPr>
        <w:ind w:left="8005" w:hanging="195"/>
      </w:pPr>
      <w:rPr>
        <w:lang w:eastAsia="en-US" w:bidi="ar-SA"/>
      </w:rPr>
    </w:lvl>
  </w:abstractNum>
  <w:abstractNum w:abstractNumId="1" w15:restartNumberingAfterBreak="0">
    <w:nsid w:val="42BD01A6"/>
    <w:multiLevelType w:val="multilevel"/>
    <w:tmpl w:val="E7E6F0C0"/>
    <w:lvl w:ilvl="0">
      <w:start w:val="1"/>
      <w:numFmt w:val="decimal"/>
      <w:suff w:val="space"/>
      <w:lvlText w:val="%1."/>
      <w:lvlJc w:val="left"/>
      <w:pPr>
        <w:ind w:left="1097" w:hanging="260"/>
      </w:pPr>
      <w:rPr>
        <w:rFonts w:ascii="Times New Roman" w:eastAsia="Times New Roman" w:hAnsi="Times New Roman" w:cs="Times New Roman" w:hint="default"/>
        <w:b/>
        <w:bCs/>
        <w:w w:val="99"/>
        <w:sz w:val="26"/>
        <w:szCs w:val="26"/>
        <w:lang w:eastAsia="en-US" w:bidi="ar-SA"/>
      </w:rPr>
    </w:lvl>
    <w:lvl w:ilvl="1">
      <w:start w:val="1"/>
      <w:numFmt w:val="decimal"/>
      <w:suff w:val="space"/>
      <w:lvlText w:val="%1.%2"/>
      <w:lvlJc w:val="left"/>
      <w:pPr>
        <w:ind w:left="1073" w:hanging="389"/>
      </w:pPr>
      <w:rPr>
        <w:rFonts w:ascii="Times New Roman" w:eastAsia="Times New Roman" w:hAnsi="Times New Roman" w:cs="Times New Roman" w:hint="default"/>
        <w:w w:val="99"/>
        <w:sz w:val="26"/>
        <w:szCs w:val="26"/>
        <w:lang w:eastAsia="en-US" w:bidi="ar-SA"/>
      </w:rPr>
    </w:lvl>
    <w:lvl w:ilvl="2">
      <w:numFmt w:val="bullet"/>
      <w:suff w:val="space"/>
      <w:lvlText w:val="-"/>
      <w:lvlJc w:val="left"/>
      <w:pPr>
        <w:ind w:left="118" w:hanging="152"/>
      </w:pPr>
      <w:rPr>
        <w:rFonts w:ascii="Times New Roman" w:hAnsi="Times New Roman" w:cs="Times New Roman" w:hint="default"/>
        <w:w w:val="99"/>
        <w:sz w:val="26"/>
        <w:szCs w:val="26"/>
        <w:lang w:eastAsia="en-US" w:bidi="ar-SA"/>
      </w:rPr>
    </w:lvl>
    <w:lvl w:ilvl="3">
      <w:numFmt w:val="bullet"/>
      <w:lvlText w:val="•"/>
      <w:lvlJc w:val="left"/>
      <w:pPr>
        <w:ind w:left="2180" w:hanging="152"/>
      </w:pPr>
      <w:rPr>
        <w:lang w:eastAsia="en-US" w:bidi="ar-SA"/>
      </w:rPr>
    </w:lvl>
    <w:lvl w:ilvl="4">
      <w:numFmt w:val="bullet"/>
      <w:lvlText w:val="•"/>
      <w:lvlJc w:val="left"/>
      <w:pPr>
        <w:ind w:left="3261" w:hanging="152"/>
      </w:pPr>
      <w:rPr>
        <w:lang w:eastAsia="en-US" w:bidi="ar-SA"/>
      </w:rPr>
    </w:lvl>
    <w:lvl w:ilvl="5">
      <w:numFmt w:val="bullet"/>
      <w:lvlText w:val="•"/>
      <w:lvlJc w:val="left"/>
      <w:pPr>
        <w:ind w:left="4342" w:hanging="152"/>
      </w:pPr>
      <w:rPr>
        <w:lang w:eastAsia="en-US" w:bidi="ar-SA"/>
      </w:rPr>
    </w:lvl>
    <w:lvl w:ilvl="6">
      <w:numFmt w:val="bullet"/>
      <w:lvlText w:val="•"/>
      <w:lvlJc w:val="left"/>
      <w:pPr>
        <w:ind w:left="5423" w:hanging="152"/>
      </w:pPr>
      <w:rPr>
        <w:lang w:eastAsia="en-US" w:bidi="ar-SA"/>
      </w:rPr>
    </w:lvl>
    <w:lvl w:ilvl="7">
      <w:numFmt w:val="bullet"/>
      <w:lvlText w:val="•"/>
      <w:lvlJc w:val="left"/>
      <w:pPr>
        <w:ind w:left="6504" w:hanging="152"/>
      </w:pPr>
      <w:rPr>
        <w:lang w:eastAsia="en-US" w:bidi="ar-SA"/>
      </w:rPr>
    </w:lvl>
    <w:lvl w:ilvl="8">
      <w:numFmt w:val="bullet"/>
      <w:lvlText w:val="•"/>
      <w:lvlJc w:val="left"/>
      <w:pPr>
        <w:ind w:left="7584" w:hanging="152"/>
      </w:pPr>
      <w:rPr>
        <w:lang w:eastAsia="en-US" w:bidi="ar-SA"/>
      </w:rPr>
    </w:lvl>
  </w:abstractNum>
  <w:abstractNum w:abstractNumId="2" w15:restartNumberingAfterBreak="0">
    <w:nsid w:val="76E878E0"/>
    <w:multiLevelType w:val="hybridMultilevel"/>
    <w:tmpl w:val="8ED621C4"/>
    <w:lvl w:ilvl="0" w:tplc="054687CC">
      <w:start w:val="10"/>
      <w:numFmt w:val="decimal"/>
      <w:lvlText w:val="%1."/>
      <w:lvlJc w:val="left"/>
      <w:pPr>
        <w:ind w:left="1197" w:hanging="360"/>
      </w:pPr>
    </w:lvl>
    <w:lvl w:ilvl="1" w:tplc="04090019">
      <w:start w:val="1"/>
      <w:numFmt w:val="lowerLetter"/>
      <w:lvlText w:val="%2."/>
      <w:lvlJc w:val="left"/>
      <w:pPr>
        <w:ind w:left="1917" w:hanging="360"/>
      </w:pPr>
    </w:lvl>
    <w:lvl w:ilvl="2" w:tplc="0409001B">
      <w:start w:val="1"/>
      <w:numFmt w:val="lowerRoman"/>
      <w:lvlText w:val="%3."/>
      <w:lvlJc w:val="right"/>
      <w:pPr>
        <w:ind w:left="2637" w:hanging="180"/>
      </w:pPr>
    </w:lvl>
    <w:lvl w:ilvl="3" w:tplc="0409000F">
      <w:start w:val="1"/>
      <w:numFmt w:val="decimal"/>
      <w:lvlText w:val="%4."/>
      <w:lvlJc w:val="left"/>
      <w:pPr>
        <w:ind w:left="3357" w:hanging="360"/>
      </w:pPr>
    </w:lvl>
    <w:lvl w:ilvl="4" w:tplc="04090019">
      <w:start w:val="1"/>
      <w:numFmt w:val="lowerLetter"/>
      <w:lvlText w:val="%5."/>
      <w:lvlJc w:val="left"/>
      <w:pPr>
        <w:ind w:left="4077" w:hanging="360"/>
      </w:pPr>
    </w:lvl>
    <w:lvl w:ilvl="5" w:tplc="0409001B">
      <w:start w:val="1"/>
      <w:numFmt w:val="lowerRoman"/>
      <w:lvlText w:val="%6."/>
      <w:lvlJc w:val="right"/>
      <w:pPr>
        <w:ind w:left="4797" w:hanging="180"/>
      </w:pPr>
    </w:lvl>
    <w:lvl w:ilvl="6" w:tplc="0409000F">
      <w:start w:val="1"/>
      <w:numFmt w:val="decimal"/>
      <w:lvlText w:val="%7."/>
      <w:lvlJc w:val="left"/>
      <w:pPr>
        <w:ind w:left="5517" w:hanging="360"/>
      </w:pPr>
    </w:lvl>
    <w:lvl w:ilvl="7" w:tplc="04090019">
      <w:start w:val="1"/>
      <w:numFmt w:val="lowerLetter"/>
      <w:lvlText w:val="%8."/>
      <w:lvlJc w:val="left"/>
      <w:pPr>
        <w:ind w:left="6237" w:hanging="360"/>
      </w:pPr>
    </w:lvl>
    <w:lvl w:ilvl="8" w:tplc="0409001B">
      <w:start w:val="1"/>
      <w:numFmt w:val="lowerRoman"/>
      <w:lvlText w:val="%9."/>
      <w:lvlJc w:val="right"/>
      <w:pPr>
        <w:ind w:left="6957" w:hanging="180"/>
      </w:pPr>
    </w:lvl>
  </w:abstractNum>
  <w:num w:numId="1" w16cid:durableId="61718034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83120939">
    <w:abstractNumId w:val="0"/>
  </w:num>
  <w:num w:numId="3" w16cid:durableId="1377303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03"/>
    <w:rsid w:val="00047C75"/>
    <w:rsid w:val="00344BDD"/>
    <w:rsid w:val="0048723A"/>
    <w:rsid w:val="007D2DC9"/>
    <w:rsid w:val="00BA1063"/>
    <w:rsid w:val="00E06203"/>
    <w:rsid w:val="00FF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F515"/>
  <w15:chartTrackingRefBased/>
  <w15:docId w15:val="{87405AC1-3B5F-4827-BB5D-FB1D4320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2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2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62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62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62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62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62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2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2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2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2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62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62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62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62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62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6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2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2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6203"/>
    <w:pPr>
      <w:spacing w:before="160"/>
      <w:jc w:val="center"/>
    </w:pPr>
    <w:rPr>
      <w:i/>
      <w:iCs/>
      <w:color w:val="404040" w:themeColor="text1" w:themeTint="BF"/>
    </w:rPr>
  </w:style>
  <w:style w:type="character" w:customStyle="1" w:styleId="QuoteChar">
    <w:name w:val="Quote Char"/>
    <w:basedOn w:val="DefaultParagraphFont"/>
    <w:link w:val="Quote"/>
    <w:uiPriority w:val="29"/>
    <w:rsid w:val="00E06203"/>
    <w:rPr>
      <w:i/>
      <w:iCs/>
      <w:color w:val="404040" w:themeColor="text1" w:themeTint="BF"/>
    </w:rPr>
  </w:style>
  <w:style w:type="paragraph" w:styleId="ListParagraph">
    <w:name w:val="List Paragraph"/>
    <w:basedOn w:val="Normal"/>
    <w:uiPriority w:val="34"/>
    <w:qFormat/>
    <w:rsid w:val="00E06203"/>
    <w:pPr>
      <w:ind w:left="720"/>
      <w:contextualSpacing/>
    </w:pPr>
  </w:style>
  <w:style w:type="character" w:styleId="IntenseEmphasis">
    <w:name w:val="Intense Emphasis"/>
    <w:basedOn w:val="DefaultParagraphFont"/>
    <w:uiPriority w:val="21"/>
    <w:qFormat/>
    <w:rsid w:val="00E06203"/>
    <w:rPr>
      <w:i/>
      <w:iCs/>
      <w:color w:val="2F5496" w:themeColor="accent1" w:themeShade="BF"/>
    </w:rPr>
  </w:style>
  <w:style w:type="paragraph" w:styleId="IntenseQuote">
    <w:name w:val="Intense Quote"/>
    <w:basedOn w:val="Normal"/>
    <w:next w:val="Normal"/>
    <w:link w:val="IntenseQuoteChar"/>
    <w:uiPriority w:val="30"/>
    <w:qFormat/>
    <w:rsid w:val="00E06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203"/>
    <w:rPr>
      <w:i/>
      <w:iCs/>
      <w:color w:val="2F5496" w:themeColor="accent1" w:themeShade="BF"/>
    </w:rPr>
  </w:style>
  <w:style w:type="character" w:styleId="IntenseReference">
    <w:name w:val="Intense Reference"/>
    <w:basedOn w:val="DefaultParagraphFont"/>
    <w:uiPriority w:val="32"/>
    <w:qFormat/>
    <w:rsid w:val="00E06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11238</Characters>
  <Application>Microsoft Office Word</Application>
  <DocSecurity>0</DocSecurity>
  <Lines>93</Lines>
  <Paragraphs>26</Paragraphs>
  <ScaleCrop>false</ScaleCrop>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lehoang duy</dc:creator>
  <cp:keywords/>
  <dc:description/>
  <cp:lastModifiedBy>lehoang duy</cp:lastModifiedBy>
  <cp:revision>2</cp:revision>
  <dcterms:created xsi:type="dcterms:W3CDTF">2026-03-16T09:04:00Z</dcterms:created>
  <dcterms:modified xsi:type="dcterms:W3CDTF">2026-03-16T09:05:00Z</dcterms:modified>
</cp:coreProperties>
</file>