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FA16" w14:textId="77777777" w:rsidR="00D6036C" w:rsidRPr="00F11555" w:rsidRDefault="00D6036C" w:rsidP="00D6036C">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32A6F2F6" w14:textId="77777777" w:rsidR="00D6036C" w:rsidRPr="00F11555" w:rsidRDefault="00D6036C" w:rsidP="00D6036C">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49C3A075" w14:textId="77777777" w:rsidR="00D6036C" w:rsidRPr="00F11555" w:rsidRDefault="00D6036C" w:rsidP="00D6036C">
      <w:pPr>
        <w:spacing w:before="60" w:after="60"/>
        <w:ind w:firstLine="720"/>
        <w:rPr>
          <w:bCs/>
          <w:i/>
          <w:iCs/>
          <w:sz w:val="28"/>
          <w:szCs w:val="28"/>
          <w:lang w:val="it-IT"/>
        </w:rPr>
      </w:pPr>
    </w:p>
    <w:p w14:paraId="70EF8137" w14:textId="77777777" w:rsidR="00D6036C" w:rsidRDefault="00D6036C" w:rsidP="00D6036C">
      <w:pPr>
        <w:spacing w:before="60" w:after="60"/>
        <w:ind w:firstLine="720"/>
        <w:rPr>
          <w:bCs/>
          <w:i/>
          <w:iCs/>
          <w:sz w:val="28"/>
          <w:szCs w:val="28"/>
          <w:lang w:val="it-IT"/>
        </w:rPr>
      </w:pPr>
      <w:r w:rsidRPr="00F11555">
        <w:rPr>
          <w:bCs/>
          <w:i/>
          <w:iCs/>
          <w:sz w:val="28"/>
          <w:szCs w:val="28"/>
          <w:lang w:val="it-IT"/>
        </w:rPr>
        <w:t>“Điều khoản tham chiếu" bao gồm những nội dung chủ yếu sau:</w:t>
      </w:r>
    </w:p>
    <w:p w14:paraId="56A4A7AE" w14:textId="77777777" w:rsidR="00D6036C" w:rsidRPr="00F11555" w:rsidRDefault="00D6036C" w:rsidP="00D6036C">
      <w:pPr>
        <w:spacing w:before="60" w:after="60"/>
        <w:ind w:firstLine="720"/>
        <w:rPr>
          <w:b/>
          <w:bCs/>
          <w:sz w:val="28"/>
          <w:szCs w:val="28"/>
          <w:lang w:val="it-IT"/>
        </w:rPr>
      </w:pPr>
      <w:r w:rsidRPr="00F11555">
        <w:rPr>
          <w:b/>
          <w:sz w:val="28"/>
          <w:szCs w:val="28"/>
          <w:lang w:val="it-IT"/>
        </w:rPr>
        <w:t>I. Giới thiệu:</w:t>
      </w:r>
    </w:p>
    <w:p w14:paraId="05C1B427" w14:textId="5D73D6CB" w:rsidR="00D6036C" w:rsidRDefault="00D6036C" w:rsidP="00D6036C">
      <w:pPr>
        <w:spacing w:before="60" w:after="60"/>
        <w:ind w:firstLine="720"/>
        <w:rPr>
          <w:b/>
          <w:bCs/>
          <w:sz w:val="28"/>
          <w:szCs w:val="28"/>
          <w:lang w:val="it-IT"/>
        </w:rPr>
      </w:pPr>
      <w:r w:rsidRPr="004F2760">
        <w:rPr>
          <w:b/>
          <w:bCs/>
          <w:sz w:val="28"/>
          <w:szCs w:val="28"/>
          <w:lang w:val="it-IT"/>
        </w:rPr>
        <w:t>1. Mô tả khái quát về dự án/dự toán mua sắm và gói thầu</w:t>
      </w:r>
    </w:p>
    <w:p w14:paraId="786E7C1B" w14:textId="77777777" w:rsidR="00E7353A" w:rsidRPr="00A47C0A" w:rsidRDefault="00E7353A" w:rsidP="00E7353A">
      <w:pPr>
        <w:tabs>
          <w:tab w:val="left" w:pos="1418"/>
        </w:tabs>
        <w:spacing w:before="120" w:after="120" w:line="264" w:lineRule="auto"/>
        <w:ind w:firstLine="709"/>
        <w:rPr>
          <w:color w:val="000000" w:themeColor="text1"/>
          <w:sz w:val="28"/>
          <w:szCs w:val="28"/>
          <w:lang w:val="vi-VN"/>
        </w:rPr>
      </w:pPr>
      <w:r w:rsidRPr="00A47C0A">
        <w:rPr>
          <w:color w:val="000000" w:themeColor="text1"/>
          <w:sz w:val="28"/>
          <w:szCs w:val="28"/>
          <w:lang w:val="vi-VN"/>
        </w:rPr>
        <w:t>1. Phạm vi công việc của gói thầu.</w:t>
      </w:r>
    </w:p>
    <w:p w14:paraId="419C06A1" w14:textId="06696047" w:rsidR="00E7353A" w:rsidRPr="00A47C0A" w:rsidRDefault="00E7353A" w:rsidP="00E7353A">
      <w:pPr>
        <w:tabs>
          <w:tab w:val="left" w:pos="1418"/>
        </w:tabs>
        <w:spacing w:before="120" w:after="120" w:line="264" w:lineRule="auto"/>
        <w:ind w:firstLine="709"/>
        <w:rPr>
          <w:color w:val="000000" w:themeColor="text1"/>
          <w:sz w:val="28"/>
          <w:szCs w:val="28"/>
          <w:lang w:val="en-GB"/>
        </w:rPr>
      </w:pPr>
      <w:r w:rsidRPr="00A47C0A">
        <w:rPr>
          <w:color w:val="000000" w:themeColor="text1"/>
          <w:sz w:val="28"/>
          <w:szCs w:val="28"/>
          <w:lang w:val="en-GB"/>
        </w:rPr>
        <w:t xml:space="preserve">- Tên gói thầu: </w:t>
      </w:r>
      <w:r w:rsidRPr="004422D0">
        <w:rPr>
          <w:color w:val="000000" w:themeColor="text1"/>
          <w:sz w:val="28"/>
          <w:szCs w:val="28"/>
          <w:lang w:val="en-GB"/>
        </w:rPr>
        <w:t>Gói thầu 0</w:t>
      </w:r>
      <w:r w:rsidR="00B35F61">
        <w:rPr>
          <w:color w:val="000000" w:themeColor="text1"/>
          <w:sz w:val="28"/>
          <w:szCs w:val="28"/>
          <w:lang w:val="en-GB"/>
        </w:rPr>
        <w:t>2</w:t>
      </w:r>
      <w:r w:rsidRPr="004422D0">
        <w:rPr>
          <w:color w:val="000000" w:themeColor="text1"/>
          <w:sz w:val="28"/>
          <w:szCs w:val="28"/>
          <w:lang w:val="en-GB"/>
        </w:rPr>
        <w:t xml:space="preserve">: </w:t>
      </w:r>
      <w:r w:rsidR="007C15DB">
        <w:rPr>
          <w:color w:val="000000" w:themeColor="text1"/>
          <w:sz w:val="28"/>
          <w:szCs w:val="28"/>
          <w:lang w:val="en-GB"/>
        </w:rPr>
        <w:t>Tư vấn giám sát thi công xây dựng và lắp đặt thiết bị công trình</w:t>
      </w:r>
      <w:r w:rsidRPr="004422D0">
        <w:rPr>
          <w:color w:val="000000" w:themeColor="text1"/>
          <w:sz w:val="28"/>
          <w:szCs w:val="28"/>
          <w:lang w:val="en-GB"/>
        </w:rPr>
        <w:t xml:space="preserve"> “Khắc phục tồn tại về phòng cháy chữa cháy trụ sở làm việc Công ty Điện lực Bà Rịa - Vũng Tàu”</w:t>
      </w:r>
      <w:r>
        <w:rPr>
          <w:color w:val="000000" w:themeColor="text1"/>
          <w:sz w:val="28"/>
          <w:szCs w:val="28"/>
          <w:lang w:val="en-GB"/>
        </w:rPr>
        <w:t>.</w:t>
      </w:r>
    </w:p>
    <w:p w14:paraId="19B71AD8" w14:textId="6DA8D8AE" w:rsidR="00E7353A" w:rsidRDefault="00E7353A" w:rsidP="00E7353A">
      <w:pPr>
        <w:tabs>
          <w:tab w:val="left" w:pos="1418"/>
        </w:tabs>
        <w:spacing w:before="120" w:after="120" w:line="264" w:lineRule="auto"/>
        <w:ind w:firstLine="709"/>
        <w:rPr>
          <w:color w:val="000000" w:themeColor="text1"/>
          <w:sz w:val="28"/>
          <w:szCs w:val="28"/>
          <w:lang w:val="en-GB"/>
        </w:rPr>
      </w:pPr>
      <w:r w:rsidRPr="00A47C0A">
        <w:rPr>
          <w:color w:val="000000" w:themeColor="text1"/>
          <w:sz w:val="28"/>
          <w:szCs w:val="28"/>
          <w:lang w:val="en-GB"/>
        </w:rPr>
        <w:t>- Quy mô</w:t>
      </w:r>
      <w:r w:rsidR="00FD2C04">
        <w:rPr>
          <w:color w:val="000000" w:themeColor="text1"/>
          <w:sz w:val="28"/>
          <w:szCs w:val="28"/>
          <w:lang w:val="en-GB"/>
        </w:rPr>
        <w:t xml:space="preserve"> dự án</w:t>
      </w:r>
      <w:r w:rsidRPr="00A47C0A">
        <w:rPr>
          <w:color w:val="000000" w:themeColor="text1"/>
          <w:sz w:val="28"/>
          <w:szCs w:val="28"/>
          <w:lang w:val="en-GB"/>
        </w:rPr>
        <w:t xml:space="preserve">: </w:t>
      </w:r>
    </w:p>
    <w:tbl>
      <w:tblPr>
        <w:tblStyle w:val="TableGrid1"/>
        <w:tblW w:w="5000" w:type="pct"/>
        <w:tblLook w:val="04A0" w:firstRow="1" w:lastRow="0" w:firstColumn="1" w:lastColumn="0" w:noHBand="0" w:noVBand="1"/>
      </w:tblPr>
      <w:tblGrid>
        <w:gridCol w:w="583"/>
        <w:gridCol w:w="6940"/>
        <w:gridCol w:w="1827"/>
      </w:tblGrid>
      <w:tr w:rsidR="00E7353A" w:rsidRPr="009A3439" w14:paraId="3B7E98DB" w14:textId="77777777" w:rsidTr="00AC57C6">
        <w:tc>
          <w:tcPr>
            <w:tcW w:w="312" w:type="pct"/>
            <w:vAlign w:val="center"/>
          </w:tcPr>
          <w:p w14:paraId="208D8778" w14:textId="77777777" w:rsidR="00E7353A" w:rsidRPr="009A3439" w:rsidRDefault="00E7353A" w:rsidP="00AC57C6">
            <w:pPr>
              <w:widowControl w:val="0"/>
              <w:tabs>
                <w:tab w:val="left" w:pos="709"/>
              </w:tabs>
              <w:spacing w:before="40" w:after="40" w:line="264" w:lineRule="auto"/>
              <w:jc w:val="center"/>
              <w:rPr>
                <w:rFonts w:eastAsia="Calibri"/>
                <w:color w:val="000000" w:themeColor="text1"/>
                <w:sz w:val="27"/>
                <w:szCs w:val="27"/>
              </w:rPr>
            </w:pPr>
            <w:r w:rsidRPr="009A3439">
              <w:rPr>
                <w:rFonts w:eastAsia="Calibri"/>
                <w:color w:val="000000" w:themeColor="text1"/>
                <w:sz w:val="27"/>
                <w:szCs w:val="27"/>
              </w:rPr>
              <w:t>Stt</w:t>
            </w:r>
          </w:p>
        </w:tc>
        <w:tc>
          <w:tcPr>
            <w:tcW w:w="3711" w:type="pct"/>
            <w:vAlign w:val="center"/>
          </w:tcPr>
          <w:p w14:paraId="7092C681" w14:textId="77777777" w:rsidR="00E7353A" w:rsidRPr="009A3439" w:rsidRDefault="00E7353A" w:rsidP="00AC57C6">
            <w:pPr>
              <w:widowControl w:val="0"/>
              <w:tabs>
                <w:tab w:val="left" w:pos="709"/>
              </w:tabs>
              <w:spacing w:before="40" w:after="40" w:line="264" w:lineRule="auto"/>
              <w:jc w:val="center"/>
              <w:rPr>
                <w:rFonts w:eastAsia="Calibri"/>
                <w:color w:val="000000" w:themeColor="text1"/>
                <w:sz w:val="27"/>
                <w:szCs w:val="27"/>
              </w:rPr>
            </w:pPr>
            <w:r w:rsidRPr="009A3439">
              <w:rPr>
                <w:rFonts w:eastAsia="Calibri"/>
                <w:color w:val="000000" w:themeColor="text1"/>
                <w:sz w:val="27"/>
                <w:szCs w:val="27"/>
              </w:rPr>
              <w:t>Hạng mục công việc</w:t>
            </w:r>
          </w:p>
        </w:tc>
        <w:tc>
          <w:tcPr>
            <w:tcW w:w="977" w:type="pct"/>
            <w:vAlign w:val="center"/>
          </w:tcPr>
          <w:p w14:paraId="49D640BE" w14:textId="77777777" w:rsidR="00E7353A" w:rsidRPr="009A3439" w:rsidRDefault="00E7353A" w:rsidP="00AC57C6">
            <w:pPr>
              <w:widowControl w:val="0"/>
              <w:tabs>
                <w:tab w:val="left" w:pos="709"/>
              </w:tabs>
              <w:spacing w:before="40" w:after="40" w:line="264" w:lineRule="auto"/>
              <w:jc w:val="center"/>
              <w:rPr>
                <w:rFonts w:eastAsia="Calibri"/>
                <w:color w:val="000000" w:themeColor="text1"/>
                <w:sz w:val="27"/>
                <w:szCs w:val="27"/>
              </w:rPr>
            </w:pPr>
            <w:r w:rsidRPr="009A3439">
              <w:rPr>
                <w:rFonts w:eastAsia="Calibri"/>
                <w:color w:val="000000" w:themeColor="text1"/>
                <w:sz w:val="27"/>
                <w:szCs w:val="27"/>
              </w:rPr>
              <w:t>Số lượng</w:t>
            </w:r>
          </w:p>
        </w:tc>
      </w:tr>
      <w:tr w:rsidR="00E7353A" w:rsidRPr="009A3439" w14:paraId="7040F89D" w14:textId="77777777" w:rsidTr="00AC57C6">
        <w:tc>
          <w:tcPr>
            <w:tcW w:w="312" w:type="pct"/>
            <w:vAlign w:val="center"/>
          </w:tcPr>
          <w:p w14:paraId="02BAEF9D" w14:textId="77777777" w:rsidR="00E7353A" w:rsidRPr="009A3439" w:rsidRDefault="00E7353A" w:rsidP="00AC57C6">
            <w:pPr>
              <w:widowControl w:val="0"/>
              <w:tabs>
                <w:tab w:val="left" w:pos="709"/>
              </w:tabs>
              <w:spacing w:before="40" w:after="40" w:line="264" w:lineRule="auto"/>
              <w:jc w:val="center"/>
              <w:rPr>
                <w:rFonts w:eastAsia="Calibri"/>
                <w:color w:val="000000" w:themeColor="text1"/>
                <w:sz w:val="27"/>
                <w:szCs w:val="27"/>
              </w:rPr>
            </w:pPr>
            <w:r w:rsidRPr="009A3439">
              <w:rPr>
                <w:rFonts w:eastAsia="Calibri"/>
                <w:color w:val="000000" w:themeColor="text1"/>
                <w:sz w:val="27"/>
                <w:szCs w:val="27"/>
              </w:rPr>
              <w:t>1</w:t>
            </w:r>
          </w:p>
        </w:tc>
        <w:tc>
          <w:tcPr>
            <w:tcW w:w="3711" w:type="pct"/>
            <w:vAlign w:val="center"/>
          </w:tcPr>
          <w:p w14:paraId="58871CA5" w14:textId="77777777" w:rsidR="00E7353A" w:rsidRPr="009A3439" w:rsidRDefault="00E7353A" w:rsidP="00AC57C6">
            <w:pPr>
              <w:widowControl w:val="0"/>
              <w:tabs>
                <w:tab w:val="left" w:pos="709"/>
              </w:tabs>
              <w:spacing w:line="264" w:lineRule="auto"/>
              <w:rPr>
                <w:rFonts w:eastAsia="Calibri"/>
                <w:color w:val="000000" w:themeColor="text1"/>
                <w:sz w:val="27"/>
                <w:szCs w:val="27"/>
              </w:rPr>
            </w:pPr>
            <w:r w:rsidRPr="009A3439">
              <w:rPr>
                <w:rFonts w:eastAsia="Calibri"/>
                <w:color w:val="000000" w:themeColor="text1"/>
                <w:sz w:val="27"/>
                <w:szCs w:val="27"/>
              </w:rPr>
              <w:t>Khắc phục tồn tại về phòng cháy chữa cháy trụ sở làm việc Công ty Điện lực Bà Rịa -Vũng Tàu:</w:t>
            </w:r>
          </w:p>
          <w:p w14:paraId="5262D224" w14:textId="77777777" w:rsidR="00E7353A" w:rsidRPr="009A3439" w:rsidRDefault="00E7353A" w:rsidP="00AC57C6">
            <w:pPr>
              <w:widowControl w:val="0"/>
              <w:tabs>
                <w:tab w:val="left" w:pos="709"/>
              </w:tabs>
              <w:spacing w:line="264" w:lineRule="auto"/>
              <w:rPr>
                <w:rFonts w:eastAsia="Calibri"/>
                <w:color w:val="000000" w:themeColor="text1"/>
                <w:sz w:val="27"/>
                <w:szCs w:val="27"/>
              </w:rPr>
            </w:pPr>
            <w:r w:rsidRPr="009A3439">
              <w:rPr>
                <w:rFonts w:eastAsia="Calibri"/>
                <w:color w:val="000000" w:themeColor="text1"/>
                <w:sz w:val="27"/>
                <w:szCs w:val="27"/>
              </w:rPr>
              <w:t>-Hạng mục 1: Hệ thống PCCC nhà làm việc và hệ thống NLMT áp mái 140kWp.</w:t>
            </w:r>
          </w:p>
          <w:p w14:paraId="342484A6" w14:textId="77777777" w:rsidR="00E7353A" w:rsidRPr="009A3439" w:rsidRDefault="00E7353A" w:rsidP="00AC57C6">
            <w:pPr>
              <w:widowControl w:val="0"/>
              <w:tabs>
                <w:tab w:val="left" w:pos="709"/>
              </w:tabs>
              <w:spacing w:line="264" w:lineRule="auto"/>
              <w:rPr>
                <w:rFonts w:eastAsia="Calibri"/>
                <w:color w:val="000000" w:themeColor="text1"/>
                <w:sz w:val="27"/>
                <w:szCs w:val="27"/>
              </w:rPr>
            </w:pPr>
            <w:r w:rsidRPr="009A3439">
              <w:rPr>
                <w:rFonts w:eastAsia="Calibri"/>
                <w:color w:val="000000" w:themeColor="text1"/>
                <w:sz w:val="27"/>
                <w:szCs w:val="27"/>
              </w:rPr>
              <w:t>-Hạng mục 2: Hệ thống PCCC kho vật tư Công ty.</w:t>
            </w:r>
          </w:p>
        </w:tc>
        <w:tc>
          <w:tcPr>
            <w:tcW w:w="977" w:type="pct"/>
            <w:vAlign w:val="center"/>
          </w:tcPr>
          <w:p w14:paraId="78019869" w14:textId="77777777" w:rsidR="00E7353A" w:rsidRPr="009A3439" w:rsidRDefault="00E7353A" w:rsidP="00AC57C6">
            <w:pPr>
              <w:widowControl w:val="0"/>
              <w:tabs>
                <w:tab w:val="left" w:pos="709"/>
              </w:tabs>
              <w:spacing w:before="40" w:after="40" w:line="264" w:lineRule="auto"/>
              <w:jc w:val="center"/>
              <w:rPr>
                <w:rFonts w:eastAsia="Calibri"/>
                <w:color w:val="000000" w:themeColor="text1"/>
                <w:sz w:val="27"/>
                <w:szCs w:val="27"/>
              </w:rPr>
            </w:pPr>
            <w:r w:rsidRPr="009A3439">
              <w:rPr>
                <w:rFonts w:eastAsia="Calibri"/>
                <w:color w:val="000000" w:themeColor="text1"/>
                <w:sz w:val="27"/>
                <w:szCs w:val="27"/>
              </w:rPr>
              <w:t>01 hệ thống</w:t>
            </w:r>
          </w:p>
        </w:tc>
      </w:tr>
    </w:tbl>
    <w:p w14:paraId="30C2C840" w14:textId="7AD109EF" w:rsidR="00B0120C" w:rsidRDefault="00B0120C" w:rsidP="00B0120C">
      <w:pPr>
        <w:pStyle w:val="Daudong-"/>
        <w:numPr>
          <w:ilvl w:val="0"/>
          <w:numId w:val="13"/>
        </w:numPr>
        <w:tabs>
          <w:tab w:val="clear" w:pos="851"/>
        </w:tabs>
        <w:rPr>
          <w:color w:val="auto"/>
          <w:lang w:val="en-US"/>
        </w:rPr>
      </w:pPr>
      <w:r w:rsidRPr="009A3439">
        <w:rPr>
          <w:rFonts w:eastAsia="Calibri"/>
          <w:color w:val="000000" w:themeColor="text1"/>
          <w:sz w:val="27"/>
          <w:szCs w:val="27"/>
        </w:rPr>
        <w:t>Hệ thống PCCC kho vật tư Công ty</w:t>
      </w:r>
      <w:r>
        <w:rPr>
          <w:color w:val="auto"/>
          <w:lang w:val="en-US"/>
        </w:rPr>
        <w:t xml:space="preserve"> gồm những hạng mục cơ bản:</w:t>
      </w:r>
    </w:p>
    <w:p w14:paraId="66CE414C" w14:textId="77777777" w:rsidR="00B0120C" w:rsidRPr="00EC403F" w:rsidRDefault="00B0120C" w:rsidP="00B0120C">
      <w:pPr>
        <w:pStyle w:val="BodyTextIndent2"/>
        <w:suppressAutoHyphens/>
        <w:spacing w:after="0" w:line="264" w:lineRule="auto"/>
        <w:ind w:left="709"/>
        <w:rPr>
          <w:bCs/>
          <w:color w:val="000000" w:themeColor="text1"/>
          <w:sz w:val="26"/>
          <w:szCs w:val="26"/>
        </w:rPr>
      </w:pPr>
      <w:r w:rsidRPr="00EC403F">
        <w:rPr>
          <w:bCs/>
          <w:color w:val="000000" w:themeColor="text1"/>
          <w:sz w:val="26"/>
          <w:szCs w:val="26"/>
        </w:rPr>
        <w:t>Trang bị hệ thống báo cháy tự động trong nhà;</w:t>
      </w:r>
    </w:p>
    <w:p w14:paraId="11ABEEC2" w14:textId="77777777" w:rsidR="00B0120C" w:rsidRPr="00EC403F" w:rsidRDefault="00B0120C" w:rsidP="00B0120C">
      <w:pPr>
        <w:pStyle w:val="BodyTextIndent2"/>
        <w:suppressAutoHyphens/>
        <w:spacing w:after="0" w:line="264" w:lineRule="auto"/>
        <w:ind w:left="709"/>
        <w:rPr>
          <w:bCs/>
          <w:color w:val="000000" w:themeColor="text1"/>
          <w:sz w:val="26"/>
          <w:szCs w:val="26"/>
        </w:rPr>
      </w:pPr>
      <w:r w:rsidRPr="00EC403F">
        <w:rPr>
          <w:bCs/>
          <w:color w:val="000000" w:themeColor="text1"/>
          <w:sz w:val="26"/>
          <w:szCs w:val="26"/>
        </w:rPr>
        <w:t>Trang bị hệ thống bình chữa cháy tại chỗ, bộ dụng cụ phá dỡ thông thường;</w:t>
      </w:r>
    </w:p>
    <w:p w14:paraId="0BF33C68" w14:textId="77777777" w:rsidR="00B0120C" w:rsidRPr="00EC403F" w:rsidRDefault="00B0120C" w:rsidP="00B0120C">
      <w:pPr>
        <w:pStyle w:val="BodyTextIndent2"/>
        <w:suppressAutoHyphens/>
        <w:spacing w:after="0" w:line="264" w:lineRule="auto"/>
        <w:ind w:left="709"/>
        <w:rPr>
          <w:bCs/>
          <w:color w:val="000000" w:themeColor="text1"/>
          <w:sz w:val="26"/>
          <w:szCs w:val="26"/>
        </w:rPr>
      </w:pPr>
      <w:r w:rsidRPr="00EC403F">
        <w:rPr>
          <w:bCs/>
          <w:color w:val="000000" w:themeColor="text1"/>
          <w:sz w:val="26"/>
          <w:szCs w:val="26"/>
        </w:rPr>
        <w:t>Trang bị hệ thống Exit sự cố.</w:t>
      </w:r>
    </w:p>
    <w:p w14:paraId="0D61108A" w14:textId="77777777" w:rsidR="00B0120C" w:rsidRPr="00EC403F" w:rsidRDefault="00B0120C" w:rsidP="00B0120C">
      <w:pPr>
        <w:pStyle w:val="BodyTextIndent2"/>
        <w:suppressAutoHyphens/>
        <w:spacing w:after="0" w:line="264" w:lineRule="auto"/>
        <w:ind w:left="709"/>
        <w:rPr>
          <w:bCs/>
          <w:color w:val="000000" w:themeColor="text1"/>
          <w:sz w:val="26"/>
          <w:szCs w:val="26"/>
        </w:rPr>
      </w:pPr>
      <w:r w:rsidRPr="00EC403F">
        <w:rPr>
          <w:bCs/>
          <w:color w:val="000000" w:themeColor="text1"/>
          <w:sz w:val="26"/>
          <w:szCs w:val="26"/>
        </w:rPr>
        <w:t>Trang bị hệ thống cấp nước chữa cháy bằng nước ngoài nhà bao gồm:</w:t>
      </w:r>
    </w:p>
    <w:p w14:paraId="5FC43ECB" w14:textId="77777777" w:rsidR="00B0120C" w:rsidRPr="00EC403F" w:rsidRDefault="00B0120C" w:rsidP="00B0120C">
      <w:pPr>
        <w:pStyle w:val="Vnbnnidung0"/>
        <w:spacing w:after="60" w:line="264" w:lineRule="auto"/>
        <w:ind w:firstLine="720"/>
        <w:jc w:val="both"/>
        <w:rPr>
          <w:color w:val="000000" w:themeColor="text1"/>
        </w:rPr>
      </w:pPr>
      <w:r w:rsidRPr="00EC403F">
        <w:rPr>
          <w:color w:val="000000" w:themeColor="text1"/>
        </w:rPr>
        <w:t>+ Nhà trạm bơm: Có kích thước khoảng 5x4(m), dạng trệt, tường dày 20cm, mái lợp tôn, xây dựng trên nắp bể, hoặc kế bên tùy theo vị trí của mặt bằng các trạm hiện có cho phù hợp.</w:t>
      </w:r>
    </w:p>
    <w:p w14:paraId="06A9E896" w14:textId="77777777" w:rsidR="00B0120C" w:rsidRPr="00EC403F" w:rsidRDefault="00B0120C" w:rsidP="00B0120C">
      <w:pPr>
        <w:pStyle w:val="Vnbnnidung0"/>
        <w:spacing w:after="60" w:line="264" w:lineRule="auto"/>
        <w:ind w:firstLine="720"/>
        <w:jc w:val="both"/>
        <w:rPr>
          <w:color w:val="000000" w:themeColor="text1"/>
        </w:rPr>
      </w:pPr>
      <w:r w:rsidRPr="00EC403F">
        <w:rPr>
          <w:color w:val="000000" w:themeColor="text1"/>
        </w:rPr>
        <w:t>+ Bể nước chữa cháy: đảm bảo cấp đủ lượng nước cho các phương tiện chữa cháy cấu kiện xây dựng với thời gian là 3 giờ liên tục với lưu lượng nước chữa cháy lớn nhất.</w:t>
      </w:r>
    </w:p>
    <w:p w14:paraId="3F4C791E" w14:textId="77777777" w:rsidR="00B0120C" w:rsidRPr="00EC403F" w:rsidRDefault="00B0120C" w:rsidP="00B0120C">
      <w:pPr>
        <w:pStyle w:val="Vnbnnidung0"/>
        <w:spacing w:after="60" w:line="264" w:lineRule="auto"/>
        <w:ind w:firstLine="720"/>
        <w:jc w:val="both"/>
        <w:rPr>
          <w:color w:val="000000" w:themeColor="text1"/>
        </w:rPr>
      </w:pPr>
      <w:r w:rsidRPr="00EC403F">
        <w:rPr>
          <w:color w:val="000000" w:themeColor="text1"/>
        </w:rPr>
        <w:t>+ Hệ thống cấp nước chữa cháy bao gồm: Hệ thống (bơm điện, bơm diesel và bơm bù áp), đường ống dẫn nước cứu hỏa, gối đỡ đường ống ...Hệ thống vòi phun, lăng phun, trụ cứu hỏa, bệ đỡ tủ vòi cứu hỏa,...</w:t>
      </w:r>
    </w:p>
    <w:p w14:paraId="73CF3755" w14:textId="77777777" w:rsidR="00B0120C" w:rsidRPr="00EC403F" w:rsidRDefault="00B0120C" w:rsidP="00B0120C">
      <w:pPr>
        <w:pStyle w:val="BodyTextIndent2"/>
        <w:suppressAutoHyphens/>
        <w:spacing w:after="0" w:line="264" w:lineRule="auto"/>
        <w:ind w:left="709"/>
        <w:rPr>
          <w:bCs/>
          <w:color w:val="000000" w:themeColor="text1"/>
          <w:sz w:val="26"/>
          <w:szCs w:val="26"/>
        </w:rPr>
      </w:pPr>
      <w:r w:rsidRPr="00EC403F">
        <w:rPr>
          <w:bCs/>
          <w:color w:val="000000" w:themeColor="text1"/>
          <w:sz w:val="26"/>
          <w:szCs w:val="26"/>
        </w:rPr>
        <w:t>Trang bị hệ thống chữa cháy tự động bằng nước Sprinkler.</w:t>
      </w:r>
    </w:p>
    <w:p w14:paraId="6F8AA3FF" w14:textId="407721DE" w:rsidR="00B0120C" w:rsidRDefault="00B0120C" w:rsidP="00B0120C">
      <w:pPr>
        <w:pStyle w:val="BodyTextIndent2"/>
        <w:suppressAutoHyphens/>
        <w:spacing w:after="0" w:line="264" w:lineRule="auto"/>
        <w:ind w:left="709"/>
        <w:rPr>
          <w:bCs/>
          <w:color w:val="000000" w:themeColor="text1"/>
          <w:sz w:val="26"/>
          <w:szCs w:val="26"/>
        </w:rPr>
      </w:pPr>
      <w:r w:rsidRPr="00EC403F">
        <w:rPr>
          <w:bCs/>
          <w:color w:val="000000" w:themeColor="text1"/>
          <w:sz w:val="26"/>
          <w:szCs w:val="26"/>
        </w:rPr>
        <w:t>Trang bị hệ thống chữa cháy vách tường + ngoài nhà.</w:t>
      </w:r>
    </w:p>
    <w:p w14:paraId="057EA6B6" w14:textId="6618891A" w:rsidR="00B0120C" w:rsidRPr="00B0120C" w:rsidRDefault="00B0120C" w:rsidP="00B0120C">
      <w:pPr>
        <w:pStyle w:val="Daudong-"/>
        <w:numPr>
          <w:ilvl w:val="0"/>
          <w:numId w:val="13"/>
        </w:numPr>
        <w:tabs>
          <w:tab w:val="clear" w:pos="851"/>
        </w:tabs>
        <w:rPr>
          <w:color w:val="auto"/>
          <w:lang w:val="en-US"/>
        </w:rPr>
      </w:pPr>
      <w:r w:rsidRPr="009A3439">
        <w:rPr>
          <w:rFonts w:eastAsia="Calibri"/>
          <w:color w:val="000000" w:themeColor="text1"/>
          <w:sz w:val="27"/>
          <w:szCs w:val="27"/>
        </w:rPr>
        <w:t>Hệ thống PCCC nhà làm việc và hệ thống NLMT áp mái 140kWp</w:t>
      </w:r>
      <w:r>
        <w:rPr>
          <w:rFonts w:eastAsia="Calibri"/>
          <w:color w:val="000000" w:themeColor="text1"/>
          <w:sz w:val="27"/>
          <w:szCs w:val="27"/>
          <w:lang w:val="en-US"/>
        </w:rPr>
        <w:t xml:space="preserve">: </w:t>
      </w:r>
      <w:r w:rsidRPr="00EC403F">
        <w:rPr>
          <w:bCs/>
          <w:color w:val="000000" w:themeColor="text1"/>
        </w:rPr>
        <w:t xml:space="preserve">cải tạo tháo dỡ hệ thống mái che cố định tại khu vực nhà để xe. Thay thế lắp đặt hệ </w:t>
      </w:r>
      <w:r w:rsidRPr="00EC403F">
        <w:rPr>
          <w:bCs/>
          <w:color w:val="000000" w:themeColor="text1"/>
        </w:rPr>
        <w:lastRenderedPageBreak/>
        <w:t>thống mái che di động để đảm bảo công năng chữa cháy khi có sự cố xảy ra</w:t>
      </w:r>
    </w:p>
    <w:p w14:paraId="5C3E4B26" w14:textId="6B8D374D" w:rsidR="00D6036C" w:rsidRPr="004F2760" w:rsidRDefault="00D6036C" w:rsidP="00D6036C">
      <w:pPr>
        <w:spacing w:before="60" w:after="60"/>
        <w:ind w:firstLine="720"/>
        <w:rPr>
          <w:b/>
          <w:bCs/>
          <w:sz w:val="28"/>
          <w:szCs w:val="28"/>
          <w:lang w:val="it-IT"/>
        </w:rPr>
      </w:pPr>
      <w:r w:rsidRPr="004F2760">
        <w:rPr>
          <w:b/>
          <w:bCs/>
          <w:sz w:val="28"/>
          <w:szCs w:val="28"/>
          <w:lang w:val="it-IT"/>
        </w:rPr>
        <w:t>2. Mô tả mục đích tuyển chọn nhà thầu</w:t>
      </w:r>
    </w:p>
    <w:p w14:paraId="5CD5D907" w14:textId="38862CB7" w:rsidR="00D6036C" w:rsidRPr="002C3559" w:rsidRDefault="00D6036C" w:rsidP="00D6036C">
      <w:pPr>
        <w:spacing w:before="60" w:after="60"/>
        <w:ind w:firstLine="567"/>
        <w:rPr>
          <w:sz w:val="28"/>
          <w:szCs w:val="28"/>
          <w:lang w:val="it-IT"/>
        </w:rPr>
      </w:pPr>
      <w:r w:rsidRPr="0025604D">
        <w:rPr>
          <w:sz w:val="28"/>
          <w:szCs w:val="28"/>
          <w:lang w:val="it-IT"/>
        </w:rPr>
        <w:t xml:space="preserve">Công ty Điện lực </w:t>
      </w:r>
      <w:r w:rsidR="00444B4C">
        <w:rPr>
          <w:sz w:val="28"/>
          <w:szCs w:val="28"/>
          <w:lang w:val="it-IT"/>
        </w:rPr>
        <w:t>Vũng Tàu</w:t>
      </w:r>
      <w:r w:rsidRPr="0025604D">
        <w:rPr>
          <w:sz w:val="28"/>
          <w:szCs w:val="28"/>
          <w:lang w:val="it-IT"/>
        </w:rPr>
        <w:t xml:space="preserve"> tuyển chọn Nhà thầu tư vấn đủ năng lực, kinh nghiệm để thực hiện gói thầu và thực hiện các thủ tục liên quan theo đúng trình tự, đảm bảo chất lượng và đáp ứng tiến độ theo quy định hiện hành của Nhà nước, EVN và EVNHCMC</w:t>
      </w:r>
      <w:r>
        <w:rPr>
          <w:sz w:val="28"/>
          <w:szCs w:val="28"/>
          <w:lang w:val="it-IT"/>
        </w:rPr>
        <w:t>.</w:t>
      </w:r>
    </w:p>
    <w:p w14:paraId="12F3D4C9" w14:textId="77777777" w:rsidR="00D6036C" w:rsidRPr="00F11555" w:rsidRDefault="00D6036C" w:rsidP="00D6036C">
      <w:pPr>
        <w:spacing w:before="60" w:after="60"/>
        <w:ind w:firstLine="720"/>
        <w:rPr>
          <w:b/>
          <w:bCs/>
          <w:sz w:val="28"/>
          <w:szCs w:val="28"/>
          <w:lang w:val="it-IT"/>
        </w:rPr>
      </w:pPr>
      <w:r w:rsidRPr="00F11555">
        <w:rPr>
          <w:b/>
          <w:sz w:val="28"/>
          <w:szCs w:val="28"/>
          <w:lang w:val="it-IT"/>
        </w:rPr>
        <w:t>II. Phạm vi công việc:</w:t>
      </w:r>
    </w:p>
    <w:p w14:paraId="2F36E46F" w14:textId="77777777" w:rsidR="00D6036C" w:rsidRPr="0025604D" w:rsidRDefault="00D6036C" w:rsidP="00D6036C">
      <w:pPr>
        <w:spacing w:before="60" w:after="60"/>
        <w:ind w:firstLine="720"/>
        <w:rPr>
          <w:b/>
          <w:bCs/>
          <w:sz w:val="28"/>
          <w:szCs w:val="28"/>
          <w:lang w:val="it-IT"/>
        </w:rPr>
      </w:pPr>
      <w:r w:rsidRPr="0025604D">
        <w:rPr>
          <w:b/>
          <w:bCs/>
          <w:sz w:val="28"/>
          <w:szCs w:val="28"/>
          <w:lang w:val="it-IT"/>
        </w:rPr>
        <w:t>1. Phạm vi công việc, nguồn vốn, chủ đầu tư, tiến độ thực hiện:</w:t>
      </w:r>
    </w:p>
    <w:p w14:paraId="67E63FC0" w14:textId="705A40B6" w:rsidR="00D6036C" w:rsidRPr="0025604D" w:rsidRDefault="00D6036C" w:rsidP="00D6036C">
      <w:pPr>
        <w:spacing w:before="60" w:after="60"/>
        <w:ind w:firstLine="567"/>
        <w:rPr>
          <w:bCs/>
          <w:sz w:val="28"/>
          <w:szCs w:val="28"/>
          <w:lang w:val="it-IT"/>
        </w:rPr>
      </w:pPr>
      <w:r w:rsidRPr="0025604D">
        <w:rPr>
          <w:bCs/>
          <w:sz w:val="28"/>
          <w:szCs w:val="28"/>
          <w:lang w:val="it-IT"/>
        </w:rPr>
        <w:t>-</w:t>
      </w:r>
      <w:r>
        <w:rPr>
          <w:bCs/>
          <w:sz w:val="28"/>
          <w:szCs w:val="28"/>
          <w:lang w:val="it-IT"/>
        </w:rPr>
        <w:t xml:space="preserve"> </w:t>
      </w:r>
      <w:r w:rsidRPr="0025604D">
        <w:rPr>
          <w:bCs/>
          <w:sz w:val="28"/>
          <w:szCs w:val="28"/>
          <w:lang w:val="it-IT"/>
        </w:rPr>
        <w:t>Phạm vi công việc: Tư vấn giám sát công trình</w:t>
      </w:r>
      <w:r w:rsidR="00CB5A06">
        <w:rPr>
          <w:bCs/>
          <w:sz w:val="28"/>
          <w:szCs w:val="28"/>
          <w:lang w:val="it-IT"/>
        </w:rPr>
        <w:t xml:space="preserve"> </w:t>
      </w:r>
      <w:r w:rsidR="00CB5A06" w:rsidRPr="00CB5A06">
        <w:rPr>
          <w:bCs/>
          <w:sz w:val="28"/>
          <w:szCs w:val="28"/>
          <w:lang w:val="it-IT"/>
        </w:rPr>
        <w:t>“Khắc phục tồn tại về phòng cháy chữa cháy trụ sở làm việc Công ty Điện lực Bà Rịa - Vũng Tàu”</w:t>
      </w:r>
    </w:p>
    <w:p w14:paraId="04A30005" w14:textId="7E4CC43E" w:rsidR="00D6036C" w:rsidRPr="0025604D" w:rsidRDefault="00D6036C" w:rsidP="00D6036C">
      <w:pPr>
        <w:spacing w:before="60" w:after="60"/>
        <w:ind w:firstLine="567"/>
        <w:rPr>
          <w:bCs/>
          <w:sz w:val="28"/>
          <w:szCs w:val="28"/>
          <w:lang w:val="it-IT"/>
        </w:rPr>
      </w:pPr>
      <w:r w:rsidRPr="0025604D">
        <w:rPr>
          <w:bCs/>
          <w:sz w:val="28"/>
          <w:szCs w:val="28"/>
          <w:lang w:val="it-IT"/>
        </w:rPr>
        <w:t>- Nguồn vốn: ĐTXD năm</w:t>
      </w:r>
      <w:r>
        <w:rPr>
          <w:bCs/>
          <w:sz w:val="28"/>
          <w:szCs w:val="28"/>
          <w:lang w:val="it-IT"/>
        </w:rPr>
        <w:t xml:space="preserve"> 202</w:t>
      </w:r>
      <w:r w:rsidR="00A85065">
        <w:rPr>
          <w:bCs/>
          <w:sz w:val="28"/>
          <w:szCs w:val="28"/>
          <w:lang w:val="it-IT"/>
        </w:rPr>
        <w:t>6</w:t>
      </w:r>
    </w:p>
    <w:p w14:paraId="7C44692C" w14:textId="4B01A602" w:rsidR="00D6036C" w:rsidRPr="0025604D" w:rsidRDefault="00D6036C" w:rsidP="00D6036C">
      <w:pPr>
        <w:spacing w:before="60" w:after="60"/>
        <w:ind w:firstLine="567"/>
        <w:rPr>
          <w:bCs/>
          <w:sz w:val="28"/>
          <w:szCs w:val="28"/>
          <w:lang w:val="it-IT"/>
        </w:rPr>
      </w:pPr>
      <w:r w:rsidRPr="0025604D">
        <w:rPr>
          <w:bCs/>
          <w:sz w:val="28"/>
          <w:szCs w:val="28"/>
          <w:lang w:val="it-IT"/>
        </w:rPr>
        <w:t xml:space="preserve">- Thời gian thực hiện gói thầu: </w:t>
      </w:r>
      <w:r w:rsidR="00A85065">
        <w:rPr>
          <w:bCs/>
          <w:sz w:val="28"/>
          <w:szCs w:val="28"/>
          <w:lang w:val="it-IT"/>
        </w:rPr>
        <w:t>9</w:t>
      </w:r>
      <w:r>
        <w:rPr>
          <w:bCs/>
          <w:sz w:val="28"/>
          <w:szCs w:val="28"/>
          <w:lang w:val="it-IT"/>
        </w:rPr>
        <w:t>0</w:t>
      </w:r>
      <w:r w:rsidRPr="0025604D">
        <w:rPr>
          <w:bCs/>
          <w:sz w:val="28"/>
          <w:szCs w:val="28"/>
          <w:lang w:val="it-IT"/>
        </w:rPr>
        <w:t xml:space="preserve"> ngày kể từ ngày khởi công (tương ứng với thời gian thi công xây dựng công trình).</w:t>
      </w:r>
    </w:p>
    <w:p w14:paraId="6783C760" w14:textId="357D6646" w:rsidR="00D6036C" w:rsidRPr="0025604D" w:rsidRDefault="00D6036C" w:rsidP="00D6036C">
      <w:pPr>
        <w:spacing w:before="60" w:after="60"/>
        <w:ind w:firstLine="567"/>
        <w:rPr>
          <w:bCs/>
          <w:sz w:val="28"/>
          <w:szCs w:val="28"/>
          <w:lang w:val="it-IT"/>
        </w:rPr>
      </w:pPr>
      <w:r w:rsidRPr="0025604D">
        <w:rPr>
          <w:bCs/>
          <w:sz w:val="28"/>
          <w:szCs w:val="28"/>
          <w:lang w:val="it-IT"/>
        </w:rPr>
        <w:t xml:space="preserve">- Chủ đầu tư: Chi nhánh Tổng công ty Điện lực TP.HCM TNHH - Công ty Điện lực </w:t>
      </w:r>
      <w:r w:rsidR="00444B4C">
        <w:rPr>
          <w:bCs/>
          <w:sz w:val="28"/>
          <w:szCs w:val="28"/>
          <w:lang w:val="it-IT"/>
        </w:rPr>
        <w:t>Vũng Tàu</w:t>
      </w:r>
      <w:r w:rsidRPr="0025604D">
        <w:rPr>
          <w:bCs/>
          <w:sz w:val="28"/>
          <w:szCs w:val="28"/>
          <w:lang w:val="it-IT"/>
        </w:rPr>
        <w:t>.</w:t>
      </w:r>
    </w:p>
    <w:p w14:paraId="45849A99" w14:textId="77777777" w:rsidR="00D6036C" w:rsidRPr="0025604D" w:rsidRDefault="00D6036C" w:rsidP="00D6036C">
      <w:pPr>
        <w:spacing w:before="60" w:after="60"/>
        <w:ind w:firstLine="720"/>
        <w:rPr>
          <w:b/>
          <w:bCs/>
          <w:sz w:val="28"/>
          <w:szCs w:val="28"/>
          <w:lang w:val="it-IT"/>
        </w:rPr>
      </w:pPr>
      <w:r w:rsidRPr="0025604D">
        <w:rPr>
          <w:b/>
          <w:bCs/>
          <w:sz w:val="28"/>
          <w:szCs w:val="28"/>
          <w:lang w:val="it-IT"/>
        </w:rPr>
        <w:t>2. Nhiệm vụ cụ thể của Nhà thầu tư vấn</w:t>
      </w:r>
    </w:p>
    <w:p w14:paraId="0B2BA891" w14:textId="77777777" w:rsidR="00D6036C" w:rsidRPr="003E2CE1" w:rsidRDefault="00D6036C" w:rsidP="00D6036C">
      <w:pPr>
        <w:spacing w:before="60" w:after="60"/>
        <w:ind w:firstLine="720"/>
        <w:rPr>
          <w:b/>
          <w:bCs/>
          <w:sz w:val="28"/>
          <w:szCs w:val="28"/>
          <w:lang w:val="it-IT"/>
        </w:rPr>
      </w:pPr>
      <w:r>
        <w:rPr>
          <w:b/>
          <w:bCs/>
          <w:sz w:val="28"/>
          <w:szCs w:val="28"/>
          <w:lang w:val="it-IT"/>
        </w:rPr>
        <w:t xml:space="preserve">2.1. </w:t>
      </w:r>
      <w:r w:rsidRPr="003E2CE1">
        <w:rPr>
          <w:b/>
          <w:bCs/>
          <w:sz w:val="28"/>
          <w:szCs w:val="28"/>
          <w:lang w:val="it-IT"/>
        </w:rPr>
        <w:t>Trách nhiệm của nhà thầu tư vấn giám sát</w:t>
      </w:r>
    </w:p>
    <w:p w14:paraId="24EE7302" w14:textId="77777777" w:rsidR="00D6036C" w:rsidRPr="00CA035D" w:rsidRDefault="00D6036C" w:rsidP="00D6036C">
      <w:pPr>
        <w:pStyle w:val="ListParagraph"/>
        <w:widowControl w:val="0"/>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 xml:space="preserve">Nhà thầu phải căn cứ </w:t>
      </w:r>
      <w:r w:rsidRPr="00CA035D">
        <w:rPr>
          <w:rFonts w:eastAsia="Calibri"/>
          <w:sz w:val="28"/>
          <w:szCs w:val="28"/>
        </w:rPr>
        <w:t>Báo cáo kinh tế - kỹ thuật xây dựng</w:t>
      </w:r>
      <w:r w:rsidRPr="00CA035D">
        <w:rPr>
          <w:rFonts w:eastAsia="Calibri"/>
          <w:sz w:val="28"/>
          <w:szCs w:val="28"/>
          <w:lang w:val="vi-VN"/>
        </w:rPr>
        <w:t xml:space="preserve"> đã được phê duyệt và các nội dung nêu trong Điều khoản tham chiếu, nêu trong HSMT này để tiến hành thực hiện công việc tư vấn sao cho đảm bảo chất lượng, tiến độ và tuân thủ đúng quy trình, quy định hiện hành của Nhà nước, EVN, EVNHCMC.</w:t>
      </w:r>
    </w:p>
    <w:p w14:paraId="6ABECD45" w14:textId="77777777" w:rsidR="00D6036C" w:rsidRPr="00CA035D" w:rsidRDefault="00D6036C" w:rsidP="00D6036C">
      <w:pPr>
        <w:pStyle w:val="ListParagraph"/>
        <w:widowControl w:val="0"/>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Nhà thầu thực hiện đầy đủ các nhiệm vụ sau:</w:t>
      </w:r>
    </w:p>
    <w:p w14:paraId="34D5BD17"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Cử người có đủ năng lực theo quy định để thực hiện nhiệm vụ của giám sát trưởng và các chức danh giám sát khác.</w:t>
      </w:r>
    </w:p>
    <w:p w14:paraId="06C3D9D9"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Lập sơ đồ tổ chức và đề cương giám sát bao gồm nhiệm vụ, quyền hạn, nghĩa</w:t>
      </w:r>
      <w:r w:rsidRPr="00CA035D">
        <w:rPr>
          <w:rFonts w:eastAsia="Calibri"/>
          <w:sz w:val="28"/>
          <w:szCs w:val="28"/>
        </w:rPr>
        <w:t xml:space="preserve"> </w:t>
      </w:r>
      <w:r w:rsidRPr="00CA035D">
        <w:rPr>
          <w:rFonts w:eastAsia="Calibri"/>
          <w:sz w:val="28"/>
          <w:szCs w:val="28"/>
          <w:lang w:val="vi-VN"/>
        </w:rPr>
        <w:t>vụ của các chức danh giám sát, lập kế hoạch và quy trình kiểm soát chất lượng, quy</w:t>
      </w:r>
      <w:r w:rsidRPr="00CA035D">
        <w:rPr>
          <w:rFonts w:eastAsia="Calibri"/>
          <w:sz w:val="28"/>
          <w:szCs w:val="28"/>
        </w:rPr>
        <w:t xml:space="preserve"> </w:t>
      </w:r>
      <w:r w:rsidRPr="00CA035D">
        <w:rPr>
          <w:rFonts w:eastAsia="Calibri"/>
          <w:sz w:val="28"/>
          <w:szCs w:val="28"/>
          <w:lang w:val="vi-VN"/>
        </w:rPr>
        <w:t>trình kiểm tra và nghiệm thu, phương pháp quản lý các hồ sơ, tài liệu có liên quan</w:t>
      </w:r>
      <w:r w:rsidRPr="00CA035D">
        <w:rPr>
          <w:rFonts w:eastAsia="Calibri"/>
          <w:sz w:val="28"/>
          <w:szCs w:val="28"/>
        </w:rPr>
        <w:t xml:space="preserve"> </w:t>
      </w:r>
      <w:r w:rsidRPr="00CA035D">
        <w:rPr>
          <w:rFonts w:eastAsia="Calibri"/>
          <w:sz w:val="28"/>
          <w:szCs w:val="28"/>
          <w:lang w:val="vi-VN"/>
        </w:rPr>
        <w:t>trong quá trình giám sát thi công xây dựng.</w:t>
      </w:r>
    </w:p>
    <w:p w14:paraId="2289200B"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Thực hiện giám sát thi công xây dựng theo yêu cầu của hợp đồng xây dựng,</w:t>
      </w:r>
      <w:r w:rsidRPr="00CA035D">
        <w:rPr>
          <w:rFonts w:eastAsia="Calibri"/>
          <w:sz w:val="28"/>
          <w:szCs w:val="28"/>
        </w:rPr>
        <w:t xml:space="preserve"> </w:t>
      </w:r>
      <w:r w:rsidRPr="00CA035D">
        <w:rPr>
          <w:rFonts w:eastAsia="Calibri"/>
          <w:sz w:val="28"/>
          <w:szCs w:val="28"/>
          <w:lang w:val="vi-VN"/>
        </w:rPr>
        <w:t>đề cương đã được chủ đầu tư chấp thuận và quy định của pháp luật về quản lý chất</w:t>
      </w:r>
      <w:r w:rsidRPr="00CA035D">
        <w:rPr>
          <w:rFonts w:eastAsia="Calibri"/>
          <w:sz w:val="28"/>
          <w:szCs w:val="28"/>
        </w:rPr>
        <w:t xml:space="preserve"> </w:t>
      </w:r>
      <w:r w:rsidRPr="00CA035D">
        <w:rPr>
          <w:rFonts w:eastAsia="Calibri"/>
          <w:sz w:val="28"/>
          <w:szCs w:val="28"/>
          <w:lang w:val="vi-VN"/>
        </w:rPr>
        <w:t>lượng công trình xây dựng.</w:t>
      </w:r>
    </w:p>
    <w:p w14:paraId="019F010B"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Thực hiện đầy đủ các nội dung theo qu</w:t>
      </w:r>
      <w:r w:rsidRPr="00CA035D">
        <w:rPr>
          <w:rFonts w:eastAsia="Calibri"/>
          <w:sz w:val="28"/>
          <w:szCs w:val="28"/>
        </w:rPr>
        <w:t>y</w:t>
      </w:r>
      <w:r w:rsidRPr="00CA035D">
        <w:rPr>
          <w:rFonts w:eastAsia="Calibri"/>
          <w:sz w:val="28"/>
          <w:szCs w:val="28"/>
          <w:lang w:val="vi-VN"/>
        </w:rPr>
        <w:t xml:space="preserve"> định về công tác giám sát</w:t>
      </w:r>
      <w:r w:rsidRPr="00CA035D">
        <w:rPr>
          <w:rFonts w:eastAsia="Calibri"/>
          <w:sz w:val="28"/>
          <w:szCs w:val="28"/>
        </w:rPr>
        <w:t xml:space="preserve"> và có trách nhiệm ghi đầy đủ nội dung nhật ký và biên bản.</w:t>
      </w:r>
    </w:p>
    <w:p w14:paraId="4BF7BB91"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Nghiệm thu các công việc do nhà thầu thi công xây dựng thực hiện theo yêu</w:t>
      </w:r>
      <w:r w:rsidRPr="00CA035D">
        <w:rPr>
          <w:rFonts w:eastAsia="Calibri"/>
          <w:sz w:val="28"/>
          <w:szCs w:val="28"/>
        </w:rPr>
        <w:t xml:space="preserve"> </w:t>
      </w:r>
      <w:r w:rsidRPr="00CA035D">
        <w:rPr>
          <w:rFonts w:eastAsia="Calibri"/>
          <w:sz w:val="28"/>
          <w:szCs w:val="28"/>
          <w:lang w:val="vi-VN"/>
        </w:rPr>
        <w:lastRenderedPageBreak/>
        <w:t>cầu của hợp đồng xây dựng</w:t>
      </w:r>
      <w:r w:rsidRPr="00CA035D">
        <w:rPr>
          <w:rFonts w:eastAsia="Calibri"/>
          <w:sz w:val="28"/>
          <w:szCs w:val="28"/>
        </w:rPr>
        <w:t>.</w:t>
      </w:r>
    </w:p>
    <w:p w14:paraId="79E388D5" w14:textId="77777777" w:rsidR="00D6036C" w:rsidRPr="00CA035D" w:rsidRDefault="00D6036C" w:rsidP="00D6036C">
      <w:pPr>
        <w:pStyle w:val="ListParagraph"/>
        <w:tabs>
          <w:tab w:val="left" w:pos="810"/>
        </w:tabs>
        <w:spacing w:before="60" w:after="60" w:line="276" w:lineRule="auto"/>
        <w:ind w:left="547"/>
        <w:contextualSpacing w:val="0"/>
        <w:rPr>
          <w:rFonts w:eastAsia="Calibri"/>
          <w:sz w:val="28"/>
          <w:szCs w:val="28"/>
          <w:lang w:val="vi-VN"/>
        </w:rPr>
      </w:pPr>
      <w:r w:rsidRPr="00CA035D">
        <w:rPr>
          <w:rFonts w:eastAsia="Calibri"/>
          <w:sz w:val="28"/>
          <w:szCs w:val="28"/>
        </w:rPr>
        <w:t>Bên cạnh đó, nhà thầu tư vấn giám sát cần phải:</w:t>
      </w:r>
    </w:p>
    <w:p w14:paraId="290552E9"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 xml:space="preserve">Căn cứ hồ sơ thiết kế </w:t>
      </w:r>
      <w:r w:rsidRPr="00CA035D">
        <w:rPr>
          <w:rFonts w:eastAsia="Calibri"/>
          <w:sz w:val="28"/>
          <w:szCs w:val="28"/>
        </w:rPr>
        <w:t>Báo cáo kinh tế - kỹ thuật xây dựng</w:t>
      </w:r>
      <w:r w:rsidRPr="00CA035D">
        <w:rPr>
          <w:rFonts w:eastAsia="Calibri"/>
          <w:sz w:val="28"/>
          <w:szCs w:val="28"/>
          <w:lang w:val="vi-VN"/>
        </w:rPr>
        <w:t xml:space="preserve"> được duyệt, hợp đồng thi công xây lắp, hợp đồng tư vấn giám sát được ký kết, các nội dung nêu trong điều khoản tham chiếu và trong HSMT này và quy trình, quy định hiện hành (Luật Xây dựng số 50/2014/QH13, Nghị định số 06/2021/NĐ-CP ngày 26/01/2021</w:t>
      </w:r>
      <w:r w:rsidRPr="0080711C">
        <w:rPr>
          <w:rFonts w:eastAsia="Calibri"/>
          <w:color w:val="000000" w:themeColor="text1"/>
          <w:sz w:val="28"/>
          <w:szCs w:val="28"/>
          <w:lang w:val="vi-VN"/>
        </w:rPr>
        <w:t xml:space="preserve">, Nghị định </w:t>
      </w:r>
      <w:r w:rsidRPr="0080711C">
        <w:rPr>
          <w:rFonts w:eastAsia="Calibri"/>
          <w:color w:val="000000" w:themeColor="text1"/>
          <w:sz w:val="28"/>
          <w:szCs w:val="28"/>
        </w:rPr>
        <w:t>175</w:t>
      </w:r>
      <w:r w:rsidRPr="0080711C">
        <w:rPr>
          <w:rFonts w:eastAsia="Calibri"/>
          <w:color w:val="000000" w:themeColor="text1"/>
          <w:sz w:val="28"/>
          <w:szCs w:val="28"/>
          <w:lang w:val="vi-VN"/>
        </w:rPr>
        <w:t>/202</w:t>
      </w:r>
      <w:r w:rsidRPr="0080711C">
        <w:rPr>
          <w:rFonts w:eastAsia="Calibri"/>
          <w:color w:val="000000" w:themeColor="text1"/>
          <w:sz w:val="28"/>
          <w:szCs w:val="28"/>
        </w:rPr>
        <w:t>4</w:t>
      </w:r>
      <w:r w:rsidRPr="0080711C">
        <w:rPr>
          <w:rFonts w:eastAsia="Calibri"/>
          <w:color w:val="000000" w:themeColor="text1"/>
          <w:sz w:val="28"/>
          <w:szCs w:val="28"/>
          <w:lang w:val="vi-VN"/>
        </w:rPr>
        <w:t xml:space="preserve">/NĐ-CP ngày </w:t>
      </w:r>
      <w:r w:rsidRPr="0080711C">
        <w:rPr>
          <w:rFonts w:eastAsia="Calibri"/>
          <w:color w:val="000000" w:themeColor="text1"/>
          <w:sz w:val="28"/>
          <w:szCs w:val="28"/>
        </w:rPr>
        <w:t>30</w:t>
      </w:r>
      <w:r w:rsidRPr="0080711C">
        <w:rPr>
          <w:rFonts w:eastAsia="Calibri"/>
          <w:color w:val="000000" w:themeColor="text1"/>
          <w:sz w:val="28"/>
          <w:szCs w:val="28"/>
          <w:lang w:val="vi-VN"/>
        </w:rPr>
        <w:t>/</w:t>
      </w:r>
      <w:r w:rsidRPr="0080711C">
        <w:rPr>
          <w:rFonts w:eastAsia="Calibri"/>
          <w:color w:val="000000" w:themeColor="text1"/>
          <w:sz w:val="28"/>
          <w:szCs w:val="28"/>
        </w:rPr>
        <w:t>12</w:t>
      </w:r>
      <w:r w:rsidRPr="0080711C">
        <w:rPr>
          <w:rFonts w:eastAsia="Calibri"/>
          <w:color w:val="000000" w:themeColor="text1"/>
          <w:sz w:val="28"/>
          <w:szCs w:val="28"/>
          <w:lang w:val="vi-VN"/>
        </w:rPr>
        <w:t>/202</w:t>
      </w:r>
      <w:r w:rsidRPr="0080711C">
        <w:rPr>
          <w:rFonts w:eastAsia="Calibri"/>
          <w:color w:val="000000" w:themeColor="text1"/>
          <w:sz w:val="28"/>
          <w:szCs w:val="28"/>
        </w:rPr>
        <w:t>4</w:t>
      </w:r>
      <w:r w:rsidRPr="0080711C">
        <w:rPr>
          <w:rFonts w:eastAsia="Calibri"/>
          <w:color w:val="000000" w:themeColor="text1"/>
          <w:sz w:val="28"/>
          <w:szCs w:val="28"/>
          <w:lang w:val="vi-VN"/>
        </w:rPr>
        <w:t xml:space="preserve">,...) </w:t>
      </w:r>
      <w:r w:rsidRPr="00CA035D">
        <w:rPr>
          <w:rFonts w:eastAsia="Calibri"/>
          <w:sz w:val="28"/>
          <w:szCs w:val="28"/>
          <w:lang w:val="vi-VN"/>
        </w:rPr>
        <w:t>để tiến hành thực hiện công việc giám sát thi công xây dựng và lắp đặt thiết bị công trình sao cho đảm bảo chất lượng, khối lượng, tiến độ, an toàn, PCCN và vệ sinh môi trường theo đúng quy định và đáp ứng yêu cầu của Chủ đầu tư.</w:t>
      </w:r>
    </w:p>
    <w:p w14:paraId="4C4A6E1D" w14:textId="77777777" w:rsidR="00D6036C" w:rsidRPr="00CA035D" w:rsidRDefault="00D6036C" w:rsidP="00D6036C">
      <w:pPr>
        <w:pStyle w:val="ListParagraph"/>
        <w:widowControl w:val="0"/>
        <w:numPr>
          <w:ilvl w:val="0"/>
          <w:numId w:val="1"/>
        </w:numPr>
        <w:tabs>
          <w:tab w:val="left" w:pos="810"/>
        </w:tabs>
        <w:autoSpaceDE w:val="0"/>
        <w:autoSpaceDN w:val="0"/>
        <w:spacing w:before="60" w:after="60" w:line="276" w:lineRule="auto"/>
        <w:ind w:left="0" w:firstLine="547"/>
        <w:contextualSpacing w:val="0"/>
        <w:rPr>
          <w:rFonts w:eastAsia="Calibri"/>
          <w:sz w:val="28"/>
          <w:szCs w:val="28"/>
          <w:lang w:val="vi-VN"/>
        </w:rPr>
      </w:pPr>
      <w:r w:rsidRPr="00CA035D">
        <w:rPr>
          <w:rFonts w:eastAsia="Calibri"/>
          <w:sz w:val="28"/>
          <w:szCs w:val="28"/>
          <w:lang w:val="vi-VN"/>
        </w:rPr>
        <w:t>Thực hiện các quy định như sau:</w:t>
      </w:r>
    </w:p>
    <w:p w14:paraId="5E6F3496" w14:textId="723EA8AF" w:rsidR="00D6036C" w:rsidRDefault="00D6036C" w:rsidP="00D6036C">
      <w:pPr>
        <w:pStyle w:val="ListParagraph"/>
        <w:numPr>
          <w:ilvl w:val="0"/>
          <w:numId w:val="2"/>
        </w:numPr>
        <w:spacing w:before="60" w:after="60" w:line="276" w:lineRule="auto"/>
        <w:ind w:left="0" w:firstLine="547"/>
        <w:contextualSpacing w:val="0"/>
        <w:rPr>
          <w:rFonts w:eastAsia="Calibri"/>
          <w:sz w:val="28"/>
          <w:szCs w:val="28"/>
          <w:lang w:val="vi-VN"/>
        </w:rPr>
      </w:pPr>
      <w:r w:rsidRPr="00CA035D">
        <w:rPr>
          <w:rFonts w:eastAsia="Calibri"/>
          <w:sz w:val="28"/>
          <w:szCs w:val="28"/>
        </w:rPr>
        <w:t xml:space="preserve"> </w:t>
      </w:r>
      <w:r w:rsidRPr="00CA035D">
        <w:rPr>
          <w:rFonts w:eastAsia="Calibri"/>
          <w:sz w:val="28"/>
          <w:szCs w:val="28"/>
          <w:lang w:val="vi-VN"/>
        </w:rPr>
        <w:t>Các tiêu chuẩn chung về tổ chức thi công, thiêt kế, nghiệm thu, quản lý chất lượng,...</w:t>
      </w:r>
      <w:r w:rsidRPr="00CA035D">
        <w:rPr>
          <w:rFonts w:eastAsia="Calibri"/>
          <w:sz w:val="28"/>
          <w:szCs w:val="28"/>
        </w:rPr>
        <w:t xml:space="preserve"> </w:t>
      </w:r>
      <w:r w:rsidRPr="00CA035D">
        <w:rPr>
          <w:rFonts w:eastAsia="Calibri"/>
          <w:sz w:val="28"/>
          <w:szCs w:val="28"/>
          <w:lang w:val="vi-VN"/>
        </w:rPr>
        <w:t>trong xây dựng:</w:t>
      </w:r>
    </w:p>
    <w:p w14:paraId="4AE46BBA" w14:textId="77777777" w:rsidR="00B0120C" w:rsidRPr="003761C5" w:rsidRDefault="00B0120C" w:rsidP="00B0120C">
      <w:pPr>
        <w:spacing w:before="120" w:after="120"/>
        <w:ind w:firstLine="567"/>
        <w:rPr>
          <w:color w:val="000000" w:themeColor="text1"/>
          <w:sz w:val="28"/>
          <w:szCs w:val="22"/>
          <w:lang w:val="nl-NL"/>
        </w:rPr>
      </w:pPr>
      <w:bookmarkStart w:id="2" w:name="_Hlk164844759"/>
      <w:r w:rsidRPr="003761C5">
        <w:rPr>
          <w:color w:val="000000" w:themeColor="text1"/>
          <w:sz w:val="28"/>
          <w:szCs w:val="22"/>
          <w:lang w:val="nl-NL"/>
        </w:rPr>
        <w:t>- QCVN 06:2022/BXD và Sửa đổi 1:2023 QCVN06:2022/BXD: Quy chuẩn kỹ thuật quốc gia về an toàn cháy nổ cho nhà và công trình.</w:t>
      </w:r>
    </w:p>
    <w:p w14:paraId="38058D52" w14:textId="77777777" w:rsidR="00B0120C" w:rsidRPr="003761C5" w:rsidRDefault="00B0120C" w:rsidP="00B0120C">
      <w:pPr>
        <w:spacing w:before="120" w:after="120"/>
        <w:ind w:firstLine="567"/>
        <w:rPr>
          <w:color w:val="000000" w:themeColor="text1"/>
          <w:sz w:val="28"/>
          <w:szCs w:val="32"/>
          <w:lang w:val="en-GB"/>
        </w:rPr>
      </w:pPr>
      <w:r w:rsidRPr="003761C5">
        <w:rPr>
          <w:color w:val="000000" w:themeColor="text1"/>
          <w:sz w:val="28"/>
          <w:szCs w:val="22"/>
          <w:lang w:val="nl-NL"/>
        </w:rPr>
        <w:t xml:space="preserve">- </w:t>
      </w:r>
      <w:bookmarkStart w:id="3" w:name="_Hlk164844776"/>
      <w:r w:rsidRPr="003761C5">
        <w:rPr>
          <w:color w:val="000000" w:themeColor="text1"/>
          <w:sz w:val="28"/>
          <w:szCs w:val="32"/>
          <w:lang w:val="en-GB"/>
        </w:rPr>
        <w:t>TCVN 13456:2022: PCCC - Phương tiện chiếu sáng sự cố và chỉ dẫn thoát nạn Yêu cầu kỹ thuật thiết bị.</w:t>
      </w:r>
    </w:p>
    <w:p w14:paraId="480B58F5" w14:textId="77777777" w:rsidR="00B0120C" w:rsidRPr="003761C5" w:rsidRDefault="00B0120C" w:rsidP="00B0120C">
      <w:pPr>
        <w:spacing w:before="120" w:after="120"/>
        <w:ind w:firstLine="567"/>
        <w:rPr>
          <w:color w:val="000000" w:themeColor="text1"/>
          <w:sz w:val="28"/>
          <w:szCs w:val="22"/>
          <w:lang w:val="nl-NL"/>
        </w:rPr>
      </w:pPr>
      <w:bookmarkStart w:id="4" w:name="_Hlk164844789"/>
      <w:bookmarkEnd w:id="3"/>
      <w:r w:rsidRPr="003761C5">
        <w:rPr>
          <w:color w:val="000000" w:themeColor="text1"/>
          <w:sz w:val="28"/>
          <w:szCs w:val="22"/>
          <w:lang w:val="nl-NL"/>
        </w:rPr>
        <w:t>- TCVN 5738:2021: Phòng cháy chữa cháy - Hệ thống báo cháy tự động - Yêu cầu kỹ thuật.</w:t>
      </w:r>
    </w:p>
    <w:p w14:paraId="7660847E" w14:textId="22099275"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xml:space="preserve">- </w:t>
      </w:r>
      <w:r w:rsidR="00B83DEE" w:rsidRPr="00B83DEE">
        <w:rPr>
          <w:color w:val="000000" w:themeColor="text1"/>
          <w:sz w:val="28"/>
          <w:szCs w:val="22"/>
          <w:lang w:val="nl-NL"/>
        </w:rPr>
        <w:t>TCVN 7568-14:2023 (Hệ thống báo cháy – Phần 14: Thiết kế, lắp đặt, vận hành và bảo dưỡng)</w:t>
      </w:r>
      <w:r w:rsidRPr="003761C5">
        <w:rPr>
          <w:color w:val="000000" w:themeColor="text1"/>
          <w:sz w:val="28"/>
          <w:szCs w:val="22"/>
          <w:lang w:val="nl-NL"/>
        </w:rPr>
        <w:t>.</w:t>
      </w:r>
    </w:p>
    <w:p w14:paraId="6FC7DFA4" w14:textId="77777777"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QCVN 02:2020/BCA: Quy chuẩn kỹ thuật quốc gia về trạm bơm nước chữa cháy;</w:t>
      </w:r>
    </w:p>
    <w:p w14:paraId="61DB78CF" w14:textId="77777777"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TCVN 7336:2021: Hệ thống chữa cháy tự động Sprinkler - Yêu cầu thiết kế.</w:t>
      </w:r>
    </w:p>
    <w:p w14:paraId="3BB67C22" w14:textId="77777777"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TCVN 3890:2023: Phương tiện phòng cháy và chữa cháy cho nhà và công trình, trang bị, bố trí, kiểm tra, bảo dưỡng.</w:t>
      </w:r>
    </w:p>
    <w:p w14:paraId="62C50382" w14:textId="77777777"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TCVN 13333:2021: Hệ thống chữa cháy bằng Sol-khí - Yêu cầu về thiết kế, lắp đặt, kiểm tra và bảo dưỡng.</w:t>
      </w:r>
    </w:p>
    <w:p w14:paraId="3B24864B" w14:textId="77777777"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QCVN 18:2021/BXD - Quy chuẩn kỹ thuật Quốc gia về an toàn trong thi công xây dựng.</w:t>
      </w:r>
    </w:p>
    <w:p w14:paraId="0340AC96" w14:textId="77777777" w:rsidR="00B0120C" w:rsidRPr="003761C5" w:rsidRDefault="00B0120C" w:rsidP="00B0120C">
      <w:pPr>
        <w:spacing w:before="120" w:after="120"/>
        <w:ind w:firstLine="567"/>
        <w:rPr>
          <w:color w:val="000000" w:themeColor="text1"/>
          <w:sz w:val="28"/>
          <w:szCs w:val="22"/>
          <w:lang w:val="nl-NL"/>
        </w:rPr>
      </w:pPr>
      <w:r w:rsidRPr="003761C5">
        <w:rPr>
          <w:color w:val="000000" w:themeColor="text1"/>
          <w:sz w:val="28"/>
          <w:szCs w:val="22"/>
          <w:lang w:val="nl-NL"/>
        </w:rPr>
        <w:t xml:space="preserve">- </w:t>
      </w:r>
      <w:hyperlink r:id="rId5" w:tooltip="Quy trình An toàn điện trong Tập đoàn Điện lực Quốc gia Việt Nam năm 2021" w:history="1">
        <w:r w:rsidRPr="003761C5">
          <w:rPr>
            <w:color w:val="000000" w:themeColor="text1"/>
            <w:sz w:val="28"/>
            <w:szCs w:val="22"/>
            <w:lang w:val="nl-NL"/>
          </w:rPr>
          <w:t>Quy trình An toàn điện trong Tập đoàn Điện lực Quốc gia Việt Nam</w:t>
        </w:r>
      </w:hyperlink>
    </w:p>
    <w:p w14:paraId="6329B8F4" w14:textId="77777777" w:rsidR="00B0120C" w:rsidRPr="003761C5" w:rsidRDefault="00B0120C" w:rsidP="00B0120C">
      <w:pPr>
        <w:spacing w:before="120" w:after="120"/>
        <w:ind w:firstLine="567"/>
        <w:rPr>
          <w:color w:val="000000" w:themeColor="text1"/>
          <w:sz w:val="28"/>
          <w:szCs w:val="22"/>
          <w:lang w:val="nl-NL"/>
        </w:rPr>
      </w:pPr>
      <w:bookmarkStart w:id="5" w:name="_Hlk164844799"/>
      <w:bookmarkEnd w:id="4"/>
      <w:r w:rsidRPr="003761C5">
        <w:rPr>
          <w:color w:val="000000" w:themeColor="text1"/>
          <w:sz w:val="28"/>
          <w:szCs w:val="22"/>
          <w:lang w:val="nl-NL"/>
        </w:rPr>
        <w:t>- Các tiêu chuẩn, quy chuẩn, quy trình, quy định chuyên ngành liên quan khác.</w:t>
      </w:r>
    </w:p>
    <w:bookmarkEnd w:id="2"/>
    <w:bookmarkEnd w:id="5"/>
    <w:p w14:paraId="19855527" w14:textId="77777777" w:rsidR="00D6036C" w:rsidRDefault="00D6036C" w:rsidP="00D6036C">
      <w:pPr>
        <w:tabs>
          <w:tab w:val="left" w:pos="1620"/>
        </w:tabs>
        <w:spacing w:before="120"/>
        <w:ind w:firstLine="540"/>
        <w:rPr>
          <w:b/>
          <w:sz w:val="28"/>
          <w:szCs w:val="28"/>
          <w:lang w:val="it-IT"/>
        </w:rPr>
      </w:pPr>
      <w:r w:rsidRPr="007D6DEC">
        <w:rPr>
          <w:b/>
          <w:sz w:val="28"/>
          <w:szCs w:val="28"/>
          <w:lang w:val="it-IT"/>
        </w:rPr>
        <w:t>2.</w:t>
      </w:r>
      <w:r>
        <w:rPr>
          <w:b/>
          <w:sz w:val="28"/>
          <w:szCs w:val="28"/>
          <w:lang w:val="it-IT"/>
        </w:rPr>
        <w:t xml:space="preserve">2. </w:t>
      </w:r>
      <w:r w:rsidRPr="007D6DEC">
        <w:rPr>
          <w:b/>
          <w:sz w:val="28"/>
          <w:szCs w:val="28"/>
          <w:lang w:val="it-IT"/>
        </w:rPr>
        <w:t>Nhiệm vụ của nhà thầu tư vấn giám sát</w:t>
      </w:r>
    </w:p>
    <w:p w14:paraId="2B207E7A" w14:textId="77777777" w:rsidR="00D6036C" w:rsidRPr="001827ED" w:rsidRDefault="00D6036C" w:rsidP="00D6036C">
      <w:pPr>
        <w:tabs>
          <w:tab w:val="left" w:pos="1620"/>
        </w:tabs>
        <w:spacing w:before="120"/>
        <w:ind w:firstLine="540"/>
        <w:rPr>
          <w:sz w:val="28"/>
          <w:szCs w:val="28"/>
          <w:lang w:val="it-IT"/>
        </w:rPr>
      </w:pPr>
      <w:r w:rsidRPr="001827ED">
        <w:rPr>
          <w:b/>
          <w:sz w:val="28"/>
          <w:szCs w:val="28"/>
          <w:lang w:val="it-IT"/>
        </w:rPr>
        <w:lastRenderedPageBreak/>
        <w:t>2.</w:t>
      </w:r>
      <w:r>
        <w:rPr>
          <w:b/>
          <w:sz w:val="28"/>
          <w:szCs w:val="28"/>
          <w:lang w:val="it-IT"/>
        </w:rPr>
        <w:t xml:space="preserve">2.1. </w:t>
      </w:r>
      <w:r w:rsidRPr="001827ED">
        <w:rPr>
          <w:b/>
          <w:sz w:val="28"/>
          <w:szCs w:val="28"/>
          <w:lang w:val="it-IT"/>
        </w:rPr>
        <w:t>Giám sát chất lượng thi công công trình</w:t>
      </w:r>
    </w:p>
    <w:p w14:paraId="18A0E8D6" w14:textId="77777777" w:rsidR="00D6036C" w:rsidRPr="00CA035D"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Kiểm tra các điều kiện khởi công công trình xây dựng theo quy định của Luật Xây dựng;</w:t>
      </w:r>
    </w:p>
    <w:p w14:paraId="70111D66" w14:textId="77777777" w:rsidR="00D6036C" w:rsidRPr="00CA035D"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 xml:space="preserve">Kiểm tra sự phù hợp năng lực của nhà thầu thi công xây dựng công trình so với hồ sơ dự thầu và hợp đồng xây dựng, bao gồm: </w:t>
      </w:r>
    </w:p>
    <w:p w14:paraId="5BA1D314"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Kiểm tra về nhân lực, thiết bị thi công của nhà thầu thi công công trình đưa vào công trường; </w:t>
      </w:r>
    </w:p>
    <w:p w14:paraId="6A2B9E60"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Kiểm tra giấy phép sử dụng các máy móc, thiết bị, vật tư có yêu cầu an toàn phục vụ thi công công trình;</w:t>
      </w:r>
    </w:p>
    <w:p w14:paraId="2667A93C"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 Kiểm tra phòng thí nghiệm chuyên ngành xây dựng, hệ thống quản lý chất lượng của nhà thầu thi công xây dựng công trình. </w:t>
      </w:r>
    </w:p>
    <w:p w14:paraId="71D42CE6" w14:textId="77777777" w:rsidR="00D6036C" w:rsidRPr="00CA035D" w:rsidRDefault="00D6036C" w:rsidP="00D6036C">
      <w:pPr>
        <w:pStyle w:val="ListParagraph"/>
        <w:numPr>
          <w:ilvl w:val="0"/>
          <w:numId w:val="1"/>
        </w:numPr>
        <w:spacing w:before="60" w:after="60" w:line="276" w:lineRule="auto"/>
        <w:ind w:left="1134" w:hanging="283"/>
        <w:contextualSpacing w:val="0"/>
        <w:rPr>
          <w:sz w:val="28"/>
          <w:szCs w:val="28"/>
          <w:lang w:val="vi-VN"/>
        </w:rPr>
      </w:pPr>
      <w:r w:rsidRPr="00CA035D">
        <w:rPr>
          <w:sz w:val="28"/>
          <w:szCs w:val="28"/>
          <w:lang w:val="vi-VN"/>
        </w:rPr>
        <w:t xml:space="preserve">Kiểm tra và giám sát trong quá trình thi công xây dựng công trình, bao gồm: </w:t>
      </w:r>
    </w:p>
    <w:p w14:paraId="73CB660B"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Kiểm tra vật liệu, cấu kiện, sản phẩm xây dựng, thiết bị lắp đặt vào công trình; thực hiện thí nghiệm kiểm tra chất lượng khi cần thiết; </w:t>
      </w:r>
    </w:p>
    <w:p w14:paraId="5D16A2D0"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 Kiểm tra chủng loại, quy cách của vật tư, thiết bị B cấp so sánh với hồ sơ chào thầu. Kết quả thí nghiệm và kết quả kiểm định chất lượng vật tư, thiết bị chính lắp đặt cho công trình trước khi đưa vào công trình; </w:t>
      </w:r>
    </w:p>
    <w:p w14:paraId="4870F847"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 Kiểm tra biện pháp thi công trong đó quy định rõ các biện pháp bảo đảm an toàn cho người, máy, thiết bị và công trình của nhà thầu thi công xây dựng công trình; </w:t>
      </w:r>
    </w:p>
    <w:p w14:paraId="30F19928"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 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 </w:t>
      </w:r>
    </w:p>
    <w:p w14:paraId="3F8D5372"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Kiểm tra và xác nhận bản vẽ hoàn công; </w:t>
      </w:r>
    </w:p>
    <w:p w14:paraId="2BC713EF"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Chủ động tập hợp, kiểm tra tài liệu nghiệm thu bộ phận công trình, giai đoạn thi công, nghiệm thu thiết bị, nghiệm thu hoàn thành từng hạng mục công trình và hoàn thành công trình phù hợp với tiến trình thi công; </w:t>
      </w:r>
    </w:p>
    <w:p w14:paraId="0F54714C"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Yêu cầu nhà thầu thiết kế điều chỉnh khi phát hiện sai sót, bất hợp lý về thiết kế </w:t>
      </w:r>
    </w:p>
    <w:p w14:paraId="358B304D"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Phối hợp Chủ đầu tư tổ chức nghiệm thu công trình theo qui định của pháp </w:t>
      </w:r>
      <w:r w:rsidRPr="00CA035D">
        <w:rPr>
          <w:sz w:val="28"/>
          <w:szCs w:val="28"/>
          <w:lang w:val="vi-VN"/>
        </w:rPr>
        <w:lastRenderedPageBreak/>
        <w:t xml:space="preserve">luật hiện hành về quản lý chất lượng công trình; </w:t>
      </w:r>
    </w:p>
    <w:p w14:paraId="37C8BC96"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Phối hợp Chủ đầu tư tổ chức lập hồ sơ hoàn thành công trình xây dựng; </w:t>
      </w:r>
    </w:p>
    <w:p w14:paraId="2AF78C54"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Phối hợp Chủ đầu tư lập báo cáo hoàn thành đưa công trình xây dựng vào sử dụng hoặc báo cáo đột xuất khi có yêu cầu và gửi cơ quan quản lý nhà nước về xây dựng theo quy định tại Nghị định này; </w:t>
      </w:r>
    </w:p>
    <w:p w14:paraId="75CF3114"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Phối hợp với chủ đầu tư tổ chức kiểm định lại chất lượng bộ phận công trình, hạng mục công trình khi có nghi ngờ về chất lượng; </w:t>
      </w:r>
    </w:p>
    <w:p w14:paraId="289ABFCF" w14:textId="77777777" w:rsidR="00D6036C" w:rsidRPr="00CA035D" w:rsidRDefault="00D6036C" w:rsidP="00D6036C">
      <w:pPr>
        <w:pStyle w:val="ListParagraph"/>
        <w:widowControl w:val="0"/>
        <w:numPr>
          <w:ilvl w:val="0"/>
          <w:numId w:val="4"/>
        </w:numPr>
        <w:tabs>
          <w:tab w:val="left" w:pos="2730"/>
        </w:tabs>
        <w:autoSpaceDE w:val="0"/>
        <w:autoSpaceDN w:val="0"/>
        <w:spacing w:before="60" w:after="60" w:line="276" w:lineRule="auto"/>
        <w:ind w:left="1134" w:hanging="283"/>
        <w:contextualSpacing w:val="0"/>
        <w:rPr>
          <w:sz w:val="28"/>
          <w:szCs w:val="28"/>
          <w:lang w:val="vi-VN"/>
        </w:rPr>
      </w:pPr>
      <w:r w:rsidRPr="00CA035D">
        <w:rPr>
          <w:sz w:val="28"/>
          <w:szCs w:val="28"/>
          <w:lang w:val="vi-VN"/>
        </w:rPr>
        <w:t xml:space="preserve"> Phối hợp với chủ đầu tư và các bên liên quan giải quyết những vướng mắc, phát sinh trong quá trình thi công công trình. 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 </w:t>
      </w:r>
    </w:p>
    <w:p w14:paraId="53BD1F45" w14:textId="77777777" w:rsidR="00D6036C" w:rsidRPr="00CA035D" w:rsidRDefault="00D6036C" w:rsidP="00D6036C">
      <w:pPr>
        <w:pStyle w:val="ListParagraph"/>
        <w:numPr>
          <w:ilvl w:val="2"/>
          <w:numId w:val="7"/>
        </w:numPr>
        <w:tabs>
          <w:tab w:val="left" w:pos="900"/>
        </w:tabs>
        <w:spacing w:before="60" w:after="60" w:line="276" w:lineRule="auto"/>
        <w:ind w:hanging="153"/>
        <w:contextualSpacing w:val="0"/>
        <w:rPr>
          <w:b/>
          <w:sz w:val="28"/>
          <w:szCs w:val="28"/>
          <w:lang w:val="vi-VN"/>
        </w:rPr>
      </w:pPr>
      <w:r w:rsidRPr="00CA035D">
        <w:rPr>
          <w:b/>
          <w:sz w:val="28"/>
          <w:szCs w:val="28"/>
          <w:lang w:val="vi-VN"/>
        </w:rPr>
        <w:t>Giám sát khối lượng thi công xây lắp công trình</w:t>
      </w:r>
    </w:p>
    <w:p w14:paraId="19658751" w14:textId="77777777" w:rsidR="00D6036C" w:rsidRPr="00CA035D"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 xml:space="preserve">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14:paraId="6704DB75" w14:textId="77777777" w:rsidR="00D6036C" w:rsidRPr="00CA035D"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 xml:space="preserve">Cập nhật khối lượng thi công hằng ngày trên công trường và có ý kiến đánh giá trong các báo cáo định kỳ trình Chủ đầu tư. </w:t>
      </w:r>
    </w:p>
    <w:p w14:paraId="4063F7B6" w14:textId="77777777" w:rsidR="00D6036C"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 xml:space="preserve">Xem xét và xác nhận các khối lượng phát sinh trên công trường theo đúng trình tự và nguyên tắc trong hợp đồng. </w:t>
      </w:r>
    </w:p>
    <w:p w14:paraId="5622E3A6" w14:textId="77777777" w:rsidR="00D6036C" w:rsidRPr="000937E9" w:rsidRDefault="00D6036C" w:rsidP="00D6036C">
      <w:pPr>
        <w:pStyle w:val="ListParagraph"/>
        <w:spacing w:before="60" w:after="60" w:line="276" w:lineRule="auto"/>
        <w:ind w:left="540"/>
        <w:contextualSpacing w:val="0"/>
        <w:rPr>
          <w:sz w:val="28"/>
          <w:szCs w:val="28"/>
          <w:lang w:val="vi-VN"/>
        </w:rPr>
      </w:pPr>
      <w:r>
        <w:rPr>
          <w:b/>
          <w:sz w:val="28"/>
          <w:szCs w:val="28"/>
        </w:rPr>
        <w:t xml:space="preserve">2.2.3. </w:t>
      </w:r>
      <w:r w:rsidRPr="000937E9">
        <w:rPr>
          <w:b/>
          <w:sz w:val="28"/>
          <w:szCs w:val="28"/>
          <w:lang w:val="vi-VN"/>
        </w:rPr>
        <w:t>Giám sát tiến độ thi công xây lắp công trình</w:t>
      </w:r>
    </w:p>
    <w:p w14:paraId="13842BAD" w14:textId="77777777" w:rsidR="00D6036C" w:rsidRPr="00CA035D"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Kiểm tra kế hoạch tiến độ công trình (tiến độ chi tiết từng phần và tiến độ tổng thể).</w:t>
      </w:r>
    </w:p>
    <w:p w14:paraId="508C538E" w14:textId="77777777" w:rsidR="00D6036C" w:rsidRPr="00CA035D"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Giám sát việc đảm bảo tiến độ thi công của các Nhà thầu theo tiến độ đã đề ra trong hợp đồng thi công xây lắp. Trong trường hợp Nhà thầu có dấu hiệu không đảm bảo tiến độ, tư vấn giám sát phải kịp thời báo cáo cho Chủ đầu tư và đề xuất hướng giải quyết khắc phục.</w:t>
      </w:r>
    </w:p>
    <w:p w14:paraId="326E41E8" w14:textId="77777777" w:rsidR="00D6036C" w:rsidRDefault="00D6036C" w:rsidP="00D6036C">
      <w:pPr>
        <w:pStyle w:val="ListParagraph"/>
        <w:numPr>
          <w:ilvl w:val="0"/>
          <w:numId w:val="1"/>
        </w:numPr>
        <w:spacing w:before="60" w:after="60" w:line="276" w:lineRule="auto"/>
        <w:ind w:left="0" w:firstLine="540"/>
        <w:contextualSpacing w:val="0"/>
        <w:rPr>
          <w:sz w:val="28"/>
          <w:szCs w:val="28"/>
          <w:lang w:val="vi-VN"/>
        </w:rPr>
      </w:pPr>
      <w:r w:rsidRPr="00CA035D">
        <w:rPr>
          <w:sz w:val="28"/>
          <w:szCs w:val="28"/>
          <w:lang w:val="vi-VN"/>
        </w:rPr>
        <w:t xml:space="preserve">Thực hiện việc đánh giá và báo cáo tiến độ thường xuyên trong các báo cáo định kỳ. </w:t>
      </w:r>
    </w:p>
    <w:p w14:paraId="4AE33A85" w14:textId="77777777" w:rsidR="00D6036C" w:rsidRPr="000937E9" w:rsidRDefault="00D6036C" w:rsidP="00D6036C">
      <w:pPr>
        <w:pStyle w:val="ListParagraph"/>
        <w:spacing w:before="60" w:after="60" w:line="276" w:lineRule="auto"/>
        <w:ind w:left="0" w:firstLine="567"/>
        <w:contextualSpacing w:val="0"/>
        <w:rPr>
          <w:sz w:val="28"/>
          <w:szCs w:val="28"/>
          <w:lang w:val="vi-VN"/>
        </w:rPr>
      </w:pPr>
      <w:r>
        <w:rPr>
          <w:b/>
          <w:sz w:val="28"/>
          <w:szCs w:val="28"/>
        </w:rPr>
        <w:t xml:space="preserve">2.2.4. </w:t>
      </w:r>
      <w:r w:rsidRPr="000937E9">
        <w:rPr>
          <w:b/>
          <w:sz w:val="28"/>
          <w:szCs w:val="28"/>
        </w:rPr>
        <w:t>Giám sát an toàn lao động, PCCN và bảo vệ môi trường trong thi công</w:t>
      </w:r>
      <w:r w:rsidRPr="000937E9">
        <w:rPr>
          <w:b/>
          <w:sz w:val="28"/>
          <w:szCs w:val="28"/>
          <w:lang w:val="vi-VN"/>
        </w:rPr>
        <w:t xml:space="preserve"> xây lắp công trình</w:t>
      </w:r>
    </w:p>
    <w:p w14:paraId="0A48E6F9" w14:textId="77777777" w:rsidR="00D6036C" w:rsidRPr="00CA035D" w:rsidRDefault="00D6036C" w:rsidP="00D6036C">
      <w:pPr>
        <w:pStyle w:val="ListParagraph"/>
        <w:numPr>
          <w:ilvl w:val="0"/>
          <w:numId w:val="5"/>
        </w:numPr>
        <w:spacing w:before="60" w:after="60" w:line="276" w:lineRule="auto"/>
        <w:ind w:left="806"/>
        <w:contextualSpacing w:val="0"/>
        <w:rPr>
          <w:sz w:val="28"/>
          <w:szCs w:val="28"/>
          <w:lang w:val="vi-VN"/>
        </w:rPr>
      </w:pPr>
      <w:r w:rsidRPr="00CA035D">
        <w:rPr>
          <w:sz w:val="28"/>
          <w:szCs w:val="28"/>
          <w:lang w:val="vi-VN"/>
        </w:rPr>
        <w:lastRenderedPageBreak/>
        <w:t>Về an toàn lao động, PCCN:</w:t>
      </w:r>
    </w:p>
    <w:p w14:paraId="29D18C17" w14:textId="77777777" w:rsidR="00D6036C" w:rsidRPr="00CA035D" w:rsidRDefault="00D6036C" w:rsidP="00D6036C">
      <w:pPr>
        <w:pStyle w:val="ListParagraph"/>
        <w:numPr>
          <w:ilvl w:val="0"/>
          <w:numId w:val="1"/>
        </w:numPr>
        <w:spacing w:before="60" w:after="60" w:line="276" w:lineRule="auto"/>
        <w:ind w:left="0" w:firstLine="567"/>
        <w:contextualSpacing w:val="0"/>
        <w:rPr>
          <w:sz w:val="28"/>
          <w:szCs w:val="28"/>
          <w:lang w:val="vi-VN"/>
        </w:rPr>
      </w:pPr>
      <w:r w:rsidRPr="00CA035D">
        <w:rPr>
          <w:sz w:val="28"/>
          <w:szCs w:val="28"/>
          <w:lang w:val="vi-VN"/>
        </w:rPr>
        <w:t>Kiểm tra và có ý kiến về các biện pháp an toàn, PCCN cho người và công trình do Nhà thầu thi công xây dựng lập.</w:t>
      </w:r>
    </w:p>
    <w:p w14:paraId="66F81995" w14:textId="77777777" w:rsidR="00D6036C" w:rsidRPr="00CA035D" w:rsidRDefault="00D6036C" w:rsidP="00D6036C">
      <w:pPr>
        <w:pStyle w:val="ListParagraph"/>
        <w:spacing w:before="60" w:after="60" w:line="276" w:lineRule="auto"/>
        <w:ind w:left="0" w:firstLine="567"/>
        <w:contextualSpacing w:val="0"/>
        <w:rPr>
          <w:sz w:val="28"/>
          <w:szCs w:val="28"/>
          <w:lang w:val="vi-VN"/>
        </w:rPr>
      </w:pPr>
      <w:r>
        <w:rPr>
          <w:sz w:val="28"/>
          <w:szCs w:val="28"/>
        </w:rPr>
        <w:t>-</w:t>
      </w:r>
      <w:r w:rsidRPr="00CA035D">
        <w:rPr>
          <w:sz w:val="28"/>
          <w:szCs w:val="28"/>
          <w:lang w:val="vi-VN"/>
        </w:rPr>
        <w:t xml:space="preserve">Thường xuyên kiểm tra giám sát công tác an toàn lao động, PCCN trên công trường. Khi phát hiện có vi phạm thì phải yêu cầu nhà thầu thực hiện đúng các biện pháp an toàn lao động, PCCN và thông báo cho Chủ đầu tư. </w:t>
      </w:r>
    </w:p>
    <w:p w14:paraId="56FA510E" w14:textId="77777777" w:rsidR="00D6036C" w:rsidRPr="00CA035D" w:rsidRDefault="00D6036C" w:rsidP="00D6036C">
      <w:pPr>
        <w:pStyle w:val="ListParagraph"/>
        <w:numPr>
          <w:ilvl w:val="0"/>
          <w:numId w:val="5"/>
        </w:numPr>
        <w:spacing w:before="60" w:after="60" w:line="276" w:lineRule="auto"/>
        <w:ind w:left="806"/>
        <w:contextualSpacing w:val="0"/>
        <w:rPr>
          <w:sz w:val="28"/>
          <w:szCs w:val="28"/>
          <w:lang w:val="vi-VN"/>
        </w:rPr>
      </w:pPr>
      <w:r w:rsidRPr="00CA035D">
        <w:rPr>
          <w:sz w:val="28"/>
          <w:szCs w:val="28"/>
          <w:lang w:val="vi-VN"/>
        </w:rPr>
        <w:t>Về bảo vệ môi trường</w:t>
      </w:r>
    </w:p>
    <w:p w14:paraId="5C045D73" w14:textId="77777777" w:rsidR="00D6036C" w:rsidRPr="00CA035D" w:rsidRDefault="00D6036C" w:rsidP="00D6036C">
      <w:pPr>
        <w:pStyle w:val="ListParagraph"/>
        <w:numPr>
          <w:ilvl w:val="0"/>
          <w:numId w:val="1"/>
        </w:numPr>
        <w:spacing w:before="60" w:after="60" w:line="276" w:lineRule="auto"/>
        <w:ind w:left="0" w:firstLine="567"/>
        <w:contextualSpacing w:val="0"/>
        <w:rPr>
          <w:sz w:val="28"/>
          <w:szCs w:val="28"/>
          <w:lang w:val="vi-VN"/>
        </w:rPr>
      </w:pPr>
      <w:r w:rsidRPr="00CA035D">
        <w:rPr>
          <w:sz w:val="28"/>
          <w:szCs w:val="28"/>
          <w:lang w:val="vi-VN"/>
        </w:rPr>
        <w:t xml:space="preserve">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 </w:t>
      </w:r>
    </w:p>
    <w:p w14:paraId="2E81FD0A" w14:textId="77777777" w:rsidR="00D6036C" w:rsidRPr="00CA035D" w:rsidRDefault="00D6036C" w:rsidP="00D6036C">
      <w:pPr>
        <w:pStyle w:val="ListParagraph"/>
        <w:numPr>
          <w:ilvl w:val="0"/>
          <w:numId w:val="1"/>
        </w:numPr>
        <w:spacing w:before="60" w:after="60" w:line="276" w:lineRule="auto"/>
        <w:ind w:left="0" w:firstLine="567"/>
        <w:contextualSpacing w:val="0"/>
        <w:rPr>
          <w:sz w:val="28"/>
          <w:szCs w:val="28"/>
          <w:lang w:val="vi-VN"/>
        </w:rPr>
      </w:pPr>
      <w:r w:rsidRPr="00CA035D">
        <w:rPr>
          <w:sz w:val="28"/>
          <w:szCs w:val="28"/>
          <w:lang w:val="vi-VN"/>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14:paraId="4BD53090" w14:textId="77777777" w:rsidR="00D6036C" w:rsidRPr="00CA035D" w:rsidRDefault="00D6036C" w:rsidP="00D6036C">
      <w:pPr>
        <w:numPr>
          <w:ilvl w:val="2"/>
          <w:numId w:val="5"/>
        </w:numPr>
        <w:spacing w:before="60" w:after="60" w:line="276" w:lineRule="auto"/>
        <w:ind w:left="720"/>
        <w:rPr>
          <w:sz w:val="28"/>
          <w:szCs w:val="28"/>
          <w:lang w:val="vi-VN"/>
        </w:rPr>
      </w:pPr>
      <w:r w:rsidRPr="00CA035D">
        <w:rPr>
          <w:sz w:val="28"/>
          <w:szCs w:val="28"/>
          <w:lang w:val="vi-VN"/>
        </w:rPr>
        <w:t>Lưu ý:</w:t>
      </w:r>
    </w:p>
    <w:p w14:paraId="4CB4EC8A" w14:textId="77777777" w:rsidR="00D6036C" w:rsidRPr="00CA035D" w:rsidRDefault="00D6036C" w:rsidP="00D6036C">
      <w:pPr>
        <w:numPr>
          <w:ilvl w:val="0"/>
          <w:numId w:val="6"/>
        </w:numPr>
        <w:spacing w:before="60" w:after="60" w:line="276" w:lineRule="auto"/>
        <w:ind w:left="1276" w:hanging="425"/>
        <w:rPr>
          <w:sz w:val="28"/>
          <w:szCs w:val="28"/>
          <w:lang w:val="vi-VN"/>
        </w:rPr>
      </w:pPr>
      <w:r w:rsidRPr="00CA035D">
        <w:rPr>
          <w:sz w:val="28"/>
          <w:szCs w:val="28"/>
          <w:lang w:val="vi-VN"/>
        </w:rPr>
        <w:t>TVGS phải phối hợp chặt chẽ các đơn vị liên quan trong quá trình giám sát, có mặt tại hiện trường để giám sát thường xuyên liên tục trong suốt thời gian thi công, đảm bảo nội dung công việc nhà thầu thi công thực hiện đạt chất lượng theo hồ sơ thiết kế được duyệt, không để đơn vị thi công (ĐVTC) thi công quá giờ quy định, không thu dọn hiện trường sạch sẽ gây ảnh hưởng đến các hộ dân, làm mất vẽ mỹ quan đô thị, lập biên bản báo cáo kịp thời các trường hợp ĐVTC thực hiện không đúng qui định.</w:t>
      </w:r>
    </w:p>
    <w:p w14:paraId="53E33702" w14:textId="31C55A6C" w:rsidR="00D6036C" w:rsidRPr="00CA035D" w:rsidRDefault="00D6036C" w:rsidP="00D6036C">
      <w:pPr>
        <w:numPr>
          <w:ilvl w:val="0"/>
          <w:numId w:val="6"/>
        </w:numPr>
        <w:spacing w:before="60" w:after="60" w:line="276" w:lineRule="auto"/>
        <w:ind w:left="1276" w:hanging="425"/>
        <w:rPr>
          <w:sz w:val="28"/>
          <w:szCs w:val="28"/>
          <w:lang w:val="vi-VN"/>
        </w:rPr>
      </w:pPr>
      <w:r w:rsidRPr="00CA035D">
        <w:rPr>
          <w:sz w:val="28"/>
          <w:szCs w:val="28"/>
          <w:lang w:val="vi-VN"/>
        </w:rPr>
        <w:t xml:space="preserve">TVGS thực hiện giám sát phải chụp hình, quay video trong quá trình thi công đầy đủ nhất là khối lượng lấp khuất và cập nhật giám sát online </w:t>
      </w:r>
      <w:r w:rsidR="0063472C">
        <w:rPr>
          <w:sz w:val="28"/>
          <w:szCs w:val="28"/>
        </w:rPr>
        <w:t xml:space="preserve">và </w:t>
      </w:r>
      <w:r w:rsidR="0063472C" w:rsidRPr="0063472C">
        <w:rPr>
          <w:sz w:val="28"/>
          <w:szCs w:val="28"/>
        </w:rPr>
        <w:t xml:space="preserve">cập nhật nhật ký giám sát trên IMIS </w:t>
      </w:r>
      <w:r w:rsidRPr="00CA035D">
        <w:rPr>
          <w:sz w:val="28"/>
          <w:szCs w:val="28"/>
          <w:lang w:val="vi-VN"/>
        </w:rPr>
        <w:t>đầy đủ theo qui định của Tổng công ty Điện lực TP.HCM, báo cáo khối lượng thi công trong ngày, lũy kế của công trình lên nhóm Zalo để các bên cùng theo dõi.</w:t>
      </w:r>
    </w:p>
    <w:p w14:paraId="4EC22F80" w14:textId="77777777" w:rsidR="00D6036C" w:rsidRPr="00CA035D" w:rsidRDefault="00D6036C" w:rsidP="00D6036C">
      <w:pPr>
        <w:numPr>
          <w:ilvl w:val="0"/>
          <w:numId w:val="6"/>
        </w:numPr>
        <w:spacing w:before="60" w:after="60" w:line="276" w:lineRule="auto"/>
        <w:ind w:left="1276" w:hanging="425"/>
        <w:rPr>
          <w:sz w:val="28"/>
          <w:szCs w:val="28"/>
          <w:lang w:val="vi-VN"/>
        </w:rPr>
      </w:pPr>
      <w:r w:rsidRPr="00CA035D">
        <w:rPr>
          <w:sz w:val="28"/>
          <w:szCs w:val="28"/>
          <w:lang w:val="vi-VN"/>
        </w:rPr>
        <w:t>TVGS phải kiểm tra vật tư thiết bị A cấp, B cấp trước khi thi công, chỉ đồng ý nghiệm thu các công việc xây dựng khi đơn vị thi công thực hiện đúng thiết kế được duyệt.</w:t>
      </w:r>
    </w:p>
    <w:p w14:paraId="0AA5314C" w14:textId="77777777" w:rsidR="00D6036C" w:rsidRPr="00CA035D" w:rsidRDefault="00D6036C" w:rsidP="00C128F8">
      <w:pPr>
        <w:numPr>
          <w:ilvl w:val="0"/>
          <w:numId w:val="6"/>
        </w:numPr>
        <w:spacing w:before="60" w:after="60" w:line="276" w:lineRule="auto"/>
        <w:ind w:left="1276" w:hanging="425"/>
        <w:rPr>
          <w:sz w:val="28"/>
          <w:szCs w:val="28"/>
          <w:lang w:val="vi-VN"/>
        </w:rPr>
      </w:pPr>
      <w:bookmarkStart w:id="6" w:name="_GoBack"/>
      <w:r w:rsidRPr="00CA035D">
        <w:rPr>
          <w:sz w:val="28"/>
          <w:szCs w:val="28"/>
          <w:lang w:val="vi-VN"/>
        </w:rPr>
        <w:lastRenderedPageBreak/>
        <w:t>Khi phát hiện ĐVTC thi công vi phạm hành lang an toàn các hạ tầng khác như cấp nước, thoát nước…, hoặc các đơn vị khác thi công công trình ngầm trùng, giao chéo với phui đào điện lực phải lập biên bản yêu cầu tạm ngừng thi công, báo cáo chủ đầu tư để phối hợp xử lý. Nếu để xảy ra các tồn tại nêu trên, TVGS sẽ chịu trách nhiệm liên đới với các bên liên quan để giải quyết, khắc phục các sai phạm trên.</w:t>
      </w:r>
    </w:p>
    <w:p w14:paraId="7E60E462" w14:textId="77777777" w:rsidR="00D6036C" w:rsidRPr="00CA035D" w:rsidRDefault="00D6036C" w:rsidP="00C128F8">
      <w:pPr>
        <w:numPr>
          <w:ilvl w:val="0"/>
          <w:numId w:val="6"/>
        </w:numPr>
        <w:spacing w:before="60" w:after="60" w:line="276" w:lineRule="auto"/>
        <w:ind w:left="1276" w:hanging="425"/>
        <w:rPr>
          <w:sz w:val="28"/>
          <w:szCs w:val="28"/>
          <w:lang w:val="vi-VN"/>
        </w:rPr>
      </w:pPr>
      <w:r w:rsidRPr="00CA035D">
        <w:rPr>
          <w:sz w:val="28"/>
          <w:szCs w:val="28"/>
          <w:lang w:val="vi-VN"/>
        </w:rPr>
        <w:t>TVGS phải báo cáo ngay các trở ngại vướng mắc cho cán bộ chuyên quản để phối hợp giải quyết kịp thời, đẩy nhanh tiến độ thi công công trình và báo cáo tiến độ thi công có nhận xét đánh giá khối lượng thi công thực tế hiện trường với khối lượng kế hoạch nhà thầu đã đăng ký bằng văn bản vào thứ sáu hàng tuần cho chủ đầu tư.</w:t>
      </w:r>
    </w:p>
    <w:p w14:paraId="66267125" w14:textId="77777777" w:rsidR="00D6036C" w:rsidRPr="00CA035D" w:rsidRDefault="00D6036C" w:rsidP="00C128F8">
      <w:pPr>
        <w:numPr>
          <w:ilvl w:val="0"/>
          <w:numId w:val="6"/>
        </w:numPr>
        <w:spacing w:before="60" w:after="60" w:line="276" w:lineRule="auto"/>
        <w:ind w:left="1276" w:hanging="425"/>
        <w:rPr>
          <w:sz w:val="28"/>
          <w:szCs w:val="28"/>
          <w:lang w:val="vi-VN"/>
        </w:rPr>
      </w:pPr>
      <w:r w:rsidRPr="00CA035D">
        <w:rPr>
          <w:sz w:val="28"/>
          <w:szCs w:val="28"/>
          <w:lang w:val="vi-VN"/>
        </w:rPr>
        <w:t>Nếu nhà thầu thi công để xảy ra bất cứ tồn tại nào kể cả chậm tiến độ thì TVGS kịp thời có Văn bản báo cáo Chủ đầu tư, nếu để Chủ đầu tư có văn bản nhắc nhở nhà thầu trước khi TVGS báo cáo thì Chủ đầu tư xem xét trách nhiệm phạt hợp đồng.</w:t>
      </w:r>
    </w:p>
    <w:p w14:paraId="6BCF87DC" w14:textId="77777777" w:rsidR="00D6036C" w:rsidRPr="003E2CE1" w:rsidRDefault="00D6036C" w:rsidP="00C128F8">
      <w:pPr>
        <w:spacing w:before="60" w:after="60"/>
        <w:ind w:firstLine="720"/>
        <w:rPr>
          <w:b/>
          <w:iCs/>
          <w:sz w:val="28"/>
          <w:szCs w:val="28"/>
          <w:lang w:val="it-IT"/>
        </w:rPr>
      </w:pPr>
      <w:r w:rsidRPr="003E2CE1">
        <w:rPr>
          <w:b/>
          <w:bCs/>
          <w:spacing w:val="-12"/>
          <w:sz w:val="28"/>
          <w:szCs w:val="28"/>
          <w:lang w:val="it-IT"/>
        </w:rPr>
        <w:t xml:space="preserve">3. </w:t>
      </w:r>
      <w:r w:rsidRPr="003E2CE1">
        <w:rPr>
          <w:b/>
          <w:bCs/>
          <w:sz w:val="28"/>
          <w:szCs w:val="28"/>
          <w:lang w:val="it-IT"/>
        </w:rPr>
        <w:t xml:space="preserve">Dự kiến thời gian </w:t>
      </w:r>
      <w:r>
        <w:rPr>
          <w:b/>
          <w:bCs/>
          <w:sz w:val="28"/>
          <w:szCs w:val="28"/>
          <w:lang w:val="it-IT"/>
        </w:rPr>
        <w:t xml:space="preserve">chuyên gia </w:t>
      </w:r>
      <w:r w:rsidRPr="003E2CE1">
        <w:rPr>
          <w:b/>
          <w:bCs/>
          <w:sz w:val="28"/>
          <w:szCs w:val="28"/>
          <w:lang w:val="it-IT"/>
        </w:rPr>
        <w:t>bắt đầu thực hiện DVTV</w:t>
      </w:r>
      <w:r>
        <w:rPr>
          <w:b/>
          <w:bCs/>
          <w:sz w:val="28"/>
          <w:szCs w:val="28"/>
          <w:lang w:val="it-IT"/>
        </w:rPr>
        <w:t>:</w:t>
      </w:r>
      <w:r w:rsidRPr="00CA24A7">
        <w:t xml:space="preserve"> </w:t>
      </w:r>
      <w:r w:rsidRPr="00CA24A7">
        <w:rPr>
          <w:bCs/>
          <w:sz w:val="28"/>
          <w:szCs w:val="28"/>
          <w:lang w:val="it-IT"/>
        </w:rPr>
        <w:t>Ngay sau khi hợp đồng được hai bên ký kết và công trình triển khai thi công.</w:t>
      </w:r>
    </w:p>
    <w:p w14:paraId="139BE096" w14:textId="77777777" w:rsidR="00D6036C" w:rsidRPr="00F11555" w:rsidRDefault="00D6036C" w:rsidP="00C128F8">
      <w:pPr>
        <w:spacing w:before="60" w:after="60"/>
        <w:ind w:firstLine="720"/>
        <w:rPr>
          <w:b/>
          <w:bCs/>
          <w:sz w:val="28"/>
          <w:szCs w:val="28"/>
          <w:lang w:val="it-IT"/>
        </w:rPr>
      </w:pPr>
      <w:r w:rsidRPr="00F11555">
        <w:rPr>
          <w:b/>
          <w:sz w:val="28"/>
          <w:szCs w:val="28"/>
          <w:lang w:val="it-IT"/>
        </w:rPr>
        <w:t>III. Báo cáo và thời gian thực hiện:</w:t>
      </w:r>
    </w:p>
    <w:p w14:paraId="5E039010" w14:textId="77777777" w:rsidR="00D6036C" w:rsidRDefault="00D6036C" w:rsidP="00C128F8">
      <w:pPr>
        <w:tabs>
          <w:tab w:val="center" w:pos="993"/>
          <w:tab w:val="center" w:pos="4320"/>
          <w:tab w:val="right" w:pos="8640"/>
        </w:tabs>
        <w:spacing w:before="120"/>
        <w:ind w:firstLine="567"/>
        <w:rPr>
          <w:bCs/>
          <w:iCs/>
          <w:spacing w:val="-10"/>
          <w:sz w:val="28"/>
          <w:szCs w:val="28"/>
        </w:rPr>
      </w:pPr>
      <w:r w:rsidRPr="00941944">
        <w:rPr>
          <w:bCs/>
          <w:iCs/>
          <w:spacing w:val="-10"/>
          <w:sz w:val="28"/>
          <w:szCs w:val="28"/>
        </w:rPr>
        <w:t>‑</w:t>
      </w:r>
      <w:r>
        <w:rPr>
          <w:bCs/>
          <w:iCs/>
          <w:spacing w:val="-10"/>
          <w:sz w:val="28"/>
          <w:szCs w:val="28"/>
        </w:rPr>
        <w:t xml:space="preserve"> </w:t>
      </w:r>
      <w:r w:rsidRPr="00941944">
        <w:rPr>
          <w:bCs/>
          <w:iCs/>
          <w:spacing w:val="-10"/>
          <w:sz w:val="28"/>
          <w:szCs w:val="28"/>
        </w:rPr>
        <w:tab/>
        <w:t xml:space="preserve">Định kỳ 01 tuần/lần (trước 14 giờ 00 ngày thứ </w:t>
      </w:r>
      <w:r>
        <w:rPr>
          <w:bCs/>
          <w:iCs/>
          <w:spacing w:val="-10"/>
          <w:sz w:val="28"/>
          <w:szCs w:val="28"/>
        </w:rPr>
        <w:t>sáu</w:t>
      </w:r>
      <w:r w:rsidRPr="00941944">
        <w:rPr>
          <w:bCs/>
          <w:iCs/>
          <w:spacing w:val="-10"/>
          <w:sz w:val="28"/>
          <w:szCs w:val="28"/>
        </w:rPr>
        <w:t>) hoặc đột xuất (nếu có theo yêu cầu), nhà thầu tư vấn phải báo cáo tiến độ thực hiện cho chủ đầu tư.</w:t>
      </w:r>
    </w:p>
    <w:p w14:paraId="49BAB125" w14:textId="77777777" w:rsidR="00D6036C" w:rsidRPr="00AD44E5" w:rsidRDefault="00D6036C" w:rsidP="00C128F8">
      <w:pPr>
        <w:tabs>
          <w:tab w:val="center" w:pos="993"/>
          <w:tab w:val="center" w:pos="4320"/>
          <w:tab w:val="right" w:pos="8640"/>
        </w:tabs>
        <w:spacing w:before="120"/>
        <w:ind w:firstLine="567"/>
        <w:rPr>
          <w:bCs/>
          <w:iCs/>
          <w:spacing w:val="-10"/>
          <w:sz w:val="28"/>
          <w:szCs w:val="28"/>
        </w:rPr>
      </w:pPr>
      <w:r w:rsidRPr="00AD44E5">
        <w:rPr>
          <w:bCs/>
          <w:iCs/>
          <w:spacing w:val="-10"/>
          <w:sz w:val="28"/>
          <w:szCs w:val="28"/>
        </w:rPr>
        <w:t>- Nhà thầu tư vấn phải báo cáo tiến độ, tình hình thực hiện khi có yêu cầu của chủ đầu tư.</w:t>
      </w:r>
    </w:p>
    <w:p w14:paraId="1A2AB189" w14:textId="5F6B1032" w:rsidR="00D6036C" w:rsidRDefault="00D6036C" w:rsidP="00C128F8">
      <w:pPr>
        <w:tabs>
          <w:tab w:val="center" w:pos="993"/>
          <w:tab w:val="center" w:pos="4320"/>
          <w:tab w:val="right" w:pos="8640"/>
        </w:tabs>
        <w:spacing w:before="120"/>
        <w:ind w:firstLine="567"/>
        <w:rPr>
          <w:bCs/>
          <w:iCs/>
          <w:spacing w:val="-10"/>
          <w:sz w:val="28"/>
          <w:szCs w:val="28"/>
        </w:rPr>
      </w:pPr>
      <w:r w:rsidRPr="00AD44E5">
        <w:rPr>
          <w:bCs/>
          <w:iCs/>
          <w:spacing w:val="-10"/>
          <w:sz w:val="28"/>
          <w:szCs w:val="28"/>
        </w:rPr>
        <w:t xml:space="preserve">- Nội dung báo cáo được gởi về: Phòng </w:t>
      </w:r>
      <w:r>
        <w:rPr>
          <w:bCs/>
          <w:iCs/>
          <w:spacing w:val="-10"/>
          <w:sz w:val="28"/>
          <w:szCs w:val="28"/>
        </w:rPr>
        <w:t>Kỹ thuật An toàn</w:t>
      </w:r>
      <w:r w:rsidRPr="00AD44E5">
        <w:rPr>
          <w:bCs/>
          <w:iCs/>
          <w:spacing w:val="-10"/>
          <w:sz w:val="28"/>
          <w:szCs w:val="28"/>
        </w:rPr>
        <w:t xml:space="preserve">, Công ty Điện lực </w:t>
      </w:r>
      <w:r w:rsidR="00444B4C">
        <w:rPr>
          <w:bCs/>
          <w:iCs/>
          <w:spacing w:val="-10"/>
          <w:sz w:val="28"/>
          <w:szCs w:val="28"/>
        </w:rPr>
        <w:t>Vũng Tàu</w:t>
      </w:r>
      <w:r w:rsidRPr="00AD44E5">
        <w:rPr>
          <w:bCs/>
          <w:iCs/>
          <w:spacing w:val="-10"/>
          <w:sz w:val="28"/>
          <w:szCs w:val="28"/>
        </w:rPr>
        <w:t xml:space="preserve">, Số </w:t>
      </w:r>
      <w:r w:rsidR="005A6DDF">
        <w:rPr>
          <w:bCs/>
          <w:iCs/>
          <w:spacing w:val="-10"/>
          <w:sz w:val="28"/>
          <w:szCs w:val="28"/>
        </w:rPr>
        <w:t>60</w:t>
      </w:r>
      <w:r w:rsidRPr="00AD44E5">
        <w:rPr>
          <w:bCs/>
          <w:iCs/>
          <w:spacing w:val="-10"/>
          <w:sz w:val="28"/>
          <w:szCs w:val="28"/>
        </w:rPr>
        <w:t xml:space="preserve"> </w:t>
      </w:r>
      <w:r w:rsidR="00444B4C">
        <w:rPr>
          <w:bCs/>
          <w:iCs/>
          <w:spacing w:val="-10"/>
          <w:sz w:val="28"/>
          <w:szCs w:val="28"/>
        </w:rPr>
        <w:t>Trần Hưng Đạo</w:t>
      </w:r>
      <w:r w:rsidRPr="00AD44E5">
        <w:rPr>
          <w:bCs/>
          <w:iCs/>
          <w:spacing w:val="-10"/>
          <w:sz w:val="28"/>
          <w:szCs w:val="28"/>
        </w:rPr>
        <w:t>, Phường</w:t>
      </w:r>
      <w:r w:rsidR="00444B4C">
        <w:rPr>
          <w:bCs/>
          <w:iCs/>
          <w:spacing w:val="-10"/>
          <w:sz w:val="28"/>
          <w:szCs w:val="28"/>
        </w:rPr>
        <w:t xml:space="preserve"> Vũng Tàu</w:t>
      </w:r>
      <w:r w:rsidRPr="00AD44E5">
        <w:rPr>
          <w:bCs/>
          <w:iCs/>
          <w:spacing w:val="-10"/>
          <w:sz w:val="28"/>
          <w:szCs w:val="28"/>
        </w:rPr>
        <w:t>, Tp.HCM.</w:t>
      </w:r>
    </w:p>
    <w:p w14:paraId="72E9871E"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t>Yêu cầu về chất lượng, số lượng sản phẩm Tư vấn</w:t>
      </w:r>
      <w:r>
        <w:rPr>
          <w:bCs/>
          <w:iCs/>
          <w:spacing w:val="-10"/>
          <w:sz w:val="28"/>
          <w:szCs w:val="28"/>
        </w:rPr>
        <w:t>:</w:t>
      </w:r>
    </w:p>
    <w:p w14:paraId="03F18C81"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t>a. Yêu cầu về chất lượng sản phẩm tư vấn:</w:t>
      </w:r>
    </w:p>
    <w:p w14:paraId="64A7D50D"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t>-</w:t>
      </w:r>
      <w:r w:rsidRPr="00380C72">
        <w:rPr>
          <w:bCs/>
          <w:iCs/>
          <w:spacing w:val="-10"/>
          <w:sz w:val="28"/>
          <w:szCs w:val="28"/>
        </w:rPr>
        <w:tab/>
      </w:r>
      <w:r>
        <w:rPr>
          <w:bCs/>
          <w:iCs/>
          <w:spacing w:val="-10"/>
          <w:sz w:val="28"/>
          <w:szCs w:val="28"/>
        </w:rPr>
        <w:t xml:space="preserve"> </w:t>
      </w:r>
      <w:r w:rsidRPr="00380C72">
        <w:rPr>
          <w:bCs/>
          <w:iCs/>
          <w:spacing w:val="-10"/>
          <w:sz w:val="28"/>
          <w:szCs w:val="28"/>
        </w:rPr>
        <w:t>Chất lượng sản phẩm Tư vấn giám sát phải phù hợp với quy định tại Nghị định số 06/2021/NĐ-CP ngày 26/01/2021 của Chính phủ và các quy định hiện hành.</w:t>
      </w:r>
    </w:p>
    <w:p w14:paraId="15A549AA"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t xml:space="preserve">b/ Số lượng hồ sơ sản phẩm của Hợp đồng gồm: </w:t>
      </w:r>
    </w:p>
    <w:p w14:paraId="0107AE7E" w14:textId="77777777" w:rsidR="00D6036C" w:rsidRPr="00AD44E5"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t>-</w:t>
      </w:r>
      <w:r w:rsidRPr="00380C72">
        <w:rPr>
          <w:bCs/>
          <w:iCs/>
          <w:spacing w:val="-10"/>
          <w:sz w:val="28"/>
          <w:szCs w:val="28"/>
        </w:rPr>
        <w:tab/>
      </w:r>
      <w:r>
        <w:rPr>
          <w:bCs/>
          <w:iCs/>
          <w:spacing w:val="-10"/>
          <w:sz w:val="28"/>
          <w:szCs w:val="28"/>
        </w:rPr>
        <w:t xml:space="preserve"> </w:t>
      </w:r>
      <w:r w:rsidRPr="00380C72">
        <w:rPr>
          <w:bCs/>
          <w:iCs/>
          <w:spacing w:val="-10"/>
          <w:sz w:val="28"/>
          <w:szCs w:val="28"/>
        </w:rPr>
        <w:t>Báo cáo giám sát: 06 bộ.</w:t>
      </w:r>
    </w:p>
    <w:p w14:paraId="1EBDBFF0" w14:textId="77777777" w:rsidR="00D6036C" w:rsidRPr="00F11555" w:rsidRDefault="00D6036C" w:rsidP="00C128F8">
      <w:pPr>
        <w:spacing w:before="60" w:after="60"/>
        <w:ind w:firstLine="720"/>
        <w:rPr>
          <w:b/>
          <w:sz w:val="28"/>
          <w:szCs w:val="28"/>
          <w:lang w:val="it-IT"/>
        </w:rPr>
      </w:pPr>
      <w:r w:rsidRPr="00F11555">
        <w:rPr>
          <w:b/>
          <w:sz w:val="28"/>
          <w:szCs w:val="28"/>
          <w:lang w:val="it-IT"/>
        </w:rPr>
        <w:t>IV. Kinh nghiệm và nhân sự của nhà thầu:</w:t>
      </w:r>
    </w:p>
    <w:p w14:paraId="70791B73"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t>- Phải đáp ứng theo yêu cầu nêu tại Mục 2, Chương III của HSMT.</w:t>
      </w:r>
    </w:p>
    <w:p w14:paraId="711EF822"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sidRPr="00380C72">
        <w:rPr>
          <w:bCs/>
          <w:iCs/>
          <w:spacing w:val="-10"/>
          <w:sz w:val="28"/>
          <w:szCs w:val="28"/>
        </w:rPr>
        <w:lastRenderedPageBreak/>
        <w:t>- Ngoài ra trong quá trình đánh giá hồ sơ dự thầu, nếu có nghi ngờ Bên mời thầu có thể yêu cầu nhà thầu cung cấp các bản chính để đối chiếu cũng như yêu cầu xác nhận của cơ quan liên quan có thẩm quyền.</w:t>
      </w:r>
    </w:p>
    <w:p w14:paraId="4C22216B" w14:textId="77777777" w:rsidR="00D6036C" w:rsidRPr="00F11555" w:rsidRDefault="00D6036C" w:rsidP="00C128F8">
      <w:pPr>
        <w:spacing w:before="60" w:after="60"/>
        <w:ind w:firstLine="720"/>
        <w:rPr>
          <w:b/>
          <w:bCs/>
          <w:sz w:val="28"/>
          <w:szCs w:val="28"/>
          <w:lang w:val="it-IT"/>
        </w:rPr>
      </w:pPr>
      <w:r w:rsidRPr="00F11555">
        <w:rPr>
          <w:b/>
          <w:sz w:val="28"/>
          <w:szCs w:val="28"/>
          <w:lang w:val="it-IT"/>
        </w:rPr>
        <w:t>V. Trách nhiệm của chủ đầu tư:</w:t>
      </w:r>
    </w:p>
    <w:p w14:paraId="5468E375" w14:textId="77777777" w:rsidR="00D6036C" w:rsidRDefault="00D6036C" w:rsidP="00C128F8">
      <w:pPr>
        <w:spacing w:before="60" w:after="60"/>
        <w:ind w:firstLine="720"/>
        <w:rPr>
          <w:bCs/>
          <w:i/>
          <w:sz w:val="28"/>
          <w:szCs w:val="28"/>
          <w:lang w:val="it-IT"/>
        </w:rPr>
      </w:pPr>
      <w:r w:rsidRPr="00F11555">
        <w:rPr>
          <w:bCs/>
          <w:i/>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14:paraId="56EAD452"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Phối hợp chặt chẽ và tạo mọi điều kiện thuận lợi cho nhà thầu tư vấn trong quá trình thực hiện hợp đồng.</w:t>
      </w:r>
    </w:p>
    <w:p w14:paraId="09E03F4F"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Cung cấp đầy đủ, kịp thời các tài liệu, số liệu và các văn bản liên quan cho nhà thầu tư vấn trong quá trình thực hiện hợp đồng.</w:t>
      </w:r>
    </w:p>
    <w:p w14:paraId="7AE9744A"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Theo dõi, kiểm tra và đôn đốc nhà thầu tư vấn trong suốt quá trình thực hiện dịch vụ.</w:t>
      </w:r>
    </w:p>
    <w:p w14:paraId="691F3CBB"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Thông báo về nhiệm vụ, quyền hạn của các cá nhân trong hệ thống quản lý chất lượng của chủ đầu tư, nhà thầu giám sát thi công xây dựng công trình cho các nhà thầu có liên quan biết để phối hợp thực hiện. </w:t>
      </w:r>
    </w:p>
    <w:p w14:paraId="6E69C9E4"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Kiểm tra việc huy động và bố trí nhân lực của nhà thầu giám sát thi công xây dựng công trình so với yêu cầu của hợp đồng xây dựng. </w:t>
      </w:r>
    </w:p>
    <w:p w14:paraId="6B73289C"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Thực hiện các quy định về bảo vệ môi trường đối với các công trình xây dựng theo quy định của pháp luật về bảo vệ môi trường. </w:t>
      </w:r>
    </w:p>
    <w:p w14:paraId="3BE9E162"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Tổ chức nghiệm thu công trình theo qui định của pháp luật hiện hành về quản lý chất lượng công trình.</w:t>
      </w:r>
    </w:p>
    <w:p w14:paraId="1678380F"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Tổ chức lập hồ sơ hoàn thành công trình xây dựng.</w:t>
      </w:r>
    </w:p>
    <w:p w14:paraId="1D0B478E"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Lập báo cáo hoàn thành đưa công trình xây dựng vào sử dụng hoặc báo cáo đột xuất khi có yêu cầu và gửi cơ quan quản lý nhà nước về xây dựng theo quy định tại Nghị định này. </w:t>
      </w:r>
    </w:p>
    <w:p w14:paraId="54C4DD97"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Tổ chức kiểm định chất lượng bộ phận công trình, hạng mục công trình và toàn bộ công trình xây dựng khi có nghi ngờ về chất lượng hoặc khi được cơ quan quản lý nhà nước yêu cầu.</w:t>
      </w:r>
    </w:p>
    <w:p w14:paraId="1F75BCE1"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Tạm dừng hoặc đình chỉ thi công đối với nhà thầu thi công xây dựng khi xét thấy chất lượng thi công xây dựng không đảm bảo yêu cầu kỹ thuật, biện pháp thi công không đảm bảo an toàn. </w:t>
      </w:r>
    </w:p>
    <w:p w14:paraId="02DBC11C"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Chủ trì, phối hợp với các bên liên quan giải quyết những vướng mắc, phát sinh trong thi công xây dựng công trình và xử lý, khắc phục sự cố theo quy định.</w:t>
      </w:r>
    </w:p>
    <w:p w14:paraId="438BF995"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lastRenderedPageBreak/>
        <w:t xml:space="preserve">- </w:t>
      </w:r>
      <w:r w:rsidRPr="00380C72">
        <w:rPr>
          <w:bCs/>
          <w:iCs/>
          <w:spacing w:val="-10"/>
          <w:sz w:val="28"/>
          <w:szCs w:val="28"/>
        </w:rPr>
        <w:t xml:space="preserve">Kiểm tra việc thực hiện của nhà thầu tư vấn giám sát theo yêu cầu của Hợp đồng xây dựng và quy định của pháp luật có liên quan. </w:t>
      </w:r>
    </w:p>
    <w:p w14:paraId="6BF29BA0"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Phối hợp chặt chẽ và tạo mọi điều kiện thuận lợi cho nhà thầu tư vấn trong quá trình thực hiện hợp đồng. </w:t>
      </w:r>
    </w:p>
    <w:p w14:paraId="55493971"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Cung cấp đầy đủ, kịp thời các tài liệu, số liệu và các văn bản liên quan cho nhà thầu tư vấn trong quá trình thực hiện hợp đồng. </w:t>
      </w:r>
    </w:p>
    <w:p w14:paraId="752D88AD"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 xml:space="preserve">Kiểm tra, ký đóng dấu kịp thời (trong vòng 03 ngày) các hồ sơ liên quan,... </w:t>
      </w:r>
    </w:p>
    <w:p w14:paraId="6EE152E0" w14:textId="77777777" w:rsidR="00D6036C" w:rsidRPr="00380C72" w:rsidRDefault="00D6036C" w:rsidP="00C128F8">
      <w:pPr>
        <w:tabs>
          <w:tab w:val="center" w:pos="993"/>
          <w:tab w:val="center" w:pos="4320"/>
          <w:tab w:val="right" w:pos="8640"/>
        </w:tabs>
        <w:spacing w:before="120"/>
        <w:ind w:firstLine="567"/>
        <w:rPr>
          <w:bCs/>
          <w:iCs/>
          <w:spacing w:val="-10"/>
          <w:sz w:val="28"/>
          <w:szCs w:val="28"/>
        </w:rPr>
      </w:pPr>
      <w:r>
        <w:rPr>
          <w:bCs/>
          <w:iCs/>
          <w:spacing w:val="-10"/>
          <w:sz w:val="28"/>
          <w:szCs w:val="28"/>
        </w:rPr>
        <w:t xml:space="preserve">- </w:t>
      </w:r>
      <w:r w:rsidRPr="00380C72">
        <w:rPr>
          <w:bCs/>
          <w:iCs/>
          <w:spacing w:val="-10"/>
          <w:sz w:val="28"/>
          <w:szCs w:val="28"/>
        </w:rPr>
        <w:t>Tổ chức nghiệm thu, thanh, quyết toán hợp đồng đúng quy định.</w:t>
      </w:r>
    </w:p>
    <w:p w14:paraId="5535494B" w14:textId="77777777" w:rsidR="00D6036C" w:rsidRPr="002260DB" w:rsidRDefault="00D6036C" w:rsidP="00C128F8">
      <w:pPr>
        <w:spacing w:before="60" w:after="60"/>
        <w:ind w:firstLine="720"/>
        <w:rPr>
          <w:b/>
          <w:iCs/>
          <w:sz w:val="28"/>
          <w:szCs w:val="28"/>
          <w:lang w:val="it-IT"/>
        </w:rPr>
      </w:pPr>
      <w:r w:rsidRPr="002260DB">
        <w:rPr>
          <w:b/>
          <w:iCs/>
          <w:sz w:val="28"/>
          <w:szCs w:val="28"/>
          <w:lang w:val="it-IT"/>
        </w:rPr>
        <w:t>VI. Nội dung liên quan đến phạt hợp đồng</w:t>
      </w:r>
    </w:p>
    <w:p w14:paraId="7849AE11" w14:textId="749D844F" w:rsidR="00D6036C" w:rsidRPr="00F7260C" w:rsidRDefault="00D6036C" w:rsidP="00C128F8">
      <w:pPr>
        <w:tabs>
          <w:tab w:val="center" w:pos="993"/>
          <w:tab w:val="center" w:pos="4320"/>
          <w:tab w:val="right" w:pos="8640"/>
        </w:tabs>
        <w:spacing w:before="120"/>
        <w:ind w:firstLine="567"/>
        <w:rPr>
          <w:bCs/>
          <w:iCs/>
          <w:spacing w:val="-10"/>
          <w:sz w:val="28"/>
          <w:szCs w:val="28"/>
        </w:rPr>
      </w:pPr>
      <w:r w:rsidRPr="00F7260C">
        <w:rPr>
          <w:bCs/>
          <w:iCs/>
          <w:spacing w:val="-10"/>
          <w:sz w:val="28"/>
          <w:szCs w:val="28"/>
        </w:rPr>
        <w:t>-</w:t>
      </w:r>
      <w:r w:rsidRPr="00F7260C">
        <w:rPr>
          <w:bCs/>
          <w:iCs/>
          <w:spacing w:val="-10"/>
          <w:sz w:val="28"/>
          <w:szCs w:val="28"/>
        </w:rPr>
        <w:tab/>
      </w:r>
      <w:r>
        <w:rPr>
          <w:bCs/>
          <w:iCs/>
          <w:spacing w:val="-10"/>
          <w:sz w:val="28"/>
          <w:szCs w:val="28"/>
        </w:rPr>
        <w:t xml:space="preserve"> </w:t>
      </w:r>
      <w:r w:rsidRPr="00F7260C">
        <w:rPr>
          <w:bCs/>
          <w:iCs/>
          <w:spacing w:val="-10"/>
          <w:sz w:val="28"/>
          <w:szCs w:val="28"/>
        </w:rPr>
        <w:t xml:space="preserve">Áp dụng quy định tại Quyết định số </w:t>
      </w:r>
      <w:r w:rsidR="00D14408">
        <w:rPr>
          <w:bCs/>
          <w:iCs/>
          <w:spacing w:val="-10"/>
          <w:sz w:val="28"/>
          <w:szCs w:val="28"/>
        </w:rPr>
        <w:t xml:space="preserve">5041/QĐ-EVNHCMC ngày 30/9/2025 về việc </w:t>
      </w:r>
      <w:r w:rsidR="00D14408" w:rsidRPr="00D14408">
        <w:rPr>
          <w:bCs/>
          <w:iCs/>
          <w:spacing w:val="-10"/>
          <w:sz w:val="28"/>
          <w:szCs w:val="28"/>
        </w:rPr>
        <w:t>Hướng dẫn thưởng, phạt, bồi thường thiệt hại đối với hợp đồng xây dựng</w:t>
      </w:r>
    </w:p>
    <w:p w14:paraId="7795CC9B" w14:textId="77777777" w:rsidR="00BA18E0" w:rsidRPr="00BA18E0" w:rsidRDefault="00BA18E0" w:rsidP="00C128F8">
      <w:pPr>
        <w:tabs>
          <w:tab w:val="center" w:pos="993"/>
          <w:tab w:val="center" w:pos="4320"/>
          <w:tab w:val="right" w:pos="8640"/>
        </w:tabs>
        <w:spacing w:before="120"/>
        <w:ind w:firstLine="567"/>
        <w:rPr>
          <w:bCs/>
          <w:iCs/>
          <w:spacing w:val="-10"/>
          <w:sz w:val="28"/>
          <w:szCs w:val="28"/>
        </w:rPr>
      </w:pPr>
      <w:r w:rsidRPr="00BA18E0">
        <w:rPr>
          <w:bCs/>
          <w:iCs/>
          <w:spacing w:val="-10"/>
          <w:sz w:val="28"/>
          <w:szCs w:val="28"/>
        </w:rPr>
        <w:t>a) Nguyên tắc: Nội dung vi phạm về chất lượng hồ sơ tư vấn giám sát được quy định như sau:</w:t>
      </w:r>
      <w:r w:rsidRPr="00BA18E0">
        <w:rPr>
          <w:bCs/>
          <w:iCs/>
          <w:spacing w:val="-10"/>
          <w:sz w:val="28"/>
          <w:szCs w:val="28"/>
        </w:rPr>
        <w:br/>
        <w:t>- Nghiệm thu không đúng thiết kế.</w:t>
      </w:r>
      <w:r w:rsidRPr="00BA18E0">
        <w:rPr>
          <w:bCs/>
          <w:iCs/>
          <w:spacing w:val="-10"/>
          <w:sz w:val="28"/>
          <w:szCs w:val="28"/>
        </w:rPr>
        <w:br/>
        <w:t>- Giám sát thi công không đúng thiết kế bản vẽ thi công, biện pháp thi công được duyệt dẫn đến chất lượng không đảm bảo, gây nên sự cố công trình, phải phá đi làm lại, làm chậm tiến độ.</w:t>
      </w:r>
      <w:r w:rsidRPr="00BA18E0">
        <w:rPr>
          <w:bCs/>
          <w:iCs/>
          <w:spacing w:val="-10"/>
          <w:sz w:val="28"/>
          <w:szCs w:val="28"/>
        </w:rPr>
        <w:br/>
        <w:t>- Kiểm tra, nghiệm thu khối lượng công việc, khối lượng thi công xây dựng và hồ sơ hoàn công không đúng theo bản vẽ thi công được duyệt và khối lượng thi công thực tế tại công trường gây nên sai phạm về khối lượng, ảnh hưởng đến công tác nghiệm thu công việc/ hạng mục/ dự án phục vụ thanh quyết toán.</w:t>
      </w:r>
      <w:r w:rsidRPr="00BA18E0">
        <w:rPr>
          <w:bCs/>
          <w:iCs/>
          <w:spacing w:val="-10"/>
          <w:sz w:val="28"/>
          <w:szCs w:val="28"/>
        </w:rPr>
        <w:br/>
        <w:t>- Phạt khi để xảy ra sai sót về an toàn, vệ sinh môi trường, chậm tiến độ mà không phát hiện báo cáo và chủ đầu tư.</w:t>
      </w:r>
      <w:r w:rsidRPr="00BA18E0">
        <w:rPr>
          <w:bCs/>
          <w:iCs/>
          <w:spacing w:val="-10"/>
          <w:sz w:val="28"/>
          <w:szCs w:val="28"/>
        </w:rPr>
        <w:br/>
        <w:t>- Phạt khi nghiệm thu không đúng khối lượng, chất lượng.</w:t>
      </w:r>
      <w:r w:rsidRPr="00BA18E0">
        <w:rPr>
          <w:bCs/>
          <w:iCs/>
          <w:spacing w:val="-10"/>
          <w:sz w:val="28"/>
          <w:szCs w:val="28"/>
        </w:rPr>
        <w:br/>
        <w:t>- Các nội dung sai sót khác gồm: vi phạm hợp đồng giám sát đã ký; chậm trễ trong nghiệm thu VTTB, nghiệm thu công việc, nghiệm thu giai đoạn, nghiệm thu đóng điện, nghiệm thu hạng mục/công trình hoàn thành; chậm trễ trong kiểm tra, xác nhận khối lượng; chậm báo cáo từ 03 ngày trở lên hoặc không báo cáo tình hình thi công hàng tuần cho chủ đầu tư; không ghi chép nội dung giám sát trong sổ nhật ký thi công; không cập nhật chương trình IMIS kịp thời; không có mặt trên công trường; không chụp hình, quay phim hoặc chụp hình, quay phim không đầy đủ các vị trí lấp khuất đúng theo quy định.</w:t>
      </w:r>
    </w:p>
    <w:p w14:paraId="48D73FF5" w14:textId="77777777" w:rsidR="00BA18E0" w:rsidRPr="00BA18E0" w:rsidRDefault="00BA18E0" w:rsidP="00C128F8">
      <w:pPr>
        <w:tabs>
          <w:tab w:val="center" w:pos="993"/>
          <w:tab w:val="center" w:pos="4320"/>
          <w:tab w:val="right" w:pos="8640"/>
        </w:tabs>
        <w:spacing w:before="120"/>
        <w:ind w:firstLine="567"/>
        <w:rPr>
          <w:bCs/>
          <w:iCs/>
          <w:spacing w:val="-10"/>
          <w:sz w:val="28"/>
          <w:szCs w:val="28"/>
        </w:rPr>
      </w:pPr>
      <w:r w:rsidRPr="00BA18E0">
        <w:rPr>
          <w:bCs/>
          <w:iCs/>
          <w:spacing w:val="-10"/>
          <w:sz w:val="28"/>
          <w:szCs w:val="28"/>
        </w:rPr>
        <w:t>b) Mức phạt: </w:t>
      </w:r>
      <w:r w:rsidRPr="00BA18E0">
        <w:rPr>
          <w:bCs/>
          <w:iCs/>
          <w:spacing w:val="-10"/>
          <w:sz w:val="28"/>
          <w:szCs w:val="28"/>
        </w:rPr>
        <w:br/>
        <w:t>“Giá trị phạt = tỉ lệ % x giá trị hợp đồng bị vi phạm (hoặc giá trị hợp đồng trong trường hợp không xác định được giá trị phần bị vi phạm) đã ký:</w:t>
      </w:r>
      <w:r w:rsidRPr="00BA18E0">
        <w:rPr>
          <w:bCs/>
          <w:iCs/>
          <w:spacing w:val="-10"/>
          <w:sz w:val="28"/>
          <w:szCs w:val="28"/>
        </w:rPr>
        <w:br/>
        <w:t>- lần 1 - phạt 1 %;</w:t>
      </w:r>
      <w:r w:rsidRPr="00BA18E0">
        <w:rPr>
          <w:bCs/>
          <w:iCs/>
          <w:spacing w:val="-10"/>
          <w:sz w:val="28"/>
          <w:szCs w:val="28"/>
        </w:rPr>
        <w:br/>
        <w:t>- lần 2 và 3 - phạt 3 %;</w:t>
      </w:r>
      <w:r w:rsidRPr="00BA18E0">
        <w:rPr>
          <w:bCs/>
          <w:iCs/>
          <w:spacing w:val="-10"/>
          <w:sz w:val="28"/>
          <w:szCs w:val="28"/>
        </w:rPr>
        <w:br/>
        <w:t>- lần 4 - phạt 5 %;</w:t>
      </w:r>
      <w:r w:rsidRPr="00BA18E0">
        <w:rPr>
          <w:bCs/>
          <w:iCs/>
          <w:spacing w:val="-10"/>
          <w:sz w:val="28"/>
          <w:szCs w:val="28"/>
        </w:rPr>
        <w:br/>
      </w:r>
      <w:r w:rsidRPr="00BA18E0">
        <w:rPr>
          <w:bCs/>
          <w:iCs/>
          <w:spacing w:val="-10"/>
          <w:sz w:val="28"/>
          <w:szCs w:val="28"/>
        </w:rPr>
        <w:lastRenderedPageBreak/>
        <w:t>- tổng giá trị phạt không quá 12 % giá trị hợp đồng, mức phạt đạt 12 % có thể xem xét chấm dứt hợp đồng.</w:t>
      </w:r>
    </w:p>
    <w:bookmarkEnd w:id="6"/>
    <w:p w14:paraId="52468B39" w14:textId="77777777" w:rsidR="003E5AC3" w:rsidRDefault="003E5AC3"/>
    <w:sectPr w:rsidR="003E5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9F"/>
      </v:shape>
    </w:pict>
  </w:numPicBullet>
  <w:abstractNum w:abstractNumId="0" w15:restartNumberingAfterBreak="0">
    <w:nsid w:val="00000004"/>
    <w:multiLevelType w:val="multilevel"/>
    <w:tmpl w:val="B246BA7A"/>
    <w:lvl w:ilvl="0">
      <w:start w:val="17"/>
      <w:numFmt w:val="bullet"/>
      <w:pStyle w:val="Daudong-"/>
      <w:lvlText w:val="-"/>
      <w:lvlJc w:val="left"/>
      <w:pPr>
        <w:tabs>
          <w:tab w:val="num" w:pos="993"/>
        </w:tabs>
        <w:ind w:left="993" w:hanging="567"/>
      </w:pPr>
      <w:rPr>
        <w:rFonts w:ascii="Times New Roman" w:hAnsi="Times New Roman" w:hint="default"/>
        <w:b/>
        <w:i w:val="0"/>
        <w:color w:val="auto"/>
        <w:sz w:val="26"/>
        <w:lang w:val="vi-VN"/>
      </w:rPr>
    </w:lvl>
    <w:lvl w:ilvl="1">
      <w:start w:val="1"/>
      <w:numFmt w:val="bullet"/>
      <w:pStyle w:val="Daudong"/>
      <w:lvlText w:val="+"/>
      <w:lvlJc w:val="left"/>
      <w:pPr>
        <w:tabs>
          <w:tab w:val="num" w:pos="1277"/>
        </w:tabs>
        <w:ind w:left="1277" w:hanging="567"/>
      </w:pPr>
      <w:rPr>
        <w:rFonts w:ascii="Symbol" w:hAnsi="Symbol" w:cs="Symbol" w:hint="default"/>
        <w:color w:val="auto"/>
      </w:rPr>
    </w:lvl>
    <w:lvl w:ilvl="2">
      <w:start w:val="1"/>
      <w:numFmt w:val="bullet"/>
      <w:lvlText w:val="o"/>
      <w:lvlJc w:val="left"/>
      <w:pPr>
        <w:tabs>
          <w:tab w:val="num" w:pos="1985"/>
        </w:tabs>
        <w:ind w:left="1985" w:hanging="567"/>
      </w:pPr>
      <w:rPr>
        <w:rFonts w:ascii="Symbol" w:hAnsi="Symbol" w:cs="Symbol" w:hint="default"/>
        <w:color w:val="auto"/>
      </w:rPr>
    </w:lvl>
    <w:lvl w:ilvl="3">
      <w:start w:val="1"/>
      <w:numFmt w:val="bullet"/>
      <w:lvlText w:val=""/>
      <w:lvlJc w:val="left"/>
      <w:pPr>
        <w:tabs>
          <w:tab w:val="num" w:pos="2552"/>
        </w:tabs>
        <w:ind w:left="2552" w:hanging="567"/>
      </w:pPr>
      <w:rPr>
        <w:rFonts w:ascii="Wingdings" w:hAnsi="Wingdings" w:hint="default"/>
        <w:color w:val="FF0000"/>
      </w:rPr>
    </w:lvl>
    <w:lvl w:ilvl="4">
      <w:start w:val="1"/>
      <w:numFmt w:val="bullet"/>
      <w:lvlText w:val=""/>
      <w:lvlJc w:val="left"/>
      <w:pPr>
        <w:tabs>
          <w:tab w:val="num" w:pos="3119"/>
        </w:tabs>
        <w:ind w:left="3119" w:hanging="567"/>
      </w:pPr>
      <w:rPr>
        <w:rFonts w:ascii="Courier New" w:hAnsi="Courier New" w:hint="default"/>
        <w:color w:val="FF0000"/>
      </w:rPr>
    </w:lvl>
    <w:lvl w:ilvl="5">
      <w:start w:val="1"/>
      <w:numFmt w:val="bullet"/>
      <w:lvlText w:val=""/>
      <w:lvlJc w:val="left"/>
      <w:pPr>
        <w:tabs>
          <w:tab w:val="num" w:pos="4640"/>
        </w:tabs>
        <w:ind w:left="4640" w:hanging="360"/>
      </w:pPr>
      <w:rPr>
        <w:rFonts w:ascii="Courier New" w:hAnsi="Courier New" w:hint="default"/>
      </w:rPr>
    </w:lvl>
    <w:lvl w:ilvl="6">
      <w:start w:val="1"/>
      <w:numFmt w:val="bullet"/>
      <w:lvlText w:val=""/>
      <w:lvlJc w:val="left"/>
      <w:pPr>
        <w:tabs>
          <w:tab w:val="num" w:pos="5360"/>
        </w:tabs>
        <w:ind w:left="5360" w:hanging="360"/>
      </w:pPr>
      <w:rPr>
        <w:rFonts w:ascii="Wingdings" w:hAnsi="Wingdings" w:hint="default"/>
      </w:rPr>
    </w:lvl>
    <w:lvl w:ilvl="7">
      <w:start w:val="1"/>
      <w:numFmt w:val="bullet"/>
      <w:lvlText w:val="o"/>
      <w:lvlJc w:val="left"/>
      <w:pPr>
        <w:tabs>
          <w:tab w:val="num" w:pos="6080"/>
        </w:tabs>
        <w:ind w:left="6080" w:hanging="360"/>
      </w:pPr>
      <w:rPr>
        <w:rFonts w:ascii="Calibri" w:hAnsi="Calibri" w:hint="default"/>
      </w:rPr>
    </w:lvl>
    <w:lvl w:ilvl="8">
      <w:start w:val="1"/>
      <w:numFmt w:val="bullet"/>
      <w:lvlText w:val=""/>
      <w:lvlJc w:val="left"/>
      <w:pPr>
        <w:tabs>
          <w:tab w:val="num" w:pos="6800"/>
        </w:tabs>
        <w:ind w:left="6800" w:hanging="360"/>
      </w:pPr>
      <w:rPr>
        <w:rFonts w:ascii="Courier New" w:hAnsi="Courier New" w:hint="default"/>
      </w:rPr>
    </w:lvl>
  </w:abstractNum>
  <w:abstractNum w:abstractNumId="1" w15:restartNumberingAfterBreak="0">
    <w:nsid w:val="08DF0A6D"/>
    <w:multiLevelType w:val="hybridMultilevel"/>
    <w:tmpl w:val="77347AC4"/>
    <w:lvl w:ilvl="0" w:tplc="E4A4F0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22E8F"/>
    <w:multiLevelType w:val="multilevel"/>
    <w:tmpl w:val="AD02B324"/>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715B83"/>
    <w:multiLevelType w:val="hybridMultilevel"/>
    <w:tmpl w:val="E87A0D42"/>
    <w:lvl w:ilvl="0" w:tplc="F9340642">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 w15:restartNumberingAfterBreak="0">
    <w:nsid w:val="20E10B29"/>
    <w:multiLevelType w:val="hybridMultilevel"/>
    <w:tmpl w:val="413024A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462300"/>
    <w:multiLevelType w:val="hybridMultilevel"/>
    <w:tmpl w:val="0128C09A"/>
    <w:lvl w:ilvl="0" w:tplc="E4A4F074">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6" w15:restartNumberingAfterBreak="0">
    <w:nsid w:val="39C33DAA"/>
    <w:multiLevelType w:val="hybridMultilevel"/>
    <w:tmpl w:val="F5F8DAFA"/>
    <w:lvl w:ilvl="0" w:tplc="F9340642">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5CD25150">
      <w:start w:val="1"/>
      <w:numFmt w:val="bullet"/>
      <w:lvlText w:val=""/>
      <w:lvlJc w:val="left"/>
      <w:pPr>
        <w:ind w:left="3436" w:hanging="360"/>
      </w:pPr>
      <w:rPr>
        <w:rFonts w:ascii="Wingdings 2" w:eastAsia="Times New Roman" w:hAnsi="Wingdings 2" w:cs="Times New Roman"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7" w15:restartNumberingAfterBreak="0">
    <w:nsid w:val="40F962C5"/>
    <w:multiLevelType w:val="hybridMultilevel"/>
    <w:tmpl w:val="8640EBC2"/>
    <w:lvl w:ilvl="0" w:tplc="D55A8F50">
      <w:start w:val="1"/>
      <w:numFmt w:val="bullet"/>
      <w:lvlText w:val="–"/>
      <w:lvlJc w:val="left"/>
      <w:pPr>
        <w:tabs>
          <w:tab w:val="num" w:pos="684"/>
        </w:tabs>
        <w:ind w:left="684" w:hanging="360"/>
      </w:pPr>
      <w:rPr>
        <w:rFonts w:ascii="Times New Roman" w:eastAsia="Times New Roman" w:hAnsi="Times New Roman" w:cs="Times New Roman" w:hint="default"/>
      </w:rPr>
    </w:lvl>
    <w:lvl w:ilvl="1" w:tplc="04090003">
      <w:start w:val="3"/>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895737"/>
    <w:multiLevelType w:val="hybridMultilevel"/>
    <w:tmpl w:val="674892C4"/>
    <w:lvl w:ilvl="0" w:tplc="817C00B4">
      <w:numFmt w:val="bullet"/>
      <w:lvlText w:val="+"/>
      <w:lvlJc w:val="left"/>
      <w:pPr>
        <w:ind w:left="1855" w:hanging="360"/>
      </w:pPr>
      <w:rPr>
        <w:rFonts w:ascii="Times New Roman" w:eastAsia="Times New Roman" w:hAnsi="Times New Roman" w:cs="Times New Roman"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9" w15:restartNumberingAfterBreak="0">
    <w:nsid w:val="44B505BC"/>
    <w:multiLevelType w:val="hybridMultilevel"/>
    <w:tmpl w:val="3CD06DBE"/>
    <w:lvl w:ilvl="0" w:tplc="F1608D0A">
      <w:numFmt w:val="bullet"/>
      <w:lvlText w:val="-"/>
      <w:lvlJc w:val="left"/>
      <w:pPr>
        <w:ind w:left="959" w:hanging="154"/>
      </w:pPr>
      <w:rPr>
        <w:rFonts w:ascii="Times New Roman" w:eastAsia="Times New Roman" w:hAnsi="Times New Roman" w:cs="Times New Roman" w:hint="default"/>
        <w:w w:val="99"/>
        <w:sz w:val="26"/>
        <w:szCs w:val="26"/>
        <w:lang w:eastAsia="en-US" w:bidi="ar-SA"/>
      </w:rPr>
    </w:lvl>
    <w:lvl w:ilvl="1" w:tplc="2760E344">
      <w:start w:val="1"/>
      <w:numFmt w:val="bullet"/>
      <w:lvlText w:val="+"/>
      <w:lvlJc w:val="left"/>
      <w:pPr>
        <w:ind w:left="1968" w:hanging="154"/>
      </w:pPr>
      <w:rPr>
        <w:rFonts w:ascii="Courier New" w:eastAsia="Courier New" w:hAnsi="Courier New" w:hint="default"/>
        <w:b w:val="0"/>
        <w:color w:val="auto"/>
        <w:sz w:val="28"/>
        <w:szCs w:val="28"/>
        <w:lang w:eastAsia="en-US" w:bidi="ar-SA"/>
      </w:rPr>
    </w:lvl>
    <w:lvl w:ilvl="2" w:tplc="96409A78">
      <w:numFmt w:val="bullet"/>
      <w:lvlText w:val="•"/>
      <w:lvlJc w:val="left"/>
      <w:pPr>
        <w:ind w:left="2976" w:hanging="154"/>
      </w:pPr>
      <w:rPr>
        <w:lang w:eastAsia="en-US" w:bidi="ar-SA"/>
      </w:rPr>
    </w:lvl>
    <w:lvl w:ilvl="3" w:tplc="5B3A1964">
      <w:numFmt w:val="bullet"/>
      <w:lvlText w:val="•"/>
      <w:lvlJc w:val="left"/>
      <w:pPr>
        <w:ind w:left="3984" w:hanging="154"/>
      </w:pPr>
      <w:rPr>
        <w:lang w:eastAsia="en-US" w:bidi="ar-SA"/>
      </w:rPr>
    </w:lvl>
    <w:lvl w:ilvl="4" w:tplc="600AF756">
      <w:numFmt w:val="bullet"/>
      <w:lvlText w:val="•"/>
      <w:lvlJc w:val="left"/>
      <w:pPr>
        <w:ind w:left="4992" w:hanging="154"/>
      </w:pPr>
      <w:rPr>
        <w:lang w:eastAsia="en-US" w:bidi="ar-SA"/>
      </w:rPr>
    </w:lvl>
    <w:lvl w:ilvl="5" w:tplc="2D1A9B6A">
      <w:numFmt w:val="bullet"/>
      <w:lvlText w:val="•"/>
      <w:lvlJc w:val="left"/>
      <w:pPr>
        <w:ind w:left="6000" w:hanging="154"/>
      </w:pPr>
      <w:rPr>
        <w:lang w:eastAsia="en-US" w:bidi="ar-SA"/>
      </w:rPr>
    </w:lvl>
    <w:lvl w:ilvl="6" w:tplc="BA82B05C">
      <w:numFmt w:val="bullet"/>
      <w:lvlText w:val="•"/>
      <w:lvlJc w:val="left"/>
      <w:pPr>
        <w:ind w:left="7008" w:hanging="154"/>
      </w:pPr>
      <w:rPr>
        <w:lang w:eastAsia="en-US" w:bidi="ar-SA"/>
      </w:rPr>
    </w:lvl>
    <w:lvl w:ilvl="7" w:tplc="28F814B0">
      <w:numFmt w:val="bullet"/>
      <w:lvlText w:val="•"/>
      <w:lvlJc w:val="left"/>
      <w:pPr>
        <w:ind w:left="8016" w:hanging="154"/>
      </w:pPr>
      <w:rPr>
        <w:lang w:eastAsia="en-US" w:bidi="ar-SA"/>
      </w:rPr>
    </w:lvl>
    <w:lvl w:ilvl="8" w:tplc="ECB46A0A">
      <w:numFmt w:val="bullet"/>
      <w:lvlText w:val="•"/>
      <w:lvlJc w:val="left"/>
      <w:pPr>
        <w:ind w:left="9024" w:hanging="154"/>
      </w:pPr>
      <w:rPr>
        <w:lang w:eastAsia="en-US" w:bidi="ar-SA"/>
      </w:rPr>
    </w:lvl>
  </w:abstractNum>
  <w:abstractNum w:abstractNumId="10" w15:restartNumberingAfterBreak="0">
    <w:nsid w:val="5C3E7433"/>
    <w:multiLevelType w:val="multilevel"/>
    <w:tmpl w:val="AEF44DC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745" w:hanging="405"/>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5D1D777C"/>
    <w:multiLevelType w:val="hybridMultilevel"/>
    <w:tmpl w:val="F65A725A"/>
    <w:lvl w:ilvl="0" w:tplc="4ACA766A">
      <w:start w:val="1"/>
      <w:numFmt w:val="bullet"/>
      <w:lvlText w:val="-"/>
      <w:lvlJc w:val="left"/>
      <w:rPr>
        <w:rFonts w:ascii="Times New Roman" w:hAnsi="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B636A1F"/>
    <w:multiLevelType w:val="hybridMultilevel"/>
    <w:tmpl w:val="F8428AAA"/>
    <w:lvl w:ilvl="0" w:tplc="0409000D">
      <w:start w:val="1"/>
      <w:numFmt w:val="bullet"/>
      <w:lvlText w:val=""/>
      <w:lvlJc w:val="left"/>
      <w:pPr>
        <w:ind w:left="2055" w:hanging="360"/>
      </w:pPr>
      <w:rPr>
        <w:rFonts w:ascii="Wingdings" w:hAnsi="Wingdings" w:hint="default"/>
      </w:rPr>
    </w:lvl>
    <w:lvl w:ilvl="1" w:tplc="042A0003" w:tentative="1">
      <w:start w:val="1"/>
      <w:numFmt w:val="bullet"/>
      <w:lvlText w:val="o"/>
      <w:lvlJc w:val="left"/>
      <w:pPr>
        <w:ind w:left="2775" w:hanging="360"/>
      </w:pPr>
      <w:rPr>
        <w:rFonts w:ascii="Courier New" w:hAnsi="Courier New" w:cs="Courier New" w:hint="default"/>
      </w:rPr>
    </w:lvl>
    <w:lvl w:ilvl="2" w:tplc="042A0005" w:tentative="1">
      <w:start w:val="1"/>
      <w:numFmt w:val="bullet"/>
      <w:lvlText w:val=""/>
      <w:lvlJc w:val="left"/>
      <w:pPr>
        <w:ind w:left="3495" w:hanging="360"/>
      </w:pPr>
      <w:rPr>
        <w:rFonts w:ascii="Wingdings" w:hAnsi="Wingdings" w:hint="default"/>
      </w:rPr>
    </w:lvl>
    <w:lvl w:ilvl="3" w:tplc="042A0001" w:tentative="1">
      <w:start w:val="1"/>
      <w:numFmt w:val="bullet"/>
      <w:lvlText w:val=""/>
      <w:lvlJc w:val="left"/>
      <w:pPr>
        <w:ind w:left="4215" w:hanging="360"/>
      </w:pPr>
      <w:rPr>
        <w:rFonts w:ascii="Symbol" w:hAnsi="Symbol" w:hint="default"/>
      </w:rPr>
    </w:lvl>
    <w:lvl w:ilvl="4" w:tplc="042A0003" w:tentative="1">
      <w:start w:val="1"/>
      <w:numFmt w:val="bullet"/>
      <w:lvlText w:val="o"/>
      <w:lvlJc w:val="left"/>
      <w:pPr>
        <w:ind w:left="4935" w:hanging="360"/>
      </w:pPr>
      <w:rPr>
        <w:rFonts w:ascii="Courier New" w:hAnsi="Courier New" w:cs="Courier New" w:hint="default"/>
      </w:rPr>
    </w:lvl>
    <w:lvl w:ilvl="5" w:tplc="042A0005" w:tentative="1">
      <w:start w:val="1"/>
      <w:numFmt w:val="bullet"/>
      <w:lvlText w:val=""/>
      <w:lvlJc w:val="left"/>
      <w:pPr>
        <w:ind w:left="5655" w:hanging="360"/>
      </w:pPr>
      <w:rPr>
        <w:rFonts w:ascii="Wingdings" w:hAnsi="Wingdings" w:hint="default"/>
      </w:rPr>
    </w:lvl>
    <w:lvl w:ilvl="6" w:tplc="042A0001" w:tentative="1">
      <w:start w:val="1"/>
      <w:numFmt w:val="bullet"/>
      <w:lvlText w:val=""/>
      <w:lvlJc w:val="left"/>
      <w:pPr>
        <w:ind w:left="6375" w:hanging="360"/>
      </w:pPr>
      <w:rPr>
        <w:rFonts w:ascii="Symbol" w:hAnsi="Symbol" w:hint="default"/>
      </w:rPr>
    </w:lvl>
    <w:lvl w:ilvl="7" w:tplc="042A0003" w:tentative="1">
      <w:start w:val="1"/>
      <w:numFmt w:val="bullet"/>
      <w:lvlText w:val="o"/>
      <w:lvlJc w:val="left"/>
      <w:pPr>
        <w:ind w:left="7095" w:hanging="360"/>
      </w:pPr>
      <w:rPr>
        <w:rFonts w:ascii="Courier New" w:hAnsi="Courier New" w:cs="Courier New" w:hint="default"/>
      </w:rPr>
    </w:lvl>
    <w:lvl w:ilvl="8" w:tplc="042A0005" w:tentative="1">
      <w:start w:val="1"/>
      <w:numFmt w:val="bullet"/>
      <w:lvlText w:val=""/>
      <w:lvlJc w:val="left"/>
      <w:pPr>
        <w:ind w:left="7815" w:hanging="360"/>
      </w:pPr>
      <w:rPr>
        <w:rFonts w:ascii="Wingdings" w:hAnsi="Wingdings" w:hint="default"/>
      </w:rPr>
    </w:lvl>
  </w:abstractNum>
  <w:num w:numId="1">
    <w:abstractNumId w:val="9"/>
  </w:num>
  <w:num w:numId="2">
    <w:abstractNumId w:val="3"/>
  </w:num>
  <w:num w:numId="3">
    <w:abstractNumId w:val="5"/>
  </w:num>
  <w:num w:numId="4">
    <w:abstractNumId w:val="12"/>
  </w:num>
  <w:num w:numId="5">
    <w:abstractNumId w:val="6"/>
  </w:num>
  <w:num w:numId="6">
    <w:abstractNumId w:val="10"/>
  </w:num>
  <w:num w:numId="7">
    <w:abstractNumId w:val="2"/>
  </w:num>
  <w:num w:numId="8">
    <w:abstractNumId w:val="1"/>
  </w:num>
  <w:num w:numId="9">
    <w:abstractNumId w:val="0"/>
  </w:num>
  <w:num w:numId="10">
    <w:abstractNumId w:val="8"/>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1F"/>
    <w:rsid w:val="000C3E66"/>
    <w:rsid w:val="003B3B0D"/>
    <w:rsid w:val="003E5AC3"/>
    <w:rsid w:val="00444B4C"/>
    <w:rsid w:val="0056031F"/>
    <w:rsid w:val="005A6DDF"/>
    <w:rsid w:val="0063472C"/>
    <w:rsid w:val="00681169"/>
    <w:rsid w:val="00711A23"/>
    <w:rsid w:val="0076397D"/>
    <w:rsid w:val="007C15DB"/>
    <w:rsid w:val="00876F51"/>
    <w:rsid w:val="008D4582"/>
    <w:rsid w:val="009A13F8"/>
    <w:rsid w:val="00A85065"/>
    <w:rsid w:val="00B0120C"/>
    <w:rsid w:val="00B02A73"/>
    <w:rsid w:val="00B1480E"/>
    <w:rsid w:val="00B25D29"/>
    <w:rsid w:val="00B35F61"/>
    <w:rsid w:val="00B83DEE"/>
    <w:rsid w:val="00BA18E0"/>
    <w:rsid w:val="00C128F8"/>
    <w:rsid w:val="00CB5A06"/>
    <w:rsid w:val="00D14408"/>
    <w:rsid w:val="00D449B2"/>
    <w:rsid w:val="00D6036C"/>
    <w:rsid w:val="00E7353A"/>
    <w:rsid w:val="00E909D0"/>
    <w:rsid w:val="00EC23A8"/>
    <w:rsid w:val="00FD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6379"/>
  <w15:chartTrackingRefBased/>
  <w15:docId w15:val="{26E5618C-B2DE-4C8B-BA08-7CBC00EA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2"/>
        <w:position w:val="2"/>
        <w:sz w:val="26"/>
        <w:szCs w:val="26"/>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36C"/>
    <w:pPr>
      <w:spacing w:after="0" w:line="240" w:lineRule="auto"/>
      <w:jc w:val="both"/>
    </w:pPr>
    <w:rPr>
      <w:rFonts w:eastAsia="Times New Roman"/>
      <w:spacing w:val="0"/>
      <w:position w:val="0"/>
      <w:sz w:val="24"/>
      <w:szCs w:val="20"/>
    </w:rPr>
  </w:style>
  <w:style w:type="paragraph" w:styleId="Heading1">
    <w:name w:val="heading 1"/>
    <w:aliases w:val="level 1"/>
    <w:basedOn w:val="Normal"/>
    <w:next w:val="Normal"/>
    <w:link w:val="Heading1Char"/>
    <w:qFormat/>
    <w:rsid w:val="00D6036C"/>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D6036C"/>
    <w:rPr>
      <w:rFonts w:ascii="Times New Roman Bold" w:eastAsia="Times New Roman" w:hAnsi="Times New Roman Bold"/>
      <w:b/>
      <w:spacing w:val="0"/>
      <w:position w:val="0"/>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D6036C"/>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D6036C"/>
    <w:rPr>
      <w:rFonts w:eastAsia="Times New Roman"/>
      <w:spacing w:val="0"/>
      <w:position w:val="0"/>
      <w:sz w:val="24"/>
      <w:szCs w:val="20"/>
    </w:rPr>
  </w:style>
  <w:style w:type="paragraph" w:customStyle="1" w:styleId="TableParagraph">
    <w:name w:val="Table Paragraph"/>
    <w:basedOn w:val="Normal"/>
    <w:uiPriority w:val="1"/>
    <w:qFormat/>
    <w:rsid w:val="00D6036C"/>
    <w:pPr>
      <w:widowControl w:val="0"/>
      <w:jc w:val="left"/>
    </w:pPr>
    <w:rPr>
      <w:rFonts w:ascii="Calibri" w:eastAsia="Calibri" w:hAnsi="Calibri"/>
      <w:sz w:val="22"/>
      <w:szCs w:val="22"/>
    </w:rPr>
  </w:style>
  <w:style w:type="table" w:customStyle="1" w:styleId="TableGrid1">
    <w:name w:val="Table Grid1"/>
    <w:basedOn w:val="TableNormal"/>
    <w:next w:val="TableGrid"/>
    <w:rsid w:val="00E7353A"/>
    <w:pPr>
      <w:suppressAutoHyphens/>
      <w:spacing w:after="0" w:line="240" w:lineRule="auto"/>
    </w:pPr>
    <w:rPr>
      <w:rFonts w:eastAsia="Times New Roman"/>
      <w:spacing w:val="0"/>
      <w:positio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ong-">
    <w:name w:val="Dau dong (-)"/>
    <w:basedOn w:val="BodyTextIndent2"/>
    <w:qFormat/>
    <w:rsid w:val="003B3B0D"/>
    <w:pPr>
      <w:widowControl w:val="0"/>
      <w:numPr>
        <w:numId w:val="9"/>
      </w:numPr>
      <w:tabs>
        <w:tab w:val="clear" w:pos="993"/>
        <w:tab w:val="num" w:pos="360"/>
        <w:tab w:val="left" w:pos="851"/>
      </w:tabs>
      <w:spacing w:before="60" w:after="60" w:line="288" w:lineRule="auto"/>
      <w:ind w:left="360" w:firstLine="0"/>
    </w:pPr>
    <w:rPr>
      <w:rFonts w:eastAsia="Symbol"/>
      <w:snapToGrid w:val="0"/>
      <w:color w:val="000000"/>
      <w:sz w:val="26"/>
      <w:szCs w:val="26"/>
      <w:lang w:val="vi-VN"/>
    </w:rPr>
  </w:style>
  <w:style w:type="paragraph" w:customStyle="1" w:styleId="Daudong">
    <w:name w:val="Dau dong (+)"/>
    <w:uiPriority w:val="99"/>
    <w:qFormat/>
    <w:rsid w:val="003B3B0D"/>
    <w:pPr>
      <w:numPr>
        <w:ilvl w:val="1"/>
        <w:numId w:val="9"/>
      </w:numPr>
      <w:tabs>
        <w:tab w:val="left" w:pos="1134"/>
      </w:tabs>
      <w:spacing w:before="60" w:after="60" w:line="288" w:lineRule="auto"/>
      <w:jc w:val="both"/>
    </w:pPr>
    <w:rPr>
      <w:rFonts w:eastAsia="Symbol" w:cs="Symbol"/>
      <w:snapToGrid w:val="0"/>
      <w:spacing w:val="0"/>
      <w:position w:val="0"/>
      <w:szCs w:val="20"/>
    </w:rPr>
  </w:style>
  <w:style w:type="paragraph" w:styleId="BodyTextIndent2">
    <w:name w:val="Body Text Indent 2"/>
    <w:basedOn w:val="Normal"/>
    <w:link w:val="BodyTextIndent2Char"/>
    <w:uiPriority w:val="99"/>
    <w:semiHidden/>
    <w:unhideWhenUsed/>
    <w:rsid w:val="003B3B0D"/>
    <w:pPr>
      <w:spacing w:after="120" w:line="480" w:lineRule="auto"/>
      <w:ind w:left="360"/>
    </w:pPr>
  </w:style>
  <w:style w:type="character" w:customStyle="1" w:styleId="BodyTextIndent2Char">
    <w:name w:val="Body Text Indent 2 Char"/>
    <w:basedOn w:val="DefaultParagraphFont"/>
    <w:link w:val="BodyTextIndent2"/>
    <w:uiPriority w:val="99"/>
    <w:semiHidden/>
    <w:rsid w:val="003B3B0D"/>
    <w:rPr>
      <w:rFonts w:eastAsia="Times New Roman"/>
      <w:spacing w:val="0"/>
      <w:position w:val="0"/>
      <w:sz w:val="24"/>
      <w:szCs w:val="20"/>
    </w:rPr>
  </w:style>
  <w:style w:type="character" w:customStyle="1" w:styleId="Vnbnnidung">
    <w:name w:val="Văn bản nội dung_"/>
    <w:link w:val="Vnbnnidung0"/>
    <w:rsid w:val="00B0120C"/>
  </w:style>
  <w:style w:type="paragraph" w:customStyle="1" w:styleId="Vnbnnidung0">
    <w:name w:val="Văn bản nội dung"/>
    <w:basedOn w:val="Normal"/>
    <w:link w:val="Vnbnnidung"/>
    <w:rsid w:val="00B0120C"/>
    <w:pPr>
      <w:widowControl w:val="0"/>
      <w:spacing w:line="276" w:lineRule="auto"/>
      <w:ind w:firstLine="400"/>
      <w:jc w:val="left"/>
    </w:pPr>
    <w:rPr>
      <w:rFonts w:eastAsiaTheme="minorHAnsi"/>
      <w:spacing w:val="2"/>
      <w:positio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059292">
      <w:bodyDiv w:val="1"/>
      <w:marLeft w:val="0"/>
      <w:marRight w:val="0"/>
      <w:marTop w:val="0"/>
      <w:marBottom w:val="0"/>
      <w:divBdr>
        <w:top w:val="none" w:sz="0" w:space="0" w:color="auto"/>
        <w:left w:val="none" w:sz="0" w:space="0" w:color="auto"/>
        <w:bottom w:val="none" w:sz="0" w:space="0" w:color="auto"/>
        <w:right w:val="none" w:sz="0" w:space="0" w:color="auto"/>
      </w:divBdr>
      <w:divsChild>
        <w:div w:id="880946529">
          <w:marLeft w:val="0"/>
          <w:marRight w:val="0"/>
          <w:marTop w:val="0"/>
          <w:marBottom w:val="0"/>
          <w:divBdr>
            <w:top w:val="none" w:sz="0" w:space="0" w:color="auto"/>
            <w:left w:val="none" w:sz="0" w:space="0" w:color="auto"/>
            <w:bottom w:val="none" w:sz="0" w:space="0" w:color="auto"/>
            <w:right w:val="none" w:sz="0" w:space="0" w:color="auto"/>
          </w:divBdr>
        </w:div>
        <w:div w:id="2056536503">
          <w:marLeft w:val="0"/>
          <w:marRight w:val="0"/>
          <w:marTop w:val="0"/>
          <w:marBottom w:val="0"/>
          <w:divBdr>
            <w:top w:val="none" w:sz="0" w:space="0" w:color="auto"/>
            <w:left w:val="none" w:sz="0" w:space="0" w:color="auto"/>
            <w:bottom w:val="none" w:sz="0" w:space="0" w:color="auto"/>
            <w:right w:val="none" w:sz="0" w:space="0" w:color="auto"/>
          </w:divBdr>
        </w:div>
        <w:div w:id="663432794">
          <w:marLeft w:val="0"/>
          <w:marRight w:val="0"/>
          <w:marTop w:val="0"/>
          <w:marBottom w:val="0"/>
          <w:divBdr>
            <w:top w:val="none" w:sz="0" w:space="0" w:color="auto"/>
            <w:left w:val="none" w:sz="0" w:space="0" w:color="auto"/>
            <w:bottom w:val="none" w:sz="0" w:space="0" w:color="auto"/>
            <w:right w:val="none" w:sz="0" w:space="0" w:color="auto"/>
          </w:divBdr>
        </w:div>
      </w:divsChild>
    </w:div>
    <w:div w:id="1825272900">
      <w:bodyDiv w:val="1"/>
      <w:marLeft w:val="0"/>
      <w:marRight w:val="0"/>
      <w:marTop w:val="0"/>
      <w:marBottom w:val="0"/>
      <w:divBdr>
        <w:top w:val="none" w:sz="0" w:space="0" w:color="auto"/>
        <w:left w:val="none" w:sz="0" w:space="0" w:color="auto"/>
        <w:bottom w:val="none" w:sz="0" w:space="0" w:color="auto"/>
        <w:right w:val="none" w:sz="0" w:space="0" w:color="auto"/>
      </w:divBdr>
      <w:divsChild>
        <w:div w:id="1007247858">
          <w:marLeft w:val="0"/>
          <w:marRight w:val="0"/>
          <w:marTop w:val="0"/>
          <w:marBottom w:val="0"/>
          <w:divBdr>
            <w:top w:val="none" w:sz="0" w:space="0" w:color="auto"/>
            <w:left w:val="none" w:sz="0" w:space="0" w:color="auto"/>
            <w:bottom w:val="none" w:sz="0" w:space="0" w:color="auto"/>
            <w:right w:val="none" w:sz="0" w:space="0" w:color="auto"/>
          </w:divBdr>
        </w:div>
        <w:div w:id="536548783">
          <w:marLeft w:val="0"/>
          <w:marRight w:val="0"/>
          <w:marTop w:val="0"/>
          <w:marBottom w:val="0"/>
          <w:divBdr>
            <w:top w:val="none" w:sz="0" w:space="0" w:color="auto"/>
            <w:left w:val="none" w:sz="0" w:space="0" w:color="auto"/>
            <w:bottom w:val="none" w:sz="0" w:space="0" w:color="auto"/>
            <w:right w:val="none" w:sz="0" w:space="0" w:color="auto"/>
          </w:divBdr>
        </w:div>
        <w:div w:id="187665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apdien.evn.com.vn/ky-thuat-dien/quy-trinh-959-qd-evn-tong-giam-doc-evn-199393-d11.htm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 Ngoc</dc:creator>
  <cp:keywords/>
  <dc:description/>
  <cp:lastModifiedBy>Nguyen Thi  Huyen</cp:lastModifiedBy>
  <cp:revision>55</cp:revision>
  <dcterms:created xsi:type="dcterms:W3CDTF">2026-03-16T03:58:00Z</dcterms:created>
  <dcterms:modified xsi:type="dcterms:W3CDTF">2026-04-04T09:11:00Z</dcterms:modified>
</cp:coreProperties>
</file>