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A34C" w14:textId="77777777" w:rsidR="00B907EC" w:rsidRPr="0008793D" w:rsidRDefault="00B907EC" w:rsidP="00B907EC">
      <w:pPr>
        <w:widowControl/>
        <w:spacing w:before="120"/>
        <w:jc w:val="center"/>
        <w:rPr>
          <w:rFonts w:ascii="Times New Roman" w:eastAsia="Times New Roman" w:hAnsi="Times New Roman"/>
          <w:sz w:val="26"/>
          <w:szCs w:val="26"/>
        </w:rPr>
      </w:pPr>
      <w:r w:rsidRPr="0008793D">
        <w:rPr>
          <w:rFonts w:ascii="Times New Roman" w:eastAsia="Times New Roman" w:hAnsi="Times New Roman"/>
          <w:b/>
          <w:bCs/>
          <w:sz w:val="26"/>
          <w:szCs w:val="26"/>
        </w:rPr>
        <w:t>Chương VII. ĐIỀU KIỆN CỤ THỂ CỦA HỢP ĐỒNG</w:t>
      </w:r>
    </w:p>
    <w:p w14:paraId="75718800" w14:textId="77777777" w:rsidR="00B907EC" w:rsidRPr="0008793D" w:rsidRDefault="00B907EC" w:rsidP="00B907EC">
      <w:pPr>
        <w:widowControl/>
        <w:spacing w:before="120"/>
        <w:rPr>
          <w:rFonts w:ascii="Times New Roman" w:eastAsia="Times New Roman" w:hAnsi="Times New Roman"/>
          <w:sz w:val="26"/>
          <w:szCs w:val="26"/>
        </w:rPr>
      </w:pPr>
      <w:r w:rsidRPr="0008793D">
        <w:rPr>
          <w:rFonts w:ascii="Times New Roman" w:eastAsia="Times New Roman" w:hAnsi="Times New Roman"/>
          <w:sz w:val="26"/>
          <w:szCs w:val="26"/>
        </w:rPr>
        <w:t xml:space="preserve">Trừ khi có quy định khác, toàn bộ </w:t>
      </w:r>
      <w:r w:rsidRPr="0008793D">
        <w:rPr>
          <w:rFonts w:ascii="Times New Roman" w:eastAsia="Times New Roman" w:hAnsi="Times New Roman"/>
          <w:b/>
          <w:bCs/>
          <w:sz w:val="26"/>
          <w:szCs w:val="26"/>
        </w:rPr>
        <w:t xml:space="preserve">ĐKCT </w:t>
      </w:r>
      <w:r w:rsidRPr="0008793D">
        <w:rPr>
          <w:rFonts w:ascii="Times New Roman" w:eastAsia="Times New Roman" w:hAnsi="Times New Roman"/>
          <w:sz w:val="26"/>
          <w:szCs w:val="26"/>
        </w:rPr>
        <w:t>phải được Chủ đầu tư ghi đầy đủ trước khi phát hành E-HSMT.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93"/>
        <w:gridCol w:w="7661"/>
      </w:tblGrid>
      <w:tr w:rsidR="00B907EC" w:rsidRPr="00B907EC" w14:paraId="42B8626A" w14:textId="77777777" w:rsidTr="00566E16">
        <w:tc>
          <w:tcPr>
            <w:tcW w:w="905" w:type="pct"/>
            <w:shd w:val="clear" w:color="auto" w:fill="auto"/>
          </w:tcPr>
          <w:p w14:paraId="1F7B6FB3"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1.1</w:t>
            </w:r>
          </w:p>
        </w:tc>
        <w:tc>
          <w:tcPr>
            <w:tcW w:w="4095" w:type="pct"/>
            <w:shd w:val="clear" w:color="auto" w:fill="auto"/>
          </w:tcPr>
          <w:p w14:paraId="5D78D7B4" w14:textId="77777777" w:rsidR="00B907EC" w:rsidRPr="00B907EC" w:rsidRDefault="00B907EC" w:rsidP="00566E16">
            <w:pPr>
              <w:widowControl/>
              <w:tabs>
                <w:tab w:val="left" w:pos="2289"/>
              </w:tabs>
              <w:spacing w:before="120"/>
              <w:rPr>
                <w:rFonts w:ascii="Times New Roman" w:eastAsia="Times New Roman" w:hAnsi="Times New Roman"/>
                <w:sz w:val="26"/>
                <w:szCs w:val="26"/>
              </w:rPr>
            </w:pPr>
            <w:r w:rsidRPr="00B907EC">
              <w:rPr>
                <w:rFonts w:ascii="Times New Roman" w:eastAsia="Times New Roman" w:hAnsi="Times New Roman"/>
                <w:sz w:val="26"/>
                <w:szCs w:val="26"/>
              </w:rPr>
              <w:t>Chủ đầu tư là: Trung Tâm Y Tế Khu Vực Đạ Huoai</w:t>
            </w:r>
          </w:p>
          <w:p w14:paraId="7FF7FEA3" w14:textId="77777777" w:rsidR="00B907EC" w:rsidRPr="00B907EC" w:rsidRDefault="00B907EC" w:rsidP="00566E16">
            <w:pPr>
              <w:widowControl/>
              <w:tabs>
                <w:tab w:val="left" w:pos="2289"/>
              </w:tabs>
              <w:spacing w:before="120"/>
              <w:rPr>
                <w:rFonts w:ascii="Times New Roman" w:eastAsia="Times New Roman" w:hAnsi="Times New Roman"/>
                <w:sz w:val="26"/>
                <w:szCs w:val="26"/>
              </w:rPr>
            </w:pPr>
            <w:r w:rsidRPr="00B907EC">
              <w:rPr>
                <w:rFonts w:ascii="Times New Roman" w:eastAsia="Times New Roman" w:hAnsi="Times New Roman"/>
                <w:sz w:val="26"/>
                <w:szCs w:val="26"/>
              </w:rPr>
              <w:t>Địa chỉ : Số 35, đường Tuệ Tĩnh, thôn 3A, xã Đạ Tẻh, tỉnh Lâm Đồng</w:t>
            </w:r>
          </w:p>
          <w:p w14:paraId="67F0A2C8" w14:textId="77777777" w:rsidR="00B907EC" w:rsidRPr="00B907EC" w:rsidRDefault="00B907EC" w:rsidP="00566E16">
            <w:pPr>
              <w:widowControl/>
              <w:tabs>
                <w:tab w:val="left" w:pos="2289"/>
              </w:tabs>
              <w:spacing w:before="120"/>
              <w:rPr>
                <w:rFonts w:ascii="Times New Roman" w:eastAsia="Times New Roman" w:hAnsi="Times New Roman"/>
                <w:sz w:val="26"/>
                <w:szCs w:val="26"/>
              </w:rPr>
            </w:pPr>
            <w:r w:rsidRPr="00B907EC">
              <w:rPr>
                <w:rFonts w:ascii="Times New Roman" w:eastAsia="Times New Roman" w:hAnsi="Times New Roman"/>
                <w:sz w:val="26"/>
                <w:szCs w:val="26"/>
              </w:rPr>
              <w:t>Điện thoại : (0263) 3880313 Fax: (0263) 3880313</w:t>
            </w:r>
          </w:p>
          <w:p w14:paraId="15A1BE55" w14:textId="77777777" w:rsidR="00B907EC" w:rsidRPr="00B907EC" w:rsidRDefault="00B907EC" w:rsidP="00566E16">
            <w:pPr>
              <w:widowControl/>
              <w:tabs>
                <w:tab w:val="left" w:pos="2289"/>
              </w:tabs>
              <w:spacing w:before="120"/>
              <w:rPr>
                <w:rFonts w:ascii="Times New Roman" w:eastAsia="Times New Roman" w:hAnsi="Times New Roman"/>
                <w:sz w:val="26"/>
                <w:szCs w:val="26"/>
              </w:rPr>
            </w:pPr>
            <w:r w:rsidRPr="00B907EC">
              <w:rPr>
                <w:rFonts w:ascii="Times New Roman" w:eastAsia="Times New Roman" w:hAnsi="Times New Roman"/>
                <w:sz w:val="26"/>
                <w:szCs w:val="26"/>
              </w:rPr>
              <w:t>E-mail : khoaduocttbyt@gmail.com</w:t>
            </w:r>
          </w:p>
          <w:p w14:paraId="790F7707" w14:textId="77777777" w:rsidR="00B907EC" w:rsidRPr="00B907EC" w:rsidRDefault="00B907EC" w:rsidP="00566E16">
            <w:pPr>
              <w:widowControl/>
              <w:tabs>
                <w:tab w:val="left" w:pos="2289"/>
              </w:tabs>
              <w:spacing w:before="120"/>
              <w:rPr>
                <w:rFonts w:ascii="Times New Roman" w:eastAsia="Times New Roman" w:hAnsi="Times New Roman"/>
                <w:sz w:val="26"/>
                <w:szCs w:val="26"/>
              </w:rPr>
            </w:pPr>
            <w:r w:rsidRPr="00B907EC">
              <w:rPr>
                <w:rFonts w:ascii="Times New Roman" w:eastAsia="Times New Roman" w:hAnsi="Times New Roman"/>
                <w:sz w:val="26"/>
                <w:szCs w:val="26"/>
              </w:rPr>
              <w:t>Tài khoản : 3716.2.1066091.00000</w:t>
            </w:r>
          </w:p>
          <w:p w14:paraId="61563191" w14:textId="77777777" w:rsidR="00B907EC" w:rsidRPr="00B907EC" w:rsidRDefault="00B907EC" w:rsidP="00566E16">
            <w:pPr>
              <w:widowControl/>
              <w:tabs>
                <w:tab w:val="left" w:pos="2289"/>
              </w:tabs>
              <w:spacing w:before="120"/>
              <w:rPr>
                <w:rFonts w:ascii="Times New Roman" w:eastAsia="Times New Roman" w:hAnsi="Times New Roman"/>
                <w:sz w:val="26"/>
                <w:szCs w:val="26"/>
              </w:rPr>
            </w:pPr>
            <w:r w:rsidRPr="00B907EC">
              <w:rPr>
                <w:rFonts w:ascii="Times New Roman" w:eastAsia="Times New Roman" w:hAnsi="Times New Roman"/>
                <w:sz w:val="26"/>
                <w:szCs w:val="26"/>
              </w:rPr>
              <w:t>Mở tại : Phòng giao dịch số 17 - Kho bạc nhà nước Khu vực XIII</w:t>
            </w:r>
          </w:p>
        </w:tc>
      </w:tr>
      <w:tr w:rsidR="00B907EC" w:rsidRPr="00B907EC" w14:paraId="6756059C" w14:textId="77777777" w:rsidTr="00566E16">
        <w:tc>
          <w:tcPr>
            <w:tcW w:w="905" w:type="pct"/>
            <w:shd w:val="clear" w:color="auto" w:fill="auto"/>
          </w:tcPr>
          <w:p w14:paraId="36A45513"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1.3</w:t>
            </w:r>
          </w:p>
        </w:tc>
        <w:tc>
          <w:tcPr>
            <w:tcW w:w="4095" w:type="pct"/>
            <w:shd w:val="clear" w:color="auto" w:fill="auto"/>
          </w:tcPr>
          <w:p w14:paraId="59608834" w14:textId="77777777" w:rsidR="00B907EC" w:rsidRPr="00B907EC" w:rsidRDefault="00B907EC" w:rsidP="00566E16">
            <w:pPr>
              <w:widowControl/>
              <w:tabs>
                <w:tab w:val="left" w:pos="1936"/>
              </w:tabs>
              <w:spacing w:before="120"/>
              <w:rPr>
                <w:rFonts w:ascii="Times New Roman" w:eastAsia="Times New Roman" w:hAnsi="Times New Roman"/>
                <w:sz w:val="26"/>
                <w:szCs w:val="26"/>
              </w:rPr>
            </w:pPr>
            <w:r w:rsidRPr="00B907EC">
              <w:rPr>
                <w:rFonts w:ascii="Times New Roman" w:eastAsia="Times New Roman" w:hAnsi="Times New Roman"/>
                <w:sz w:val="26"/>
                <w:szCs w:val="26"/>
              </w:rPr>
              <w:t>Nhà thầu: ____ [ghi tên Nhà thầu trúng thầu].</w:t>
            </w:r>
          </w:p>
        </w:tc>
      </w:tr>
      <w:tr w:rsidR="00B907EC" w:rsidRPr="00B907EC" w14:paraId="1D9CCFFE" w14:textId="77777777" w:rsidTr="00566E16">
        <w:tc>
          <w:tcPr>
            <w:tcW w:w="905" w:type="pct"/>
            <w:shd w:val="clear" w:color="auto" w:fill="auto"/>
          </w:tcPr>
          <w:p w14:paraId="6A221FE4"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1.9</w:t>
            </w:r>
          </w:p>
        </w:tc>
        <w:tc>
          <w:tcPr>
            <w:tcW w:w="4095" w:type="pct"/>
            <w:shd w:val="clear" w:color="auto" w:fill="auto"/>
          </w:tcPr>
          <w:p w14:paraId="3A2E4F16"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Địa điểm Dự án/ Điểm giao hàng cuối cùng là: Số 35, đường Tuệ Tĩnh, thôn 3A, xã Đạ Tẻh, tỉnh Lâm Đồng</w:t>
            </w:r>
          </w:p>
        </w:tc>
      </w:tr>
      <w:tr w:rsidR="00B907EC" w:rsidRPr="00B907EC" w14:paraId="23969D5C" w14:textId="77777777" w:rsidTr="00566E16">
        <w:tc>
          <w:tcPr>
            <w:tcW w:w="905" w:type="pct"/>
            <w:shd w:val="clear" w:color="auto" w:fill="auto"/>
          </w:tcPr>
          <w:p w14:paraId="23E40450"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2.8</w:t>
            </w:r>
          </w:p>
        </w:tc>
        <w:tc>
          <w:tcPr>
            <w:tcW w:w="4095" w:type="pct"/>
            <w:shd w:val="clear" w:color="auto" w:fill="auto"/>
          </w:tcPr>
          <w:p w14:paraId="7D863E03" w14:textId="77777777" w:rsidR="00B907EC" w:rsidRPr="00B907EC" w:rsidRDefault="00B907EC" w:rsidP="00566E16">
            <w:pPr>
              <w:widowControl/>
              <w:tabs>
                <w:tab w:val="left" w:pos="7006"/>
              </w:tabs>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Các tài liệu sau đây cũng là một phần của Hợp đồng: </w:t>
            </w:r>
          </w:p>
          <w:p w14:paraId="2205E7D6" w14:textId="77777777" w:rsidR="00B907EC" w:rsidRPr="00B907EC" w:rsidRDefault="00B907EC" w:rsidP="00566E16">
            <w:pPr>
              <w:widowControl/>
              <w:tabs>
                <w:tab w:val="left" w:pos="7006"/>
              </w:tabs>
              <w:spacing w:before="120"/>
              <w:rPr>
                <w:rFonts w:ascii="Times New Roman" w:eastAsia="Times New Roman" w:hAnsi="Times New Roman"/>
                <w:sz w:val="26"/>
                <w:szCs w:val="26"/>
              </w:rPr>
            </w:pPr>
            <w:r w:rsidRPr="00B907EC">
              <w:rPr>
                <w:rFonts w:ascii="Times New Roman" w:eastAsia="Times New Roman" w:hAnsi="Times New Roman"/>
                <w:sz w:val="26"/>
                <w:szCs w:val="26"/>
              </w:rPr>
              <w:t>- Biên bản hoàn thiện hợp đồng</w:t>
            </w:r>
          </w:p>
          <w:p w14:paraId="579BC233" w14:textId="77777777" w:rsidR="00B907EC" w:rsidRPr="00B907EC" w:rsidRDefault="00B907EC" w:rsidP="00566E16">
            <w:pPr>
              <w:widowControl/>
              <w:tabs>
                <w:tab w:val="left" w:pos="7006"/>
              </w:tabs>
              <w:spacing w:before="120"/>
              <w:rPr>
                <w:rFonts w:ascii="Times New Roman" w:eastAsia="Times New Roman" w:hAnsi="Times New Roman"/>
                <w:sz w:val="26"/>
                <w:szCs w:val="26"/>
              </w:rPr>
            </w:pPr>
            <w:r w:rsidRPr="00B907EC">
              <w:rPr>
                <w:rFonts w:ascii="Times New Roman" w:eastAsia="Times New Roman" w:hAnsi="Times New Roman"/>
                <w:sz w:val="26"/>
                <w:szCs w:val="26"/>
              </w:rPr>
              <w:t>- Văn bản hợp đồng</w:t>
            </w:r>
          </w:p>
          <w:p w14:paraId="0D7606FB" w14:textId="77777777" w:rsidR="00B907EC" w:rsidRPr="00B907EC" w:rsidRDefault="00B907EC" w:rsidP="00566E16">
            <w:pPr>
              <w:widowControl/>
              <w:tabs>
                <w:tab w:val="left" w:pos="7006"/>
              </w:tabs>
              <w:spacing w:before="120"/>
              <w:rPr>
                <w:rFonts w:ascii="Times New Roman" w:eastAsia="Times New Roman" w:hAnsi="Times New Roman"/>
                <w:sz w:val="26"/>
                <w:szCs w:val="26"/>
              </w:rPr>
            </w:pPr>
            <w:r w:rsidRPr="00B907EC">
              <w:rPr>
                <w:rFonts w:ascii="Times New Roman" w:eastAsia="Times New Roman" w:hAnsi="Times New Roman"/>
                <w:sz w:val="26"/>
                <w:szCs w:val="26"/>
              </w:rPr>
              <w:t>- Phụ lục hợp đồng (nếu có)</w:t>
            </w:r>
          </w:p>
          <w:p w14:paraId="03F6869B" w14:textId="77777777" w:rsidR="00B907EC" w:rsidRPr="00B907EC" w:rsidRDefault="00B907EC" w:rsidP="00566E16">
            <w:pPr>
              <w:widowControl/>
              <w:tabs>
                <w:tab w:val="left" w:pos="7006"/>
              </w:tabs>
              <w:spacing w:before="120"/>
              <w:rPr>
                <w:rFonts w:ascii="Times New Roman" w:eastAsia="Times New Roman" w:hAnsi="Times New Roman"/>
                <w:sz w:val="26"/>
                <w:szCs w:val="26"/>
              </w:rPr>
            </w:pPr>
            <w:r w:rsidRPr="00B907EC">
              <w:rPr>
                <w:rFonts w:ascii="Times New Roman" w:eastAsia="Times New Roman" w:hAnsi="Times New Roman"/>
                <w:sz w:val="26"/>
                <w:szCs w:val="26"/>
              </w:rPr>
              <w:t>- Các tài liệu khác có liên quan</w:t>
            </w:r>
          </w:p>
        </w:tc>
      </w:tr>
      <w:tr w:rsidR="00B907EC" w:rsidRPr="00B907EC" w14:paraId="49C0E2C9" w14:textId="77777777" w:rsidTr="00566E16">
        <w:tc>
          <w:tcPr>
            <w:tcW w:w="905" w:type="pct"/>
            <w:shd w:val="clear" w:color="auto" w:fill="auto"/>
          </w:tcPr>
          <w:p w14:paraId="641F9CF9"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4</w:t>
            </w:r>
          </w:p>
        </w:tc>
        <w:tc>
          <w:tcPr>
            <w:tcW w:w="4095" w:type="pct"/>
            <w:shd w:val="clear" w:color="auto" w:fill="auto"/>
          </w:tcPr>
          <w:p w14:paraId="2BD5F265" w14:textId="77777777" w:rsidR="00B907EC" w:rsidRPr="00B907EC" w:rsidRDefault="00B907EC" w:rsidP="00566E16">
            <w:pPr>
              <w:widowControl/>
              <w:tabs>
                <w:tab w:val="left" w:pos="2363"/>
              </w:tabs>
              <w:spacing w:before="120"/>
              <w:rPr>
                <w:rFonts w:ascii="Times New Roman" w:eastAsia="Times New Roman" w:hAnsi="Times New Roman"/>
                <w:sz w:val="26"/>
                <w:szCs w:val="26"/>
              </w:rPr>
            </w:pPr>
            <w:r w:rsidRPr="00B907EC">
              <w:rPr>
                <w:rFonts w:ascii="Times New Roman" w:eastAsia="Times New Roman" w:hAnsi="Times New Roman"/>
                <w:sz w:val="26"/>
                <w:szCs w:val="26"/>
              </w:rPr>
              <w:t>Chủ đầu tư ____ [có thể hoặc không thể] ủy quyền các nghĩa vụ và trách nhiệm của mình cho người khác.</w:t>
            </w:r>
          </w:p>
        </w:tc>
      </w:tr>
      <w:tr w:rsidR="00B907EC" w:rsidRPr="00B907EC" w14:paraId="50D74868" w14:textId="77777777" w:rsidTr="00566E16">
        <w:tc>
          <w:tcPr>
            <w:tcW w:w="905" w:type="pct"/>
            <w:shd w:val="clear" w:color="auto" w:fill="auto"/>
          </w:tcPr>
          <w:p w14:paraId="07C9078C"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5.1</w:t>
            </w:r>
          </w:p>
        </w:tc>
        <w:tc>
          <w:tcPr>
            <w:tcW w:w="4095" w:type="pct"/>
            <w:shd w:val="clear" w:color="auto" w:fill="auto"/>
          </w:tcPr>
          <w:p w14:paraId="4633471F" w14:textId="77777777" w:rsidR="00B907EC" w:rsidRPr="00B907EC" w:rsidRDefault="00B907EC" w:rsidP="00566E16">
            <w:pPr>
              <w:widowControl/>
              <w:tabs>
                <w:tab w:val="left" w:pos="1804"/>
                <w:tab w:val="left" w:pos="2323"/>
              </w:tabs>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Các thông báo cần gửi về Chủ đầu tư theo địa chỉ dưới đây: </w:t>
            </w:r>
          </w:p>
          <w:p w14:paraId="383C521E" w14:textId="77777777" w:rsidR="00B907EC" w:rsidRPr="00B907EC" w:rsidRDefault="00B907EC" w:rsidP="00566E16">
            <w:pPr>
              <w:widowControl/>
              <w:tabs>
                <w:tab w:val="left" w:pos="2289"/>
              </w:tabs>
              <w:spacing w:before="120"/>
              <w:rPr>
                <w:rFonts w:ascii="Times New Roman" w:eastAsia="Times New Roman" w:hAnsi="Times New Roman"/>
                <w:sz w:val="26"/>
                <w:szCs w:val="26"/>
              </w:rPr>
            </w:pPr>
            <w:r w:rsidRPr="00B907EC">
              <w:rPr>
                <w:rFonts w:ascii="Times New Roman" w:eastAsia="Times New Roman" w:hAnsi="Times New Roman"/>
                <w:sz w:val="26"/>
                <w:szCs w:val="26"/>
              </w:rPr>
              <w:t>Người nhận:  Trung Tâm Y Tế Khu Vực Đạ Huoai</w:t>
            </w:r>
          </w:p>
          <w:p w14:paraId="7D272B47" w14:textId="77777777" w:rsidR="00B907EC" w:rsidRPr="00B907EC" w:rsidRDefault="00B907EC" w:rsidP="00566E16">
            <w:pPr>
              <w:widowControl/>
              <w:tabs>
                <w:tab w:val="left" w:pos="2289"/>
              </w:tabs>
              <w:spacing w:before="120"/>
              <w:rPr>
                <w:rFonts w:ascii="Times New Roman" w:eastAsia="Times New Roman" w:hAnsi="Times New Roman"/>
                <w:sz w:val="26"/>
                <w:szCs w:val="26"/>
              </w:rPr>
            </w:pPr>
            <w:r w:rsidRPr="00B907EC">
              <w:rPr>
                <w:rFonts w:ascii="Times New Roman" w:eastAsia="Times New Roman" w:hAnsi="Times New Roman"/>
                <w:sz w:val="26"/>
                <w:szCs w:val="26"/>
              </w:rPr>
              <w:t>Địa chỉ : Số 35, đường Tuệ Tĩnh, thôn 3A, xã Đạ Tẻh, tỉnh Lâm Đồng</w:t>
            </w:r>
          </w:p>
          <w:p w14:paraId="62B42F96" w14:textId="77777777" w:rsidR="00B907EC" w:rsidRPr="00B907EC" w:rsidRDefault="00B907EC" w:rsidP="00566E16">
            <w:pPr>
              <w:widowControl/>
              <w:tabs>
                <w:tab w:val="left" w:pos="2289"/>
              </w:tabs>
              <w:spacing w:before="120"/>
              <w:rPr>
                <w:rFonts w:ascii="Times New Roman" w:eastAsia="Times New Roman" w:hAnsi="Times New Roman"/>
                <w:sz w:val="26"/>
                <w:szCs w:val="26"/>
              </w:rPr>
            </w:pPr>
            <w:r w:rsidRPr="00B907EC">
              <w:rPr>
                <w:rFonts w:ascii="Times New Roman" w:eastAsia="Times New Roman" w:hAnsi="Times New Roman"/>
                <w:sz w:val="26"/>
                <w:szCs w:val="26"/>
              </w:rPr>
              <w:t>Điện thoại : (0263) 3880313 Fax: (0263) 3880313</w:t>
            </w:r>
          </w:p>
          <w:p w14:paraId="359283CE" w14:textId="77777777" w:rsidR="00B907EC" w:rsidRPr="00B907EC" w:rsidRDefault="00B907EC" w:rsidP="00566E16">
            <w:pPr>
              <w:widowControl/>
              <w:tabs>
                <w:tab w:val="left" w:pos="2289"/>
              </w:tabs>
              <w:spacing w:before="120"/>
              <w:rPr>
                <w:rFonts w:ascii="Times New Roman" w:eastAsia="Times New Roman" w:hAnsi="Times New Roman"/>
                <w:sz w:val="26"/>
                <w:szCs w:val="26"/>
              </w:rPr>
            </w:pPr>
            <w:r w:rsidRPr="00B907EC">
              <w:rPr>
                <w:rFonts w:ascii="Times New Roman" w:eastAsia="Times New Roman" w:hAnsi="Times New Roman"/>
                <w:sz w:val="26"/>
                <w:szCs w:val="26"/>
              </w:rPr>
              <w:t>E-mail : khoaduocttbyt@gmail.com</w:t>
            </w:r>
          </w:p>
        </w:tc>
      </w:tr>
      <w:tr w:rsidR="00B907EC" w:rsidRPr="00B907EC" w14:paraId="790A6A3D" w14:textId="77777777" w:rsidTr="00566E16">
        <w:tc>
          <w:tcPr>
            <w:tcW w:w="905" w:type="pct"/>
            <w:shd w:val="clear" w:color="auto" w:fill="auto"/>
          </w:tcPr>
          <w:p w14:paraId="6E019E10"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6.1</w:t>
            </w:r>
          </w:p>
        </w:tc>
        <w:tc>
          <w:tcPr>
            <w:tcW w:w="4095" w:type="pct"/>
            <w:shd w:val="clear" w:color="auto" w:fill="auto"/>
          </w:tcPr>
          <w:p w14:paraId="4F19B550"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4_pl3_2"/>
            <w:r w:rsidRPr="00B907EC">
              <w:rPr>
                <w:rFonts w:ascii="Times New Roman" w:eastAsia="Times New Roman" w:hAnsi="Times New Roman"/>
                <w:sz w:val="26"/>
                <w:szCs w:val="26"/>
              </w:rPr>
              <w:t>Mẫu số 14</w:t>
            </w:r>
            <w:bookmarkEnd w:id="0"/>
            <w:r w:rsidRPr="00B907EC">
              <w:rPr>
                <w:rFonts w:ascii="Times New Roman" w:eastAsia="Times New Roman" w:hAnsi="Times New Roman"/>
                <w:sz w:val="26"/>
                <w:szCs w:val="26"/>
              </w:rPr>
              <w:t xml:space="preserve"> Chương VIII - Biểu mẫu hợp đồng).</w:t>
            </w:r>
          </w:p>
          <w:p w14:paraId="284D8E50" w14:textId="77777777" w:rsidR="00B907EC" w:rsidRPr="00B907EC" w:rsidRDefault="00B907EC" w:rsidP="00566E16">
            <w:pPr>
              <w:widowControl/>
              <w:tabs>
                <w:tab w:val="left" w:pos="305"/>
              </w:tabs>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 Giá trị bảo đảm thực hiện hợp đồng: 3% Giá hợp đồng. </w:t>
            </w:r>
          </w:p>
          <w:p w14:paraId="42595B25" w14:textId="77777777" w:rsidR="00B907EC" w:rsidRPr="00B907EC" w:rsidRDefault="00B907EC" w:rsidP="00566E16">
            <w:pPr>
              <w:widowControl/>
              <w:tabs>
                <w:tab w:val="left" w:pos="319"/>
              </w:tabs>
              <w:spacing w:before="120"/>
              <w:rPr>
                <w:rFonts w:ascii="Times New Roman" w:eastAsia="Times New Roman" w:hAnsi="Times New Roman"/>
                <w:sz w:val="26"/>
                <w:szCs w:val="26"/>
              </w:rPr>
            </w:pPr>
            <w:r w:rsidRPr="00B907EC">
              <w:rPr>
                <w:rFonts w:ascii="Times New Roman" w:eastAsia="Times New Roman" w:hAnsi="Times New Roman"/>
                <w:sz w:val="26"/>
                <w:szCs w:val="26"/>
              </w:rPr>
              <w:lastRenderedPageBreak/>
              <w:t>- Hiệu lực của bảo đảm thực hiện hợp đồng: Bảo đảm thực hiện hợp đồng có hiệu lực kể từ ngày hợp đồng có hiệu lực cho đến khi toàn bộ thuốc được bàn giao, hai bên ký biên bản nghiệm.</w:t>
            </w:r>
          </w:p>
        </w:tc>
      </w:tr>
      <w:tr w:rsidR="00B907EC" w:rsidRPr="00B907EC" w14:paraId="5B9FC5D6" w14:textId="77777777" w:rsidTr="00566E16">
        <w:tc>
          <w:tcPr>
            <w:tcW w:w="905" w:type="pct"/>
            <w:shd w:val="clear" w:color="auto" w:fill="auto"/>
          </w:tcPr>
          <w:p w14:paraId="1F9A9129"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lastRenderedPageBreak/>
              <w:t>ĐKC 6.2</w:t>
            </w:r>
          </w:p>
        </w:tc>
        <w:tc>
          <w:tcPr>
            <w:tcW w:w="4095" w:type="pct"/>
            <w:shd w:val="clear" w:color="auto" w:fill="auto"/>
          </w:tcPr>
          <w:p w14:paraId="07BF940F"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Thời hạn hoàn trả bảo đảm thực hiện hợp đồng: ngay khi hết hiệu lực của bảo đảm thực hiện hợp đồng.</w:t>
            </w:r>
          </w:p>
        </w:tc>
      </w:tr>
      <w:tr w:rsidR="00B907EC" w:rsidRPr="00B907EC" w14:paraId="58DE4E94" w14:textId="77777777" w:rsidTr="00566E16">
        <w:tc>
          <w:tcPr>
            <w:tcW w:w="905" w:type="pct"/>
            <w:shd w:val="clear" w:color="auto" w:fill="auto"/>
          </w:tcPr>
          <w:p w14:paraId="1B757A09"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7.1</w:t>
            </w:r>
          </w:p>
        </w:tc>
        <w:tc>
          <w:tcPr>
            <w:tcW w:w="4095" w:type="pct"/>
            <w:shd w:val="clear" w:color="auto" w:fill="auto"/>
          </w:tcPr>
          <w:p w14:paraId="04D77634" w14:textId="77777777" w:rsidR="00B907EC" w:rsidRPr="00B907EC" w:rsidRDefault="00B907EC" w:rsidP="00566E16">
            <w:pPr>
              <w:widowControl/>
              <w:tabs>
                <w:tab w:val="left" w:pos="3712"/>
              </w:tabs>
              <w:spacing w:before="120"/>
              <w:rPr>
                <w:rFonts w:ascii="Times New Roman" w:eastAsia="Times New Roman" w:hAnsi="Times New Roman"/>
                <w:sz w:val="26"/>
                <w:szCs w:val="26"/>
              </w:rPr>
            </w:pPr>
            <w:r w:rsidRPr="00B907EC">
              <w:rPr>
                <w:rFonts w:ascii="Times New Roman" w:eastAsia="Times New Roman" w:hAnsi="Times New Roman"/>
                <w:sz w:val="26"/>
                <w:szCs w:val="26"/>
              </w:rPr>
              <w:t>Danh sách nhà thầu phụ: không áp dụng</w:t>
            </w:r>
          </w:p>
        </w:tc>
      </w:tr>
      <w:tr w:rsidR="00B907EC" w:rsidRPr="00B907EC" w14:paraId="754ED420" w14:textId="77777777" w:rsidTr="00566E16">
        <w:tc>
          <w:tcPr>
            <w:tcW w:w="905" w:type="pct"/>
            <w:shd w:val="clear" w:color="auto" w:fill="auto"/>
          </w:tcPr>
          <w:p w14:paraId="63796B9D"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7.3</w:t>
            </w:r>
          </w:p>
        </w:tc>
        <w:tc>
          <w:tcPr>
            <w:tcW w:w="4095" w:type="pct"/>
            <w:shd w:val="clear" w:color="auto" w:fill="auto"/>
          </w:tcPr>
          <w:p w14:paraId="44225CCC"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Nêu các yêu cầu cần thiết khác về nhà thầu phụ: </w:t>
            </w:r>
            <w:r w:rsidRPr="00B907EC">
              <w:rPr>
                <w:rFonts w:ascii="Times New Roman" w:hAnsi="Times New Roman"/>
                <w:sz w:val="26"/>
                <w:szCs w:val="26"/>
              </w:rPr>
              <w:t>không yêu</w:t>
            </w:r>
            <w:r w:rsidRPr="00B907EC">
              <w:rPr>
                <w:rFonts w:ascii="Times New Roman" w:hAnsi="Times New Roman"/>
                <w:sz w:val="26"/>
                <w:szCs w:val="26"/>
                <w:lang w:val="vi-VN"/>
              </w:rPr>
              <w:t xml:space="preserve"> cầu</w:t>
            </w:r>
          </w:p>
        </w:tc>
      </w:tr>
      <w:tr w:rsidR="00B907EC" w:rsidRPr="00B907EC" w14:paraId="7AB3C306" w14:textId="77777777" w:rsidTr="00566E16">
        <w:tc>
          <w:tcPr>
            <w:tcW w:w="905" w:type="pct"/>
            <w:shd w:val="clear" w:color="auto" w:fill="auto"/>
          </w:tcPr>
          <w:p w14:paraId="6C2CBD8B"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8.2</w:t>
            </w:r>
          </w:p>
        </w:tc>
        <w:tc>
          <w:tcPr>
            <w:tcW w:w="4095" w:type="pct"/>
            <w:shd w:val="clear" w:color="auto" w:fill="auto"/>
          </w:tcPr>
          <w:p w14:paraId="0B706952"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Thời gian để tiến hành hòa giải: 30 ngày kể từ ngày gửi yêu cầu giải quyết tranh chấp.</w:t>
            </w:r>
          </w:p>
          <w:p w14:paraId="728530F3" w14:textId="77777777" w:rsidR="00B907EC" w:rsidRPr="00B907EC" w:rsidRDefault="00B907EC" w:rsidP="00566E16">
            <w:pPr>
              <w:widowControl/>
              <w:tabs>
                <w:tab w:val="left" w:pos="312"/>
              </w:tabs>
              <w:spacing w:before="120"/>
              <w:rPr>
                <w:rFonts w:ascii="Times New Roman" w:eastAsia="Times New Roman" w:hAnsi="Times New Roman"/>
                <w:sz w:val="26"/>
                <w:szCs w:val="26"/>
              </w:rPr>
            </w:pPr>
            <w:r w:rsidRPr="00B907EC">
              <w:rPr>
                <w:rFonts w:ascii="Times New Roman" w:eastAsia="Times New Roman" w:hAnsi="Times New Roman"/>
                <w:sz w:val="26"/>
                <w:szCs w:val="26"/>
              </w:rPr>
              <w:t>- Giải quyết tranh chấp: Giải quyết tranh chấp: khi phát sinh tranh chấp, bên yêu cầu giải quyết tranh chấp gửi văn bản đề nghị giải quyết tranh chấp. Thời gian giải quyết tranh chấp là 30 ngày kể từ ngày gửi yêu cầu giải quyết tranh chấp, nếu trong thời gian này hai bên không thỏa thuận được thì một trong các bên gửi đơn khiếu kiện giải quyết tranh chấp ra Tòa án dân sự để giải quyết, chi phí do bên có lỗi chịu.</w:t>
            </w:r>
          </w:p>
        </w:tc>
      </w:tr>
      <w:tr w:rsidR="00B907EC" w:rsidRPr="00B907EC" w14:paraId="506FBE1A" w14:textId="77777777" w:rsidTr="00566E16">
        <w:tc>
          <w:tcPr>
            <w:tcW w:w="905" w:type="pct"/>
            <w:shd w:val="clear" w:color="auto" w:fill="auto"/>
          </w:tcPr>
          <w:p w14:paraId="5D4DBAFC"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10</w:t>
            </w:r>
          </w:p>
        </w:tc>
        <w:tc>
          <w:tcPr>
            <w:tcW w:w="4095" w:type="pct"/>
            <w:shd w:val="clear" w:color="auto" w:fill="auto"/>
          </w:tcPr>
          <w:p w14:paraId="0A0B2E7E"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Nhà thầu phải cung cấp các thông tin và chứng từ sau đây về việc vận chuyển thuốc : Hàng hóa được giao nhận phải có hóa đơn, chứng từ hợp lệ đi kèm. Lưu ý: hóa đơn phải ghi đầy đủ lô sản xuất, ngày sản xuất, hạn sử dụng, nước sản xuất, quy cách đóng gói và theo yêu cầu của Bệnh viện</w:t>
            </w:r>
          </w:p>
          <w:p w14:paraId="6A033C30"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1928E1EB"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Nhà thầu cam kết phiếu kiểm nghiệm cho từng lô hàng đạt yêu cầu chất lượng theo đúng hồ sơ đăng ký thuốc đã được cơ quan có thẩm quyền phê duyệt.</w:t>
            </w:r>
          </w:p>
        </w:tc>
      </w:tr>
      <w:tr w:rsidR="00B907EC" w:rsidRPr="00B907EC" w14:paraId="7AE1170F" w14:textId="77777777" w:rsidTr="00566E16">
        <w:tc>
          <w:tcPr>
            <w:tcW w:w="905" w:type="pct"/>
            <w:shd w:val="clear" w:color="auto" w:fill="auto"/>
          </w:tcPr>
          <w:p w14:paraId="69DCBB18"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12</w:t>
            </w:r>
          </w:p>
        </w:tc>
        <w:tc>
          <w:tcPr>
            <w:tcW w:w="4095" w:type="pct"/>
            <w:shd w:val="clear" w:color="auto" w:fill="auto"/>
          </w:tcPr>
          <w:p w14:paraId="540264C7"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Loại hợp đồng: Hợp đồng theo đơn giá cố định</w:t>
            </w:r>
          </w:p>
        </w:tc>
      </w:tr>
      <w:tr w:rsidR="00B907EC" w:rsidRPr="00B907EC" w14:paraId="29EAAA50" w14:textId="77777777" w:rsidTr="00566E16">
        <w:tc>
          <w:tcPr>
            <w:tcW w:w="905" w:type="pct"/>
            <w:shd w:val="clear" w:color="auto" w:fill="auto"/>
          </w:tcPr>
          <w:p w14:paraId="283E8274"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13.1</w:t>
            </w:r>
          </w:p>
        </w:tc>
        <w:tc>
          <w:tcPr>
            <w:tcW w:w="4095" w:type="pct"/>
            <w:shd w:val="clear" w:color="auto" w:fill="auto"/>
          </w:tcPr>
          <w:p w14:paraId="011F541E" w14:textId="77777777" w:rsidR="00B907EC" w:rsidRPr="00B907EC" w:rsidRDefault="00B907EC" w:rsidP="00566E16">
            <w:pPr>
              <w:widowControl/>
              <w:tabs>
                <w:tab w:val="left" w:pos="2347"/>
              </w:tabs>
              <w:spacing w:before="120"/>
              <w:rPr>
                <w:rFonts w:ascii="Times New Roman" w:eastAsia="Times New Roman" w:hAnsi="Times New Roman"/>
                <w:sz w:val="26"/>
                <w:szCs w:val="26"/>
              </w:rPr>
            </w:pPr>
            <w:r w:rsidRPr="00B907EC">
              <w:rPr>
                <w:rFonts w:ascii="Times New Roman" w:eastAsia="Times New Roman" w:hAnsi="Times New Roman"/>
                <w:sz w:val="26"/>
                <w:szCs w:val="26"/>
              </w:rPr>
              <w:t>Giá hợp đồng: Theo giá trị nêu trong Thư chấp thuận E-HSDT và trao hợp đồng.</w:t>
            </w:r>
          </w:p>
        </w:tc>
      </w:tr>
      <w:tr w:rsidR="00B907EC" w:rsidRPr="00B907EC" w14:paraId="461896FA" w14:textId="77777777" w:rsidTr="00566E16">
        <w:tc>
          <w:tcPr>
            <w:tcW w:w="905" w:type="pct"/>
            <w:shd w:val="clear" w:color="auto" w:fill="auto"/>
          </w:tcPr>
          <w:p w14:paraId="2A94875F"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14</w:t>
            </w:r>
          </w:p>
        </w:tc>
        <w:tc>
          <w:tcPr>
            <w:tcW w:w="4095" w:type="pct"/>
            <w:shd w:val="clear" w:color="auto" w:fill="auto"/>
          </w:tcPr>
          <w:p w14:paraId="1F1A115B"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Điều chỉnh thuế: 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B907EC" w:rsidRPr="00B907EC" w14:paraId="317C8D06" w14:textId="77777777" w:rsidTr="00566E16">
        <w:tc>
          <w:tcPr>
            <w:tcW w:w="905" w:type="pct"/>
            <w:shd w:val="clear" w:color="auto" w:fill="auto"/>
          </w:tcPr>
          <w:p w14:paraId="3864DEE2"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15.1</w:t>
            </w:r>
          </w:p>
        </w:tc>
        <w:tc>
          <w:tcPr>
            <w:tcW w:w="4095" w:type="pct"/>
            <w:shd w:val="clear" w:color="auto" w:fill="auto"/>
          </w:tcPr>
          <w:p w14:paraId="10C74F08"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Phương thức thanh toán: </w:t>
            </w:r>
          </w:p>
          <w:p w14:paraId="492FB1F5"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 Đồng tiền thanh toán: Đồng Việt nam.</w:t>
            </w:r>
          </w:p>
          <w:p w14:paraId="45CAEBDB"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lastRenderedPageBreak/>
              <w:t>Thời hạn thanh toán: Thanh toán theo giá trị của từng đợt mua hàng thực tế theo nhu cầu sử dụng điều trị cho bệnh nhân.</w:t>
            </w:r>
          </w:p>
          <w:p w14:paraId="14C700F6"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Thời hạn thanh toán trong vòng 90 ngày kể từ khi Nhà thầu xuất trình đầy đủ các chứng từ theo đúng qui định của pháp luật.</w:t>
            </w:r>
          </w:p>
        </w:tc>
      </w:tr>
      <w:tr w:rsidR="00B907EC" w:rsidRPr="00B907EC" w14:paraId="000BAF3A" w14:textId="77777777" w:rsidTr="00566E16">
        <w:tc>
          <w:tcPr>
            <w:tcW w:w="905" w:type="pct"/>
            <w:shd w:val="clear" w:color="auto" w:fill="auto"/>
          </w:tcPr>
          <w:p w14:paraId="123AE6BD"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lastRenderedPageBreak/>
              <w:t>ĐKC 19</w:t>
            </w:r>
          </w:p>
        </w:tc>
        <w:tc>
          <w:tcPr>
            <w:tcW w:w="4095" w:type="pct"/>
            <w:shd w:val="clear" w:color="auto" w:fill="auto"/>
          </w:tcPr>
          <w:p w14:paraId="78B2A60A"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Đóng gói thuốc : </w:t>
            </w:r>
          </w:p>
          <w:p w14:paraId="7898D57A"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Thuốc phải được đóng gói, bảo quản theo đúng quy cách và yêu cầu của nhà sản xuất theo đúng danh mục ghi trong hợp đồng.</w:t>
            </w:r>
          </w:p>
          <w:p w14:paraId="1A428F4D"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Thuốc phải được đóng gói đúng yêu cầu (nguyên đai, kiện, hộp với hàng chẵn kiện); còn nguyên nhãn mác (không được cạo, sửa, tẩy xóa) để tránh hư hỏng, nhầm lẫn trong quá trình vận chuyển đến địa chỉ giao nhận cuối cùng.</w:t>
            </w:r>
          </w:p>
          <w:p w14:paraId="068038B2"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Với các thuốc lẻ (không đủ kiện đóng thùng), nhà thầu cần đóng gói theo đúng nguyên tắc GSP khi giao nhận, vận chuyển.</w:t>
            </w:r>
          </w:p>
        </w:tc>
      </w:tr>
      <w:tr w:rsidR="00B907EC" w:rsidRPr="00B907EC" w14:paraId="6B76B9CF" w14:textId="77777777" w:rsidTr="00566E16">
        <w:tc>
          <w:tcPr>
            <w:tcW w:w="905" w:type="pct"/>
            <w:shd w:val="clear" w:color="auto" w:fill="auto"/>
          </w:tcPr>
          <w:p w14:paraId="5B4DFE23"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20</w:t>
            </w:r>
          </w:p>
        </w:tc>
        <w:tc>
          <w:tcPr>
            <w:tcW w:w="4095" w:type="pct"/>
            <w:shd w:val="clear" w:color="auto" w:fill="auto"/>
          </w:tcPr>
          <w:p w14:paraId="5A1B7C27"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Nội dung bảo hiểm: Nhà thầu đóng gói thuốc đúng yêu cầu của nhà sản xuất phù hợp với phương tiện vận chuyển để chuyển hàng từ nơi xuất hàng tới địa điểm giao hàng quy định. Việc đóng gói phải bảo đảm thuốc được chuyển đến nơi giao hàng không bị hư hỏng do va chạm trong khi bốc dỡ vận chuyển và các tác động khác của môi trường.</w:t>
            </w:r>
          </w:p>
        </w:tc>
      </w:tr>
      <w:tr w:rsidR="00B907EC" w:rsidRPr="00B907EC" w14:paraId="7D55F372" w14:textId="77777777" w:rsidTr="00566E16">
        <w:tc>
          <w:tcPr>
            <w:tcW w:w="905" w:type="pct"/>
            <w:shd w:val="clear" w:color="auto" w:fill="auto"/>
          </w:tcPr>
          <w:p w14:paraId="44C32BA4"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21</w:t>
            </w:r>
          </w:p>
        </w:tc>
        <w:tc>
          <w:tcPr>
            <w:tcW w:w="4095" w:type="pct"/>
            <w:shd w:val="clear" w:color="auto" w:fill="auto"/>
          </w:tcPr>
          <w:p w14:paraId="0E6E0CB8"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b/>
                <w:bCs/>
                <w:sz w:val="26"/>
                <w:szCs w:val="26"/>
              </w:rPr>
              <w:t xml:space="preserve">- </w:t>
            </w:r>
            <w:r w:rsidRPr="00B907EC">
              <w:rPr>
                <w:rFonts w:ascii="Times New Roman" w:eastAsia="Times New Roman" w:hAnsi="Times New Roman"/>
                <w:sz w:val="26"/>
                <w:szCs w:val="26"/>
              </w:rPr>
              <w:t>Yêu cầu về vận chuyển thuốc : Thuốc phải được giao tại kho của Bệnh viện</w:t>
            </w:r>
          </w:p>
          <w:p w14:paraId="2EEAB607" w14:textId="77777777" w:rsidR="00B907EC" w:rsidRPr="00B907EC" w:rsidRDefault="00B907EC" w:rsidP="00566E16">
            <w:pPr>
              <w:widowControl/>
              <w:tabs>
                <w:tab w:val="left" w:pos="310"/>
              </w:tabs>
              <w:spacing w:before="120"/>
              <w:rPr>
                <w:rFonts w:ascii="Times New Roman" w:eastAsia="Times New Roman" w:hAnsi="Times New Roman"/>
                <w:sz w:val="26"/>
                <w:szCs w:val="26"/>
              </w:rPr>
            </w:pPr>
            <w:r w:rsidRPr="00B907EC">
              <w:rPr>
                <w:rFonts w:ascii="Times New Roman" w:eastAsia="Times New Roman" w:hAnsi="Times New Roman"/>
                <w:b/>
                <w:bCs/>
                <w:sz w:val="26"/>
                <w:szCs w:val="26"/>
              </w:rPr>
              <w:t xml:space="preserve">- </w:t>
            </w:r>
            <w:r w:rsidRPr="00B907EC">
              <w:rPr>
                <w:rFonts w:ascii="Times New Roman" w:eastAsia="Times New Roman" w:hAnsi="Times New Roman"/>
                <w:sz w:val="26"/>
                <w:szCs w:val="26"/>
              </w:rPr>
              <w:t>Các yêu cầu khác: không yêu cầu</w:t>
            </w:r>
          </w:p>
        </w:tc>
      </w:tr>
      <w:tr w:rsidR="00B907EC" w:rsidRPr="00B907EC" w14:paraId="4C821ED3" w14:textId="77777777" w:rsidTr="00566E16">
        <w:tc>
          <w:tcPr>
            <w:tcW w:w="905" w:type="pct"/>
            <w:shd w:val="clear" w:color="auto" w:fill="auto"/>
          </w:tcPr>
          <w:p w14:paraId="65695280"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22.1</w:t>
            </w:r>
          </w:p>
        </w:tc>
        <w:tc>
          <w:tcPr>
            <w:tcW w:w="4095" w:type="pct"/>
            <w:shd w:val="clear" w:color="auto" w:fill="auto"/>
          </w:tcPr>
          <w:p w14:paraId="148EDC88"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Kiểm tra, thử nghiệm thuốc : </w:t>
            </w:r>
          </w:p>
          <w:p w14:paraId="47AF13B0"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Chủ Đầu tư khi có nghi ngờ thuốc không đáp ứng yêu cầu về chất lượng theo tiêu chuẩn đăng ký lưu hành và thông tin dự thầu của thuốc tại E-HSDT mà nguyên nhân không do Chủ đầu tư thì có quyền yêu cầu Nhà thầu tiến hành thu hồi và thử nghiệm thuốc;</w:t>
            </w:r>
          </w:p>
          <w:p w14:paraId="22932F51"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 Việc thử nghiệm có thể được thực hiện bởi Nhà thầu hoặc đơn vị có chức năng kiểm nghiệm thuốc do Chủ đầu tư chỉ định; </w:t>
            </w:r>
          </w:p>
          <w:p w14:paraId="038AEAE1"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Mọi chi phí phát sinh trong quá trình thử nghiệm thuốc do Nhà thầu chi trả;</w:t>
            </w:r>
          </w:p>
          <w:p w14:paraId="036172EA"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Trường hợp kết quả thử nghiệm ghi nhận chất lượng thuốc không đáp ứng tiêu chuẩn đăng ký lưu hành, Chủ đầu tư lập biên bản và gửi thông báo đến Nhà thầu. Trong vòng 03 ngày làm việc kể từ thời điểm nhận được thông báo của Chủ đầu tư, Nhà thầu phải tiến hành thu hồi toàn bộ lô thuốc không đáp ứng chất lượng và phải có biện pháp khắc phục đảm bảo tiến độ thực hiện gói thầu theo quy định tại hợp đồng</w:t>
            </w:r>
          </w:p>
        </w:tc>
      </w:tr>
      <w:tr w:rsidR="00B907EC" w:rsidRPr="00B907EC" w14:paraId="44CF6E81" w14:textId="77777777" w:rsidTr="00566E16">
        <w:tc>
          <w:tcPr>
            <w:tcW w:w="905" w:type="pct"/>
            <w:shd w:val="clear" w:color="auto" w:fill="auto"/>
          </w:tcPr>
          <w:p w14:paraId="36E557C0"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23</w:t>
            </w:r>
          </w:p>
        </w:tc>
        <w:tc>
          <w:tcPr>
            <w:tcW w:w="4095" w:type="pct"/>
            <w:shd w:val="clear" w:color="auto" w:fill="auto"/>
          </w:tcPr>
          <w:p w14:paraId="17642516"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Tổng giá trị bồi thường thiệt hại tối đa là: 100% </w:t>
            </w:r>
          </w:p>
          <w:p w14:paraId="77EF89A4"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lastRenderedPageBreak/>
              <w:t>Mức khấu trừ: 1%/tuần đối với phần hợp đồng chậm thực hiện</w:t>
            </w:r>
          </w:p>
          <w:p w14:paraId="3B8051D0"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Mức khấu trừ tối đa: 8%. Khi đạt mức tối đa Bên mua có thể xem xét chấm dứt hợp đồng theo quy định.</w:t>
            </w:r>
          </w:p>
        </w:tc>
      </w:tr>
      <w:tr w:rsidR="00B907EC" w:rsidRPr="00B907EC" w14:paraId="769338DA" w14:textId="77777777" w:rsidTr="00566E16">
        <w:tc>
          <w:tcPr>
            <w:tcW w:w="905" w:type="pct"/>
            <w:shd w:val="clear" w:color="auto" w:fill="auto"/>
          </w:tcPr>
          <w:p w14:paraId="64CF31D0"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lastRenderedPageBreak/>
              <w:t>ĐKC 24.1</w:t>
            </w:r>
          </w:p>
        </w:tc>
        <w:tc>
          <w:tcPr>
            <w:tcW w:w="4095" w:type="pct"/>
            <w:shd w:val="clear" w:color="auto" w:fill="auto"/>
          </w:tcPr>
          <w:p w14:paraId="7BB6E86D" w14:textId="77777777" w:rsidR="00B907EC" w:rsidRPr="00B907EC" w:rsidRDefault="00B907EC" w:rsidP="00566E16">
            <w:pPr>
              <w:widowControl/>
              <w:tabs>
                <w:tab w:val="left" w:pos="6506"/>
              </w:tabs>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Nội dung yêu cầu bảo đảm khác đối với thuốc : </w:t>
            </w:r>
          </w:p>
          <w:p w14:paraId="32FFA512" w14:textId="77777777" w:rsidR="00B907EC" w:rsidRPr="00B907EC" w:rsidRDefault="00B907EC" w:rsidP="00566E16">
            <w:pPr>
              <w:widowControl/>
              <w:tabs>
                <w:tab w:val="left" w:pos="6506"/>
              </w:tabs>
              <w:spacing w:before="120"/>
              <w:rPr>
                <w:rFonts w:ascii="Times New Roman" w:eastAsia="Times New Roman" w:hAnsi="Times New Roman"/>
                <w:sz w:val="26"/>
                <w:szCs w:val="26"/>
              </w:rPr>
            </w:pPr>
            <w:r w:rsidRPr="00B907EC">
              <w:rPr>
                <w:rFonts w:ascii="Times New Roman" w:eastAsia="Times New Roman" w:hAnsi="Times New Roman"/>
                <w:sz w:val="26"/>
                <w:szCs w:val="26"/>
              </w:rPr>
              <w:t>- Thuốc có nhãn hiệu, xuất xứ theo đúng kết quả trúng thầu;</w:t>
            </w:r>
          </w:p>
          <w:p w14:paraId="146C669A" w14:textId="77777777" w:rsidR="00B907EC" w:rsidRPr="00B907EC" w:rsidRDefault="00B907EC" w:rsidP="00566E16">
            <w:pPr>
              <w:widowControl/>
              <w:tabs>
                <w:tab w:val="left" w:pos="6506"/>
              </w:tabs>
              <w:spacing w:before="120"/>
              <w:rPr>
                <w:rFonts w:ascii="Times New Roman" w:eastAsia="Times New Roman" w:hAnsi="Times New Roman"/>
                <w:sz w:val="26"/>
                <w:szCs w:val="26"/>
              </w:rPr>
            </w:pPr>
            <w:r w:rsidRPr="00B907EC">
              <w:rPr>
                <w:rFonts w:ascii="Times New Roman" w:eastAsia="Times New Roman" w:hAnsi="Times New Roman"/>
                <w:sz w:val="26"/>
                <w:szCs w:val="26"/>
              </w:rPr>
              <w:t>- Nhà thầu phải thông báo cho Chủ Đầu tư biết các điều kiện cần phải thực hiện khi lưu giữ, bảo quản và sử dụng thuốc;</w:t>
            </w:r>
          </w:p>
          <w:p w14:paraId="1DA8EB3A" w14:textId="77777777" w:rsidR="00B907EC" w:rsidRPr="00B907EC" w:rsidRDefault="00B907EC" w:rsidP="00566E16">
            <w:pPr>
              <w:widowControl/>
              <w:tabs>
                <w:tab w:val="left" w:pos="6506"/>
              </w:tabs>
              <w:spacing w:before="120"/>
              <w:rPr>
                <w:rFonts w:ascii="Times New Roman" w:eastAsia="Times New Roman" w:hAnsi="Times New Roman"/>
                <w:sz w:val="26"/>
                <w:szCs w:val="26"/>
              </w:rPr>
            </w:pPr>
            <w:r w:rsidRPr="00B907EC">
              <w:rPr>
                <w:rFonts w:ascii="Times New Roman" w:eastAsia="Times New Roman" w:hAnsi="Times New Roman"/>
                <w:sz w:val="26"/>
                <w:szCs w:val="26"/>
              </w:rPr>
              <w:t>- Nhà thầu phải chịu trách nhiệm về những khiếm khuyết của thuốc nếu các khiếm khuyết đó không thể phát hiện bằng biện pháp thông thường hoặc những khiếm khuyết mà Nhà thầu đã biết nhưng không thông báo cho Chủ Đầu tư;</w:t>
            </w:r>
          </w:p>
          <w:p w14:paraId="7454DC45" w14:textId="77777777" w:rsidR="00B907EC" w:rsidRPr="00B907EC" w:rsidRDefault="00B907EC" w:rsidP="00566E16">
            <w:pPr>
              <w:widowControl/>
              <w:tabs>
                <w:tab w:val="left" w:pos="6506"/>
              </w:tabs>
              <w:spacing w:before="120"/>
              <w:rPr>
                <w:rFonts w:ascii="Times New Roman" w:eastAsia="Times New Roman" w:hAnsi="Times New Roman"/>
                <w:sz w:val="26"/>
                <w:szCs w:val="26"/>
              </w:rPr>
            </w:pPr>
            <w:r w:rsidRPr="00B907EC">
              <w:rPr>
                <w:rFonts w:ascii="Times New Roman" w:eastAsia="Times New Roman" w:hAnsi="Times New Roman"/>
                <w:sz w:val="26"/>
                <w:szCs w:val="26"/>
              </w:rPr>
              <w:t>- Nhà thầu cam kết thu hồi thuốc vô điều kiện kể cả khi hợp đồng đã chấm dứt hiệu lực nếu thuốc đã giao không đảm bảo đầy đủ các tiêu chuẩn kỹ thuật như đã chào thầu, không đảm bảo chất lượng trong quá trình sử dụng hoặc có phát sinh lỗi, khiếm khuyết ảnh hưởng đến chất lượng thuốc mà nguyên nhân không do Chủ đầu tư hoặc khi có công bố về việc vi phạm chất lượng thuốc, có văn bản đình chỉ lưu hành, yêu cầu thu hồi từ cơ quan có thẩm quyền. Chủ Đầu tư không có nghĩa vụ phải thanh toán cho Nhà thầu phần chi phí liên quan đến các thuốc bị thu hồi này. Nhà thầu có trách nhiệm hoàn trả đầy đủ thuốc đảm bảo chất lượng cho Chủ đầu tư tương ứng với số lượng thuốc đã thu hồi, đồng thời đền bù mọi chi phí có liên quan.</w:t>
            </w:r>
          </w:p>
        </w:tc>
      </w:tr>
      <w:tr w:rsidR="00B907EC" w:rsidRPr="00B907EC" w14:paraId="3AC3E417" w14:textId="77777777" w:rsidTr="00566E16">
        <w:tc>
          <w:tcPr>
            <w:tcW w:w="905" w:type="pct"/>
            <w:shd w:val="clear" w:color="auto" w:fill="auto"/>
          </w:tcPr>
          <w:p w14:paraId="08F8F1B8"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24.2</w:t>
            </w:r>
          </w:p>
        </w:tc>
        <w:tc>
          <w:tcPr>
            <w:tcW w:w="4095" w:type="pct"/>
            <w:shd w:val="clear" w:color="auto" w:fill="auto"/>
          </w:tcPr>
          <w:p w14:paraId="515DD052"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Yêu cầu về chất lượng và hạn sử dụng: </w:t>
            </w:r>
          </w:p>
          <w:p w14:paraId="170DC7A3"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06B076A2"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w:t>
            </w:r>
            <w:r w:rsidRPr="00B907EC">
              <w:rPr>
                <w:rFonts w:ascii="Times New Roman" w:eastAsia="Times New Roman" w:hAnsi="Times New Roman"/>
                <w:sz w:val="26"/>
                <w:szCs w:val="26"/>
              </w:rPr>
              <w:lastRenderedPageBreak/>
              <w:t>phí cho việc khắc phục các hư hỏng, thuốc kém chất lượng, phản ứng có hại của thuốc và Nhà thầu phải chịu toàn bộ chi phí cho việc khắc phục….</w:t>
            </w:r>
          </w:p>
        </w:tc>
      </w:tr>
      <w:tr w:rsidR="00B907EC" w:rsidRPr="00B907EC" w14:paraId="0B65CC36" w14:textId="77777777" w:rsidTr="00566E16">
        <w:tc>
          <w:tcPr>
            <w:tcW w:w="905" w:type="pct"/>
            <w:shd w:val="clear" w:color="auto" w:fill="auto"/>
          </w:tcPr>
          <w:p w14:paraId="08122BE3"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lastRenderedPageBreak/>
              <w:t>ĐKC 26.1(d)</w:t>
            </w:r>
          </w:p>
        </w:tc>
        <w:tc>
          <w:tcPr>
            <w:tcW w:w="4095" w:type="pct"/>
            <w:shd w:val="clear" w:color="auto" w:fill="auto"/>
          </w:tcPr>
          <w:p w14:paraId="3C2A5BA9"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Các nội dung khác về hiệu chỉnh, bổ sung hợp đồng:</w:t>
            </w:r>
          </w:p>
          <w:p w14:paraId="400B4513"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1" w:name="tc_60"/>
            <w:r w:rsidRPr="00B907EC">
              <w:rPr>
                <w:rFonts w:ascii="Times New Roman" w:eastAsia="Times New Roman" w:hAnsi="Times New Roman"/>
                <w:sz w:val="26"/>
                <w:szCs w:val="26"/>
              </w:rPr>
              <w:t>khoản 3 Điều 15 Thông tư này</w:t>
            </w:r>
            <w:bookmarkEnd w:id="1"/>
            <w:r w:rsidRPr="00B907EC">
              <w:rPr>
                <w:rFonts w:ascii="Times New Roman" w:eastAsia="Times New Roman" w:hAnsi="Times New Roman"/>
                <w:sz w:val="26"/>
                <w:szCs w:val="26"/>
              </w:rPr>
              <w:t>.</w:t>
            </w:r>
          </w:p>
        </w:tc>
      </w:tr>
      <w:tr w:rsidR="00B907EC" w:rsidRPr="00B907EC" w14:paraId="425FE539" w14:textId="77777777" w:rsidTr="00566E16">
        <w:tc>
          <w:tcPr>
            <w:tcW w:w="905" w:type="pct"/>
            <w:shd w:val="clear" w:color="auto" w:fill="auto"/>
          </w:tcPr>
          <w:p w14:paraId="5B57F315"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27.4</w:t>
            </w:r>
          </w:p>
        </w:tc>
        <w:tc>
          <w:tcPr>
            <w:tcW w:w="4095" w:type="pct"/>
            <w:shd w:val="clear" w:color="auto" w:fill="auto"/>
          </w:tcPr>
          <w:p w14:paraId="581540B3" w14:textId="77777777" w:rsidR="00B907EC" w:rsidRPr="00B907EC" w:rsidRDefault="00B907EC" w:rsidP="00566E16">
            <w:pPr>
              <w:widowControl/>
              <w:spacing w:before="120"/>
              <w:rPr>
                <w:rFonts w:ascii="Times New Roman" w:eastAsia="Times New Roman" w:hAnsi="Times New Roman"/>
                <w:sz w:val="26"/>
                <w:szCs w:val="26"/>
              </w:rPr>
            </w:pPr>
            <w:r w:rsidRPr="00B907EC">
              <w:rPr>
                <w:rFonts w:ascii="Times New Roman" w:eastAsia="Times New Roman" w:hAnsi="Times New Roman"/>
                <w:sz w:val="26"/>
                <w:szCs w:val="26"/>
              </w:rPr>
              <w:t>Các trường hợp khác: Không yêu cầu.</w:t>
            </w:r>
          </w:p>
        </w:tc>
      </w:tr>
      <w:tr w:rsidR="00B907EC" w:rsidRPr="00B907EC" w14:paraId="65AC5754" w14:textId="77777777" w:rsidTr="00566E16">
        <w:tc>
          <w:tcPr>
            <w:tcW w:w="905" w:type="pct"/>
            <w:shd w:val="clear" w:color="auto" w:fill="auto"/>
          </w:tcPr>
          <w:p w14:paraId="73E99F82" w14:textId="77777777" w:rsidR="00B907EC" w:rsidRPr="00B907EC" w:rsidRDefault="00B907EC" w:rsidP="00566E16">
            <w:pPr>
              <w:widowControl/>
              <w:spacing w:before="120"/>
              <w:jc w:val="center"/>
              <w:rPr>
                <w:rFonts w:ascii="Times New Roman" w:eastAsia="Times New Roman" w:hAnsi="Times New Roman"/>
                <w:sz w:val="26"/>
                <w:szCs w:val="26"/>
              </w:rPr>
            </w:pPr>
            <w:r w:rsidRPr="00B907EC">
              <w:rPr>
                <w:rFonts w:ascii="Times New Roman" w:hAnsi="Times New Roman"/>
                <w:b/>
                <w:sz w:val="26"/>
                <w:szCs w:val="26"/>
              </w:rPr>
              <w:t>ĐKC 28.1(d)</w:t>
            </w:r>
          </w:p>
        </w:tc>
        <w:tc>
          <w:tcPr>
            <w:tcW w:w="4095" w:type="pct"/>
            <w:shd w:val="clear" w:color="auto" w:fill="auto"/>
          </w:tcPr>
          <w:p w14:paraId="64993C54" w14:textId="77777777" w:rsidR="00B907EC" w:rsidRPr="00B907EC" w:rsidRDefault="00B907EC" w:rsidP="00566E16">
            <w:pPr>
              <w:widowControl/>
              <w:tabs>
                <w:tab w:val="left" w:pos="2923"/>
              </w:tabs>
              <w:spacing w:before="120"/>
              <w:rPr>
                <w:rFonts w:ascii="Times New Roman" w:eastAsia="Times New Roman" w:hAnsi="Times New Roman"/>
                <w:sz w:val="26"/>
                <w:szCs w:val="26"/>
              </w:rPr>
            </w:pPr>
            <w:r w:rsidRPr="00B907EC">
              <w:rPr>
                <w:rFonts w:ascii="Times New Roman" w:eastAsia="Times New Roman" w:hAnsi="Times New Roman"/>
                <w:sz w:val="26"/>
                <w:szCs w:val="26"/>
              </w:rPr>
              <w:t>Các hành vi khác: Không yêu cầu.</w:t>
            </w:r>
          </w:p>
        </w:tc>
      </w:tr>
    </w:tbl>
    <w:p w14:paraId="2166F5A7" w14:textId="77777777" w:rsidR="007B6DAD" w:rsidRDefault="007B6DAD"/>
    <w:sectPr w:rsidR="007B6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EC"/>
    <w:rsid w:val="00496D10"/>
    <w:rsid w:val="007B6DAD"/>
    <w:rsid w:val="00B907EC"/>
    <w:rsid w:val="00BD2E0C"/>
    <w:rsid w:val="00F2004A"/>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23F8"/>
  <w15:chartTrackingRefBased/>
  <w15:docId w15:val="{B767971C-D655-407E-8034-1071E41C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7EC"/>
    <w:pPr>
      <w:widowControl w:val="0"/>
      <w:spacing w:after="0" w:line="240"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B907EC"/>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07EC"/>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07EC"/>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907EC"/>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6"/>
      <w14:ligatures w14:val="standardContextual"/>
    </w:rPr>
  </w:style>
  <w:style w:type="paragraph" w:styleId="Heading5">
    <w:name w:val="heading 5"/>
    <w:basedOn w:val="Normal"/>
    <w:next w:val="Normal"/>
    <w:link w:val="Heading5Char"/>
    <w:uiPriority w:val="9"/>
    <w:semiHidden/>
    <w:unhideWhenUsed/>
    <w:qFormat/>
    <w:rsid w:val="00B907EC"/>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6"/>
      <w14:ligatures w14:val="standardContextual"/>
    </w:rPr>
  </w:style>
  <w:style w:type="paragraph" w:styleId="Heading6">
    <w:name w:val="heading 6"/>
    <w:basedOn w:val="Normal"/>
    <w:next w:val="Normal"/>
    <w:link w:val="Heading6Char"/>
    <w:uiPriority w:val="9"/>
    <w:semiHidden/>
    <w:unhideWhenUsed/>
    <w:qFormat/>
    <w:rsid w:val="00B907EC"/>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6"/>
      <w14:ligatures w14:val="standardContextual"/>
    </w:rPr>
  </w:style>
  <w:style w:type="paragraph" w:styleId="Heading7">
    <w:name w:val="heading 7"/>
    <w:basedOn w:val="Normal"/>
    <w:next w:val="Normal"/>
    <w:link w:val="Heading7Char"/>
    <w:uiPriority w:val="9"/>
    <w:semiHidden/>
    <w:unhideWhenUsed/>
    <w:qFormat/>
    <w:rsid w:val="00B907EC"/>
    <w:pPr>
      <w:keepNext/>
      <w:keepLines/>
      <w:widowControl/>
      <w:spacing w:before="40" w:line="259" w:lineRule="auto"/>
      <w:outlineLvl w:val="6"/>
    </w:pPr>
    <w:rPr>
      <w:rFonts w:asciiTheme="minorHAnsi" w:eastAsiaTheme="majorEastAsia" w:hAnsiTheme="minorHAnsi" w:cstheme="majorBidi"/>
      <w:color w:val="595959" w:themeColor="text1" w:themeTint="A6"/>
      <w:kern w:val="2"/>
      <w:sz w:val="26"/>
      <w14:ligatures w14:val="standardContextual"/>
    </w:rPr>
  </w:style>
  <w:style w:type="paragraph" w:styleId="Heading8">
    <w:name w:val="heading 8"/>
    <w:basedOn w:val="Normal"/>
    <w:next w:val="Normal"/>
    <w:link w:val="Heading8Char"/>
    <w:uiPriority w:val="9"/>
    <w:semiHidden/>
    <w:unhideWhenUsed/>
    <w:qFormat/>
    <w:rsid w:val="00B907EC"/>
    <w:pPr>
      <w:keepNext/>
      <w:keepLines/>
      <w:widowControl/>
      <w:spacing w:line="259" w:lineRule="auto"/>
      <w:outlineLvl w:val="7"/>
    </w:pPr>
    <w:rPr>
      <w:rFonts w:asciiTheme="minorHAnsi" w:eastAsiaTheme="majorEastAsia" w:hAnsiTheme="minorHAnsi" w:cstheme="majorBidi"/>
      <w:i/>
      <w:iCs/>
      <w:color w:val="272727" w:themeColor="text1" w:themeTint="D8"/>
      <w:kern w:val="2"/>
      <w:sz w:val="26"/>
      <w14:ligatures w14:val="standardContextual"/>
    </w:rPr>
  </w:style>
  <w:style w:type="paragraph" w:styleId="Heading9">
    <w:name w:val="heading 9"/>
    <w:basedOn w:val="Normal"/>
    <w:next w:val="Normal"/>
    <w:link w:val="Heading9Char"/>
    <w:uiPriority w:val="9"/>
    <w:semiHidden/>
    <w:unhideWhenUsed/>
    <w:qFormat/>
    <w:rsid w:val="00B907EC"/>
    <w:pPr>
      <w:keepNext/>
      <w:keepLines/>
      <w:widowControl/>
      <w:spacing w:line="259" w:lineRule="auto"/>
      <w:outlineLvl w:val="8"/>
    </w:pPr>
    <w:rPr>
      <w:rFonts w:asciiTheme="minorHAnsi" w:eastAsiaTheme="majorEastAsia" w:hAnsiTheme="minorHAnsi" w:cstheme="majorBidi"/>
      <w:color w:val="272727" w:themeColor="text1" w:themeTint="D8"/>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7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7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7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7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07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07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07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07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07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07EC"/>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0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7EC"/>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07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07EC"/>
    <w:pPr>
      <w:widowControl/>
      <w:spacing w:before="160" w:after="160" w:line="259" w:lineRule="auto"/>
      <w:jc w:val="center"/>
    </w:pPr>
    <w:rPr>
      <w:rFonts w:ascii="Times New Roman" w:eastAsiaTheme="minorHAnsi" w:hAnsi="Times New Roman" w:cstheme="minorBidi"/>
      <w:i/>
      <w:iCs/>
      <w:color w:val="404040" w:themeColor="text1" w:themeTint="BF"/>
      <w:kern w:val="2"/>
      <w:sz w:val="26"/>
      <w14:ligatures w14:val="standardContextual"/>
    </w:rPr>
  </w:style>
  <w:style w:type="character" w:customStyle="1" w:styleId="QuoteChar">
    <w:name w:val="Quote Char"/>
    <w:basedOn w:val="DefaultParagraphFont"/>
    <w:link w:val="Quote"/>
    <w:uiPriority w:val="29"/>
    <w:rsid w:val="00B907EC"/>
    <w:rPr>
      <w:i/>
      <w:iCs/>
      <w:color w:val="404040" w:themeColor="text1" w:themeTint="BF"/>
    </w:rPr>
  </w:style>
  <w:style w:type="paragraph" w:styleId="ListParagraph">
    <w:name w:val="List Paragraph"/>
    <w:basedOn w:val="Normal"/>
    <w:uiPriority w:val="34"/>
    <w:qFormat/>
    <w:rsid w:val="00B907EC"/>
    <w:pPr>
      <w:widowControl/>
      <w:spacing w:after="160" w:line="259" w:lineRule="auto"/>
      <w:ind w:left="720"/>
      <w:contextualSpacing/>
    </w:pPr>
    <w:rPr>
      <w:rFonts w:ascii="Times New Roman" w:eastAsiaTheme="minorHAnsi" w:hAnsi="Times New Roman" w:cstheme="minorBidi"/>
      <w:kern w:val="2"/>
      <w:sz w:val="26"/>
      <w14:ligatures w14:val="standardContextual"/>
    </w:rPr>
  </w:style>
  <w:style w:type="character" w:styleId="IntenseEmphasis">
    <w:name w:val="Intense Emphasis"/>
    <w:basedOn w:val="DefaultParagraphFont"/>
    <w:uiPriority w:val="21"/>
    <w:qFormat/>
    <w:rsid w:val="00B907EC"/>
    <w:rPr>
      <w:i/>
      <w:iCs/>
      <w:color w:val="2F5496" w:themeColor="accent1" w:themeShade="BF"/>
    </w:rPr>
  </w:style>
  <w:style w:type="paragraph" w:styleId="IntenseQuote">
    <w:name w:val="Intense Quote"/>
    <w:basedOn w:val="Normal"/>
    <w:next w:val="Normal"/>
    <w:link w:val="IntenseQuoteChar"/>
    <w:uiPriority w:val="30"/>
    <w:qFormat/>
    <w:rsid w:val="00B907EC"/>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6"/>
      <w14:ligatures w14:val="standardContextual"/>
    </w:rPr>
  </w:style>
  <w:style w:type="character" w:customStyle="1" w:styleId="IntenseQuoteChar">
    <w:name w:val="Intense Quote Char"/>
    <w:basedOn w:val="DefaultParagraphFont"/>
    <w:link w:val="IntenseQuote"/>
    <w:uiPriority w:val="30"/>
    <w:rsid w:val="00B907EC"/>
    <w:rPr>
      <w:i/>
      <w:iCs/>
      <w:color w:val="2F5496" w:themeColor="accent1" w:themeShade="BF"/>
    </w:rPr>
  </w:style>
  <w:style w:type="character" w:styleId="IntenseReference">
    <w:name w:val="Intense Reference"/>
    <w:basedOn w:val="DefaultParagraphFont"/>
    <w:uiPriority w:val="32"/>
    <w:qFormat/>
    <w:rsid w:val="00B907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1334</Words>
  <Characters>7608</Characters>
  <Application>Microsoft Office Word</Application>
  <DocSecurity>0</DocSecurity>
  <Lines>63</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2026-03-11T07:29:00Z</dcterms:created>
  <dcterms:modified xsi:type="dcterms:W3CDTF">2026-03-11T07:30:00Z</dcterms:modified>
</cp:coreProperties>
</file>