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181190" w:rsidRDefault="00920BF7" w:rsidP="00E63B9F">
      <w:pPr>
        <w:pStyle w:val="Heading1"/>
        <w:rPr>
          <w:rFonts w:ascii="Times New Roman" w:hAnsi="Times New Roman"/>
          <w:color w:val="000000" w:themeColor="text1"/>
          <w:lang w:val="es-ES"/>
        </w:rPr>
      </w:pPr>
      <w:bookmarkStart w:id="0" w:name="_Toc154510932"/>
      <w:r w:rsidRPr="00181190">
        <w:rPr>
          <w:rFonts w:ascii="Times New Roman" w:hAnsi="Times New Roman"/>
          <w:color w:val="000000" w:themeColor="text1"/>
          <w:lang w:val="it-IT"/>
        </w:rPr>
        <w:t xml:space="preserve">PHẦN 2. ĐIỀU </w:t>
      </w:r>
      <w:r w:rsidRPr="00181190">
        <w:rPr>
          <w:rFonts w:ascii="Times New Roman" w:hAnsi="Times New Roman"/>
          <w:color w:val="000000" w:themeColor="text1"/>
          <w:lang w:val="es-ES"/>
        </w:rPr>
        <w:t>KHOẢN THAM CHIẾU</w:t>
      </w:r>
      <w:bookmarkEnd w:id="0"/>
    </w:p>
    <w:p w14:paraId="763C63F1" w14:textId="77777777" w:rsidR="00920BF7" w:rsidRPr="00181190" w:rsidRDefault="00920BF7" w:rsidP="00E63B9F">
      <w:pPr>
        <w:pStyle w:val="Heading1"/>
        <w:rPr>
          <w:rFonts w:ascii="Times New Roman" w:hAnsi="Times New Roman"/>
          <w:color w:val="000000" w:themeColor="text1"/>
          <w:lang w:val="es-ES"/>
        </w:rPr>
      </w:pPr>
      <w:bookmarkStart w:id="1" w:name="_Toc154510933"/>
      <w:bookmarkStart w:id="2" w:name="A_Chuong_V"/>
      <w:r w:rsidRPr="00181190">
        <w:rPr>
          <w:rFonts w:ascii="Times New Roman" w:hAnsi="Times New Roman"/>
          <w:color w:val="000000" w:themeColor="text1"/>
          <w:lang w:val="es-ES"/>
        </w:rPr>
        <w:t>CHƯƠNG V. ĐIỀU KHOẢN THAM CHIẾU</w:t>
      </w:r>
      <w:bookmarkEnd w:id="1"/>
    </w:p>
    <w:bookmarkEnd w:id="2"/>
    <w:p w14:paraId="15C8EAD7" w14:textId="77777777" w:rsidR="00920BF7" w:rsidRPr="00181190" w:rsidRDefault="00920BF7" w:rsidP="00C903BA">
      <w:pPr>
        <w:spacing w:before="60" w:after="60"/>
        <w:rPr>
          <w:b/>
          <w:bCs/>
          <w:color w:val="000000" w:themeColor="text1"/>
          <w:sz w:val="28"/>
          <w:szCs w:val="28"/>
          <w:lang w:val="it-IT"/>
        </w:rPr>
      </w:pPr>
      <w:r w:rsidRPr="00181190">
        <w:rPr>
          <w:b/>
          <w:color w:val="000000" w:themeColor="text1"/>
          <w:sz w:val="28"/>
          <w:szCs w:val="28"/>
          <w:lang w:val="it-IT"/>
        </w:rPr>
        <w:t>I. Giới thiệu:</w:t>
      </w:r>
    </w:p>
    <w:p w14:paraId="63934DEF" w14:textId="4F5347C9" w:rsidR="00095497" w:rsidRPr="00181190" w:rsidRDefault="00095497" w:rsidP="00095497">
      <w:pPr>
        <w:tabs>
          <w:tab w:val="left" w:pos="567"/>
        </w:tabs>
        <w:spacing w:before="60" w:line="276" w:lineRule="auto"/>
        <w:rPr>
          <w:rFonts w:eastAsia="Calibri"/>
          <w:bCs/>
          <w:color w:val="000000" w:themeColor="text1"/>
          <w:sz w:val="28"/>
          <w:szCs w:val="28"/>
          <w:lang w:val="de-DE"/>
        </w:rPr>
      </w:pPr>
      <w:r w:rsidRPr="00181190">
        <w:rPr>
          <w:rFonts w:eastAsia="Calibri"/>
          <w:bCs/>
          <w:color w:val="000000" w:themeColor="text1"/>
          <w:spacing w:val="-8"/>
          <w:sz w:val="28"/>
          <w:szCs w:val="28"/>
          <w:lang w:val="pt-BR"/>
        </w:rPr>
        <w:tab/>
        <w:t>1. Dự án:</w:t>
      </w:r>
      <w:r w:rsidRPr="00181190">
        <w:rPr>
          <w:rFonts w:eastAsia="Calibri"/>
          <w:bCs/>
          <w:color w:val="000000" w:themeColor="text1"/>
          <w:spacing w:val="-8"/>
          <w:sz w:val="28"/>
          <w:szCs w:val="28"/>
          <w:lang w:val="de-DE"/>
        </w:rPr>
        <w:t xml:space="preserve"> </w:t>
      </w:r>
      <w:r w:rsidR="006E490B" w:rsidRPr="00181190">
        <w:rPr>
          <w:rFonts w:eastAsia="Calibri"/>
          <w:bCs/>
          <w:color w:val="000000" w:themeColor="text1"/>
          <w:sz w:val="28"/>
          <w:szCs w:val="28"/>
          <w:lang w:val="de-DE"/>
        </w:rPr>
        <w:t>Thiết kế đô thị hai bên các tuyến phố Văn Miếu – Quốc Tử Giám – Nguyễn Khuyến</w:t>
      </w:r>
      <w:r w:rsidR="00D86B02" w:rsidRPr="00181190">
        <w:rPr>
          <w:rFonts w:eastAsia="Calibri"/>
          <w:bCs/>
          <w:color w:val="000000" w:themeColor="text1"/>
          <w:sz w:val="28"/>
          <w:szCs w:val="28"/>
          <w:lang w:val="de-DE"/>
        </w:rPr>
        <w:t>, tỷ lệ 1/500</w:t>
      </w:r>
    </w:p>
    <w:p w14:paraId="2521BC9E" w14:textId="084EA139" w:rsidR="00095497" w:rsidRPr="00181190" w:rsidRDefault="00095497" w:rsidP="00095497">
      <w:pPr>
        <w:tabs>
          <w:tab w:val="left" w:pos="567"/>
        </w:tabs>
        <w:spacing w:before="60" w:line="276" w:lineRule="auto"/>
        <w:rPr>
          <w:rFonts w:eastAsia="Calibri"/>
          <w:bCs/>
          <w:color w:val="000000" w:themeColor="text1"/>
          <w:sz w:val="28"/>
          <w:szCs w:val="28"/>
          <w:lang w:val="de-DE"/>
        </w:rPr>
      </w:pPr>
      <w:r w:rsidRPr="00181190">
        <w:rPr>
          <w:rFonts w:eastAsia="Calibri"/>
          <w:bCs/>
          <w:color w:val="000000" w:themeColor="text1"/>
          <w:sz w:val="28"/>
          <w:szCs w:val="28"/>
          <w:lang w:val="pt-BR"/>
        </w:rPr>
        <w:tab/>
        <w:t>2. Chủ đầu tư</w:t>
      </w:r>
      <w:r w:rsidRPr="00181190">
        <w:rPr>
          <w:rFonts w:eastAsia="Calibri"/>
          <w:bCs/>
          <w:color w:val="000000" w:themeColor="text1"/>
          <w:sz w:val="28"/>
          <w:szCs w:val="28"/>
          <w:lang w:val="de-DE"/>
        </w:rPr>
        <w:t xml:space="preserve">:  </w:t>
      </w:r>
      <w:r w:rsidRPr="00181190">
        <w:rPr>
          <w:color w:val="000000" w:themeColor="text1"/>
          <w:spacing w:val="-2"/>
          <w:sz w:val="28"/>
          <w:szCs w:val="28"/>
          <w:lang w:val="nl-NL"/>
        </w:rPr>
        <w:t>Ban Quản lý dự án đầu tư – hạ tầng phường Văn</w:t>
      </w:r>
      <w:r w:rsidRPr="00181190">
        <w:rPr>
          <w:color w:val="000000" w:themeColor="text1"/>
          <w:spacing w:val="-2"/>
          <w:sz w:val="28"/>
          <w:szCs w:val="28"/>
          <w:lang w:val="vi-VN"/>
        </w:rPr>
        <w:t xml:space="preserve"> Miếu – Quốc Tử Giám</w:t>
      </w:r>
      <w:r w:rsidRPr="00181190">
        <w:rPr>
          <w:rFonts w:eastAsia="Calibri"/>
          <w:bCs/>
          <w:color w:val="000000" w:themeColor="text1"/>
          <w:sz w:val="28"/>
          <w:szCs w:val="28"/>
          <w:lang w:val="de-DE"/>
        </w:rPr>
        <w:t>.</w:t>
      </w:r>
    </w:p>
    <w:p w14:paraId="1A4DCE5F" w14:textId="77890D31" w:rsidR="00095497" w:rsidRPr="00181190" w:rsidRDefault="00095497" w:rsidP="00095497">
      <w:pPr>
        <w:tabs>
          <w:tab w:val="left" w:pos="567"/>
        </w:tabs>
        <w:spacing w:before="60" w:line="276" w:lineRule="auto"/>
        <w:rPr>
          <w:bCs/>
          <w:color w:val="000000" w:themeColor="text1"/>
          <w:sz w:val="28"/>
          <w:szCs w:val="28"/>
        </w:rPr>
      </w:pPr>
      <w:r w:rsidRPr="00181190">
        <w:rPr>
          <w:rFonts w:eastAsia="Calibri"/>
          <w:bCs/>
          <w:color w:val="000000" w:themeColor="text1"/>
          <w:sz w:val="28"/>
          <w:szCs w:val="28"/>
        </w:rPr>
        <w:tab/>
      </w:r>
      <w:r w:rsidRPr="00181190">
        <w:rPr>
          <w:rFonts w:eastAsia="Calibri"/>
          <w:bCs/>
          <w:color w:val="000000" w:themeColor="text1"/>
          <w:sz w:val="28"/>
          <w:szCs w:val="28"/>
          <w:lang w:val="vi-VN"/>
        </w:rPr>
        <w:t>3</w:t>
      </w:r>
      <w:r w:rsidRPr="00181190">
        <w:rPr>
          <w:rFonts w:eastAsia="Calibri"/>
          <w:bCs/>
          <w:color w:val="000000" w:themeColor="text1"/>
          <w:sz w:val="28"/>
          <w:szCs w:val="28"/>
          <w:lang w:val="pt-BR"/>
        </w:rPr>
        <w:t xml:space="preserve">. Địa điểm xây dựng: </w:t>
      </w:r>
      <w:r w:rsidR="00B058BF" w:rsidRPr="00181190">
        <w:rPr>
          <w:color w:val="000000" w:themeColor="text1"/>
          <w:spacing w:val="-2"/>
          <w:sz w:val="28"/>
          <w:szCs w:val="28"/>
          <w:lang w:val="nl-NL"/>
        </w:rPr>
        <w:t>phường Văn</w:t>
      </w:r>
      <w:r w:rsidR="00B058BF" w:rsidRPr="00181190">
        <w:rPr>
          <w:color w:val="000000" w:themeColor="text1"/>
          <w:spacing w:val="-2"/>
          <w:sz w:val="28"/>
          <w:szCs w:val="28"/>
          <w:lang w:val="vi-VN"/>
        </w:rPr>
        <w:t xml:space="preserve"> Miếu – Quốc Tử Giám</w:t>
      </w:r>
      <w:r w:rsidRPr="00181190">
        <w:rPr>
          <w:bCs/>
          <w:color w:val="000000" w:themeColor="text1"/>
          <w:sz w:val="28"/>
          <w:szCs w:val="28"/>
          <w:lang w:val="vi-VN"/>
        </w:rPr>
        <w:t xml:space="preserve">. </w:t>
      </w:r>
    </w:p>
    <w:p w14:paraId="3D858DE0" w14:textId="2255A377" w:rsidR="00095497" w:rsidRPr="00181190" w:rsidRDefault="00095497" w:rsidP="00095497">
      <w:pPr>
        <w:tabs>
          <w:tab w:val="left" w:pos="567"/>
        </w:tabs>
        <w:spacing w:before="60" w:line="276" w:lineRule="auto"/>
        <w:rPr>
          <w:rFonts w:eastAsia="Calibri"/>
          <w:bCs/>
          <w:color w:val="000000" w:themeColor="text1"/>
          <w:sz w:val="28"/>
          <w:szCs w:val="28"/>
        </w:rPr>
      </w:pPr>
      <w:r w:rsidRPr="00181190">
        <w:rPr>
          <w:rFonts w:eastAsia="Calibri"/>
          <w:bCs/>
          <w:color w:val="000000" w:themeColor="text1"/>
          <w:sz w:val="28"/>
          <w:szCs w:val="28"/>
        </w:rPr>
        <w:tab/>
      </w:r>
      <w:r w:rsidRPr="00181190">
        <w:rPr>
          <w:rFonts w:eastAsia="Calibri"/>
          <w:bCs/>
          <w:color w:val="000000" w:themeColor="text1"/>
          <w:sz w:val="28"/>
          <w:szCs w:val="28"/>
          <w:lang w:val="vi-VN"/>
        </w:rPr>
        <w:t>4</w:t>
      </w:r>
      <w:r w:rsidRPr="00181190">
        <w:rPr>
          <w:rFonts w:eastAsia="Calibri"/>
          <w:bCs/>
          <w:color w:val="000000" w:themeColor="text1"/>
          <w:sz w:val="28"/>
          <w:szCs w:val="28"/>
          <w:lang w:val="pt-BR"/>
        </w:rPr>
        <w:t xml:space="preserve">. Nội dung và Quy mô đầu tư xây dựng: </w:t>
      </w:r>
      <w:r w:rsidRPr="00181190">
        <w:rPr>
          <w:rFonts w:eastAsia="Calibri"/>
          <w:bCs/>
          <w:color w:val="000000" w:themeColor="text1"/>
          <w:sz w:val="28"/>
          <w:szCs w:val="28"/>
        </w:rPr>
        <w:t xml:space="preserve">Có </w:t>
      </w:r>
      <w:r w:rsidRPr="00181190">
        <w:rPr>
          <w:rFonts w:eastAsia="Calibri"/>
          <w:bCs/>
          <w:color w:val="000000" w:themeColor="text1"/>
          <w:sz w:val="28"/>
          <w:szCs w:val="28"/>
          <w:lang w:val="vi-VN"/>
        </w:rPr>
        <w:t xml:space="preserve">Nhiệm vụ </w:t>
      </w:r>
      <w:r w:rsidR="00B058BF" w:rsidRPr="00181190">
        <w:rPr>
          <w:rFonts w:eastAsia="Calibri"/>
          <w:bCs/>
          <w:color w:val="000000" w:themeColor="text1"/>
          <w:sz w:val="28"/>
          <w:szCs w:val="28"/>
          <w:lang w:val="de-DE"/>
        </w:rPr>
        <w:t>Thiết kế đô thị hai bên các tuyến phố Văn Miếu – Quốc Tử Giám – Nguyễn Khuyến, tỷ lệ 1/500</w:t>
      </w:r>
      <w:r w:rsidR="00C903BA" w:rsidRPr="00181190">
        <w:rPr>
          <w:rFonts w:eastAsia="Calibri"/>
          <w:bCs/>
          <w:color w:val="000000" w:themeColor="text1"/>
          <w:sz w:val="28"/>
          <w:szCs w:val="28"/>
        </w:rPr>
        <w:t xml:space="preserve"> kèm theo.</w:t>
      </w:r>
    </w:p>
    <w:p w14:paraId="47A0A69D" w14:textId="2F52DFAF" w:rsidR="00095497" w:rsidRPr="00181190" w:rsidRDefault="00095497" w:rsidP="00095497">
      <w:pPr>
        <w:tabs>
          <w:tab w:val="left" w:pos="567"/>
        </w:tabs>
        <w:spacing w:before="60" w:line="276" w:lineRule="auto"/>
        <w:ind w:left="567"/>
        <w:rPr>
          <w:rFonts w:eastAsia="Calibri"/>
          <w:bCs/>
          <w:color w:val="000000" w:themeColor="text1"/>
          <w:sz w:val="28"/>
          <w:szCs w:val="28"/>
          <w:lang w:val="vi-VN"/>
        </w:rPr>
      </w:pPr>
      <w:r w:rsidRPr="00181190">
        <w:rPr>
          <w:rFonts w:eastAsia="Calibri"/>
          <w:bCs/>
          <w:color w:val="000000" w:themeColor="text1"/>
          <w:sz w:val="28"/>
          <w:szCs w:val="28"/>
          <w:lang w:val="vi-VN"/>
        </w:rPr>
        <w:t xml:space="preserve">4. Dự kiến Tổng mức đầu tư: </w:t>
      </w:r>
      <w:r w:rsidR="00B058BF" w:rsidRPr="00181190">
        <w:rPr>
          <w:b/>
          <w:bCs/>
          <w:color w:val="000000" w:themeColor="text1"/>
          <w:sz w:val="28"/>
          <w:szCs w:val="28"/>
        </w:rPr>
        <w:t>1.118.167.000</w:t>
      </w:r>
      <w:r w:rsidR="00C903BA" w:rsidRPr="00181190">
        <w:rPr>
          <w:b/>
          <w:bCs/>
          <w:color w:val="000000" w:themeColor="text1"/>
          <w:sz w:val="28"/>
          <w:szCs w:val="28"/>
          <w:lang w:val="vi-VN"/>
        </w:rPr>
        <w:t xml:space="preserve"> </w:t>
      </w:r>
      <w:r w:rsidRPr="00181190">
        <w:rPr>
          <w:rFonts w:eastAsia="Calibri"/>
          <w:bCs/>
          <w:color w:val="000000" w:themeColor="text1"/>
          <w:sz w:val="28"/>
          <w:szCs w:val="28"/>
          <w:lang w:val="vi-VN"/>
        </w:rPr>
        <w:t>đồng.</w:t>
      </w:r>
    </w:p>
    <w:p w14:paraId="79249F83" w14:textId="40E60375" w:rsidR="00095497" w:rsidRPr="00181190" w:rsidRDefault="00095497" w:rsidP="00095497">
      <w:pPr>
        <w:tabs>
          <w:tab w:val="left" w:pos="567"/>
        </w:tabs>
        <w:spacing w:before="60" w:line="276" w:lineRule="auto"/>
        <w:ind w:left="567"/>
        <w:rPr>
          <w:rFonts w:eastAsia="Calibri"/>
          <w:bCs/>
          <w:color w:val="000000" w:themeColor="text1"/>
          <w:sz w:val="28"/>
          <w:szCs w:val="28"/>
          <w:lang w:val="vi-VN"/>
        </w:rPr>
      </w:pPr>
      <w:r w:rsidRPr="00181190">
        <w:rPr>
          <w:rFonts w:eastAsia="Calibri"/>
          <w:bCs/>
          <w:color w:val="000000" w:themeColor="text1"/>
          <w:sz w:val="28"/>
          <w:szCs w:val="28"/>
          <w:lang w:val="vi-VN"/>
        </w:rPr>
        <w:t xml:space="preserve">5. Nguồn vốn đầu tư: Vốn </w:t>
      </w:r>
      <w:r w:rsidR="00C903BA" w:rsidRPr="00181190">
        <w:rPr>
          <w:color w:val="000000" w:themeColor="text1"/>
          <w:sz w:val="28"/>
          <w:szCs w:val="28"/>
        </w:rPr>
        <w:t>Ngân sách Phường</w:t>
      </w:r>
      <w:r w:rsidRPr="00181190">
        <w:rPr>
          <w:rFonts w:eastAsia="Calibri"/>
          <w:bCs/>
          <w:color w:val="000000" w:themeColor="text1"/>
          <w:sz w:val="28"/>
          <w:szCs w:val="28"/>
          <w:lang w:val="vi-VN"/>
        </w:rPr>
        <w:t>.</w:t>
      </w:r>
    </w:p>
    <w:p w14:paraId="0D085390" w14:textId="77777777" w:rsidR="00095497" w:rsidRPr="00181190" w:rsidRDefault="00095497" w:rsidP="00095497">
      <w:pPr>
        <w:tabs>
          <w:tab w:val="left" w:pos="567"/>
        </w:tabs>
        <w:spacing w:before="60" w:line="276" w:lineRule="auto"/>
        <w:ind w:left="567"/>
        <w:rPr>
          <w:rFonts w:eastAsia="Calibri"/>
          <w:bCs/>
          <w:color w:val="000000" w:themeColor="text1"/>
          <w:sz w:val="28"/>
          <w:szCs w:val="28"/>
          <w:lang w:val="vi-VN"/>
        </w:rPr>
      </w:pPr>
      <w:r w:rsidRPr="00181190">
        <w:rPr>
          <w:rFonts w:eastAsia="Calibri"/>
          <w:bCs/>
          <w:color w:val="000000" w:themeColor="text1"/>
          <w:sz w:val="28"/>
          <w:szCs w:val="28"/>
          <w:lang w:val="vi-VN"/>
        </w:rPr>
        <w:t xml:space="preserve">6. Hình thức quản lý dự án: Chủ đầu tư trực tiếp quản lý dự án. </w:t>
      </w:r>
    </w:p>
    <w:p w14:paraId="2D05E5B7" w14:textId="36CA9A8F" w:rsidR="00920BF7" w:rsidRPr="00181190" w:rsidRDefault="00095497" w:rsidP="00C903BA">
      <w:pPr>
        <w:spacing w:before="60" w:after="60"/>
        <w:ind w:firstLine="567"/>
        <w:rPr>
          <w:i/>
          <w:color w:val="000000" w:themeColor="text1"/>
          <w:sz w:val="28"/>
          <w:szCs w:val="28"/>
          <w:lang w:val="it-IT"/>
        </w:rPr>
      </w:pPr>
      <w:r w:rsidRPr="00181190">
        <w:rPr>
          <w:rFonts w:eastAsia="Calibri"/>
          <w:bCs/>
          <w:color w:val="000000" w:themeColor="text1"/>
          <w:sz w:val="28"/>
          <w:szCs w:val="28"/>
          <w:lang w:val="vi-VN"/>
        </w:rPr>
        <w:t>7. Thời gian thực hiện: Năm 202</w:t>
      </w:r>
      <w:r w:rsidR="00D86B02" w:rsidRPr="00181190">
        <w:rPr>
          <w:rFonts w:eastAsia="Calibri"/>
          <w:bCs/>
          <w:color w:val="000000" w:themeColor="text1"/>
          <w:sz w:val="28"/>
          <w:szCs w:val="28"/>
        </w:rPr>
        <w:t>6</w:t>
      </w:r>
      <w:r w:rsidRPr="00181190">
        <w:rPr>
          <w:rFonts w:eastAsia="Calibri"/>
          <w:bCs/>
          <w:color w:val="000000" w:themeColor="text1"/>
          <w:sz w:val="28"/>
          <w:szCs w:val="28"/>
          <w:lang w:val="vi-VN"/>
        </w:rPr>
        <w:t>.</w:t>
      </w:r>
    </w:p>
    <w:p w14:paraId="564A56A6" w14:textId="77777777" w:rsidR="00920BF7" w:rsidRPr="00181190" w:rsidRDefault="00920BF7" w:rsidP="00C903BA">
      <w:pPr>
        <w:spacing w:before="60" w:after="60"/>
        <w:rPr>
          <w:b/>
          <w:bCs/>
          <w:color w:val="000000" w:themeColor="text1"/>
          <w:sz w:val="28"/>
          <w:szCs w:val="28"/>
          <w:lang w:val="it-IT"/>
        </w:rPr>
      </w:pPr>
      <w:r w:rsidRPr="00181190">
        <w:rPr>
          <w:b/>
          <w:color w:val="000000" w:themeColor="text1"/>
          <w:sz w:val="28"/>
          <w:szCs w:val="28"/>
          <w:lang w:val="it-IT"/>
        </w:rPr>
        <w:t>II. Phạm vi công việc:</w:t>
      </w:r>
    </w:p>
    <w:p w14:paraId="50C417F4" w14:textId="77777777" w:rsidR="00C903BA" w:rsidRPr="00181190" w:rsidRDefault="00C903BA" w:rsidP="00C903BA">
      <w:pPr>
        <w:spacing w:before="60" w:line="276" w:lineRule="auto"/>
        <w:ind w:firstLine="540"/>
        <w:rPr>
          <w:rFonts w:eastAsia="Calibri"/>
          <w:bCs/>
          <w:i/>
          <w:color w:val="000000" w:themeColor="text1"/>
          <w:sz w:val="28"/>
          <w:szCs w:val="28"/>
          <w:lang w:val="pt-BR"/>
        </w:rPr>
      </w:pPr>
      <w:r w:rsidRPr="00181190">
        <w:rPr>
          <w:rFonts w:eastAsia="Calibri"/>
          <w:i/>
          <w:color w:val="000000" w:themeColor="text1"/>
          <w:sz w:val="28"/>
          <w:szCs w:val="28"/>
          <w:lang w:val="pt-BR"/>
        </w:rPr>
        <w:t>1. Phạm vi công việc của Nhà thầu</w:t>
      </w:r>
      <w:r w:rsidRPr="00181190">
        <w:rPr>
          <w:rFonts w:eastAsia="Calibri"/>
          <w:bCs/>
          <w:i/>
          <w:color w:val="000000" w:themeColor="text1"/>
          <w:sz w:val="28"/>
          <w:szCs w:val="28"/>
          <w:lang w:val="pt-BR"/>
        </w:rPr>
        <w:t>:</w:t>
      </w:r>
    </w:p>
    <w:p w14:paraId="397E18E4" w14:textId="1A8E8498" w:rsidR="00C903BA" w:rsidRPr="00181190" w:rsidRDefault="00C903BA" w:rsidP="00C903BA">
      <w:pPr>
        <w:spacing w:before="60" w:line="276" w:lineRule="auto"/>
        <w:ind w:firstLine="540"/>
        <w:rPr>
          <w:rFonts w:eastAsia="Calibri"/>
          <w:color w:val="000000" w:themeColor="text1"/>
          <w:sz w:val="28"/>
          <w:szCs w:val="28"/>
          <w:lang w:val="de-DE"/>
        </w:rPr>
      </w:pPr>
      <w:r w:rsidRPr="00181190">
        <w:rPr>
          <w:rFonts w:eastAsia="Calibri"/>
          <w:color w:val="000000" w:themeColor="text1"/>
          <w:sz w:val="28"/>
          <w:szCs w:val="28"/>
          <w:lang w:val="de-DE"/>
        </w:rPr>
        <w:t xml:space="preserve">- Thu thập dữ liệu từ các nguồn: Chủ đầu tư, bên mời thầu, và các cơ quan liên quan phục vụ công tác </w:t>
      </w:r>
      <w:r w:rsidRPr="00181190">
        <w:rPr>
          <w:color w:val="000000" w:themeColor="text1"/>
          <w:sz w:val="28"/>
          <w:szCs w:val="28"/>
          <w:lang w:val="pt-BR"/>
        </w:rPr>
        <w:t xml:space="preserve">lập </w:t>
      </w:r>
      <w:r w:rsidR="00B058BF" w:rsidRPr="00181190">
        <w:rPr>
          <w:rFonts w:eastAsia="Calibri"/>
          <w:bCs/>
          <w:color w:val="000000" w:themeColor="text1"/>
          <w:sz w:val="28"/>
          <w:szCs w:val="28"/>
          <w:lang w:val="vi-VN"/>
        </w:rPr>
        <w:t>Thiết kế đô thị hai bên các tuyến phố Văn Miếu – Quốc Tử Giám – Nguyễn Khuyến, tỷ lệ 1/500</w:t>
      </w:r>
      <w:r w:rsidRPr="00181190">
        <w:rPr>
          <w:rFonts w:eastAsia="Calibri"/>
          <w:color w:val="000000" w:themeColor="text1"/>
          <w:sz w:val="28"/>
          <w:szCs w:val="28"/>
          <w:lang w:val="de-DE"/>
        </w:rPr>
        <w:t>.</w:t>
      </w:r>
    </w:p>
    <w:p w14:paraId="358DA4D7" w14:textId="77777777" w:rsidR="00C903BA" w:rsidRPr="00181190" w:rsidRDefault="00C903BA" w:rsidP="00C903BA">
      <w:pPr>
        <w:spacing w:before="60" w:line="276" w:lineRule="auto"/>
        <w:ind w:firstLine="539"/>
        <w:rPr>
          <w:rFonts w:eastAsia="Calibri"/>
          <w:color w:val="000000" w:themeColor="text1"/>
          <w:sz w:val="28"/>
          <w:szCs w:val="28"/>
          <w:lang w:val="de-DE"/>
        </w:rPr>
      </w:pPr>
      <w:r w:rsidRPr="00181190">
        <w:rPr>
          <w:rFonts w:eastAsia="Calibri"/>
          <w:color w:val="000000" w:themeColor="text1"/>
          <w:sz w:val="28"/>
          <w:szCs w:val="28"/>
          <w:lang w:val="de-DE"/>
        </w:rPr>
        <w:t>- Nhà thầu có quyền phúc khảo các kết quả của tài liệu đo vẽ bản đồ, khảo sát địa hình, địa chất để phục vụ cho việc lập thiết kế quy hoạch xây dựng công trình đảm bảo đạt được tối ưu các yêu cầu của dự án nếu thấy cần thiết.</w:t>
      </w:r>
    </w:p>
    <w:p w14:paraId="457707DF" w14:textId="15F9A6EC" w:rsidR="00920BF7" w:rsidRPr="00181190" w:rsidRDefault="00C903BA" w:rsidP="00C903BA">
      <w:pPr>
        <w:spacing w:before="60" w:after="60"/>
        <w:ind w:firstLine="720"/>
        <w:rPr>
          <w:rFonts w:eastAsia="Calibri"/>
          <w:color w:val="000000" w:themeColor="text1"/>
          <w:sz w:val="28"/>
          <w:szCs w:val="28"/>
          <w:lang w:val="de-DE"/>
        </w:rPr>
      </w:pPr>
      <w:r w:rsidRPr="00181190">
        <w:rPr>
          <w:rFonts w:eastAsia="Calibri"/>
          <w:color w:val="000000" w:themeColor="text1"/>
          <w:sz w:val="28"/>
          <w:szCs w:val="28"/>
          <w:lang w:val="de-DE"/>
        </w:rPr>
        <w:t>- Giám sát tác giả: Nhà thầu thực hiện giám sát tác giả đối với tất cả các hạng mục công trình thuộc phạm vi của Gói thầu. Nhà thầu phải nêu rõ kế hoạch giám sát tác giả, các yêu cầu đáp ứng và tuân thủ theo các quy định hiện hành. Tiến độ giám sát tác giả nhà thầu phải tuân thủ tiến độ thi công chung của dự án.</w:t>
      </w:r>
    </w:p>
    <w:p w14:paraId="5DFD4291" w14:textId="77777777" w:rsidR="00C903BA" w:rsidRPr="00181190" w:rsidRDefault="00C903BA" w:rsidP="00C903BA">
      <w:pPr>
        <w:spacing w:before="60" w:line="276" w:lineRule="auto"/>
        <w:rPr>
          <w:rFonts w:eastAsia="Calibri"/>
          <w:i/>
          <w:color w:val="000000" w:themeColor="text1"/>
          <w:sz w:val="28"/>
          <w:szCs w:val="28"/>
          <w:lang w:val="pt-BR"/>
        </w:rPr>
      </w:pPr>
      <w:r w:rsidRPr="00181190">
        <w:rPr>
          <w:rFonts w:eastAsia="Calibri"/>
          <w:i/>
          <w:color w:val="000000" w:themeColor="text1"/>
          <w:sz w:val="28"/>
          <w:szCs w:val="28"/>
          <w:lang w:val="pt-BR"/>
        </w:rPr>
        <w:t>2.  Sản phẩm cụ thể nhà thầu phải giao nộp:</w:t>
      </w:r>
    </w:p>
    <w:p w14:paraId="57EF9D0D" w14:textId="77777777" w:rsidR="00C903BA" w:rsidRPr="00181190" w:rsidRDefault="00C903BA" w:rsidP="00C903BA">
      <w:pPr>
        <w:spacing w:before="60" w:line="252" w:lineRule="auto"/>
        <w:ind w:firstLine="720"/>
        <w:rPr>
          <w:rFonts w:eastAsia="Calibri"/>
          <w:color w:val="000000" w:themeColor="text1"/>
          <w:sz w:val="28"/>
          <w:szCs w:val="28"/>
          <w:lang w:val="de-DE"/>
        </w:rPr>
      </w:pPr>
      <w:r w:rsidRPr="00181190">
        <w:rPr>
          <w:rFonts w:eastAsia="Calibri"/>
          <w:color w:val="000000" w:themeColor="text1"/>
          <w:sz w:val="28"/>
          <w:szCs w:val="28"/>
          <w:lang w:val="de-DE"/>
        </w:rPr>
        <w:t>- Bản vẽ và thuyết minh thiết kế quy hoạch xây dựng công trình: toàn bộ các hạng mục công trình thuộc phạm vi thiết kế của gói thầu.</w:t>
      </w:r>
    </w:p>
    <w:p w14:paraId="1E68D68A" w14:textId="77777777" w:rsidR="00C903BA" w:rsidRPr="00181190" w:rsidRDefault="00C903BA" w:rsidP="00C903BA">
      <w:pPr>
        <w:spacing w:before="60" w:line="252" w:lineRule="auto"/>
        <w:ind w:firstLine="540"/>
        <w:rPr>
          <w:rFonts w:eastAsia="Calibri"/>
          <w:color w:val="000000" w:themeColor="text1"/>
          <w:sz w:val="28"/>
          <w:szCs w:val="28"/>
          <w:lang w:val="de-DE"/>
        </w:rPr>
      </w:pPr>
      <w:r w:rsidRPr="00181190">
        <w:rPr>
          <w:rFonts w:eastAsia="Calibri"/>
          <w:color w:val="000000" w:themeColor="text1"/>
          <w:sz w:val="28"/>
          <w:szCs w:val="28"/>
          <w:lang w:val="de-DE"/>
        </w:rPr>
        <w:t xml:space="preserve">  - Sản phẩm giao nộp gồm: </w:t>
      </w:r>
    </w:p>
    <w:p w14:paraId="36FB254E" w14:textId="77777777" w:rsidR="00C903BA" w:rsidRPr="00181190" w:rsidRDefault="00C903BA" w:rsidP="00C903BA">
      <w:pPr>
        <w:spacing w:before="60" w:line="252" w:lineRule="auto"/>
        <w:ind w:firstLine="720"/>
        <w:rPr>
          <w:rFonts w:eastAsia="Calibri"/>
          <w:color w:val="000000" w:themeColor="text1"/>
          <w:sz w:val="28"/>
          <w:szCs w:val="28"/>
          <w:lang w:val="de-DE"/>
        </w:rPr>
      </w:pPr>
      <w:r w:rsidRPr="00181190">
        <w:rPr>
          <w:rFonts w:eastAsia="Calibri"/>
          <w:color w:val="000000" w:themeColor="text1"/>
          <w:sz w:val="28"/>
          <w:szCs w:val="28"/>
          <w:lang w:val="de-DE"/>
        </w:rPr>
        <w:t>+ 06 bộ bản vẽ thiết kế quy hoạch xây dựng công trình;</w:t>
      </w:r>
    </w:p>
    <w:p w14:paraId="5BD2EB83" w14:textId="77777777" w:rsidR="00C903BA" w:rsidRPr="00181190" w:rsidRDefault="00C903BA" w:rsidP="00C903BA">
      <w:pPr>
        <w:spacing w:before="60" w:line="252" w:lineRule="auto"/>
        <w:ind w:firstLine="720"/>
        <w:rPr>
          <w:rFonts w:eastAsia="Calibri"/>
          <w:color w:val="000000" w:themeColor="text1"/>
          <w:sz w:val="28"/>
          <w:szCs w:val="28"/>
          <w:lang w:val="de-DE"/>
        </w:rPr>
      </w:pPr>
      <w:r w:rsidRPr="00181190">
        <w:rPr>
          <w:rFonts w:eastAsia="Calibri"/>
          <w:color w:val="000000" w:themeColor="text1"/>
          <w:sz w:val="28"/>
          <w:szCs w:val="28"/>
          <w:lang w:val="de-DE"/>
        </w:rPr>
        <w:t>+ 02 thẻ nhớ USB ghi dữ liệu toàn bộ hồ sơ thiết kế quy hoạch xây dựng công trình. Dữ liệu ghi phải đảm bảo Chủ đầu tư mở, đọc và sử dụng được.</w:t>
      </w:r>
    </w:p>
    <w:p w14:paraId="45A1FA0C" w14:textId="77777777" w:rsidR="00C903BA" w:rsidRPr="00181190" w:rsidRDefault="00C903BA" w:rsidP="00C903BA">
      <w:pPr>
        <w:spacing w:before="60" w:line="252" w:lineRule="auto"/>
        <w:rPr>
          <w:rFonts w:eastAsia="Calibri"/>
          <w:i/>
          <w:color w:val="000000" w:themeColor="text1"/>
          <w:sz w:val="28"/>
          <w:szCs w:val="28"/>
          <w:lang w:val="pt-BR"/>
        </w:rPr>
      </w:pPr>
      <w:r w:rsidRPr="00181190">
        <w:rPr>
          <w:rFonts w:eastAsia="Calibri"/>
          <w:i/>
          <w:color w:val="000000" w:themeColor="text1"/>
          <w:sz w:val="28"/>
          <w:szCs w:val="28"/>
          <w:lang w:val="pt-BR"/>
        </w:rPr>
        <w:t>3. Một số yêu cầu cần lưu ý:</w:t>
      </w:r>
    </w:p>
    <w:p w14:paraId="7202890E" w14:textId="77777777" w:rsidR="00C903BA" w:rsidRPr="00181190" w:rsidRDefault="00C903BA" w:rsidP="00C903BA">
      <w:pPr>
        <w:spacing w:before="60" w:line="252" w:lineRule="auto"/>
        <w:ind w:firstLine="720"/>
        <w:rPr>
          <w:rFonts w:eastAsia="Calibri"/>
          <w:color w:val="000000" w:themeColor="text1"/>
          <w:sz w:val="28"/>
          <w:szCs w:val="28"/>
          <w:lang w:val="de-DE"/>
        </w:rPr>
      </w:pPr>
      <w:r w:rsidRPr="00181190">
        <w:rPr>
          <w:rFonts w:eastAsia="Calibri"/>
          <w:color w:val="000000" w:themeColor="text1"/>
          <w:sz w:val="28"/>
          <w:szCs w:val="28"/>
          <w:lang w:val="de-DE"/>
        </w:rPr>
        <w:t>- Khối lượng yêu cầu Hồ sơ bản vẽ và thuyết minh của công trình được nêu trên đây là căn cứ để các nhà thầu soạn thảo và tính toán giá dự thầu.</w:t>
      </w:r>
    </w:p>
    <w:p w14:paraId="63F56AB7" w14:textId="6650D119" w:rsidR="00C903BA" w:rsidRPr="00181190" w:rsidRDefault="00C903BA" w:rsidP="00C903BA">
      <w:pPr>
        <w:spacing w:before="60" w:after="60"/>
        <w:ind w:firstLine="720"/>
        <w:rPr>
          <w:rFonts w:eastAsia="Calibri"/>
          <w:color w:val="000000" w:themeColor="text1"/>
          <w:sz w:val="28"/>
          <w:szCs w:val="28"/>
          <w:lang w:val="de-DE"/>
        </w:rPr>
      </w:pPr>
      <w:r w:rsidRPr="00181190">
        <w:rPr>
          <w:rFonts w:eastAsia="Calibri"/>
          <w:color w:val="000000" w:themeColor="text1"/>
          <w:sz w:val="28"/>
          <w:szCs w:val="28"/>
          <w:lang w:val="de-DE"/>
        </w:rPr>
        <w:t>- Khối lượng thanh toán sẽ được xác định theo khối lượng nghiệm thu thực tế của hồ sơ thiết kế và được cấp có thẩm quyền phê duyệt.</w:t>
      </w:r>
    </w:p>
    <w:p w14:paraId="7D43786D" w14:textId="599E3BB8" w:rsidR="00C903BA" w:rsidRPr="00181190" w:rsidRDefault="00C903BA" w:rsidP="00C903BA">
      <w:pPr>
        <w:spacing w:before="60"/>
        <w:rPr>
          <w:rFonts w:eastAsia="Calibri"/>
          <w:b/>
          <w:color w:val="000000" w:themeColor="text1"/>
          <w:sz w:val="28"/>
          <w:szCs w:val="28"/>
          <w:lang w:val="pt-BR"/>
        </w:rPr>
      </w:pPr>
      <w:r w:rsidRPr="00181190">
        <w:rPr>
          <w:rFonts w:eastAsia="Calibri"/>
          <w:b/>
          <w:color w:val="000000" w:themeColor="text1"/>
          <w:sz w:val="28"/>
          <w:szCs w:val="28"/>
          <w:lang w:val="pt-BR"/>
        </w:rPr>
        <w:t>III. Trách nhiệm và hỗ trợ của chủ đầu tư:</w:t>
      </w:r>
    </w:p>
    <w:p w14:paraId="206FD90C" w14:textId="77777777" w:rsidR="00C903BA" w:rsidRPr="00181190" w:rsidRDefault="00C903BA" w:rsidP="00C903BA">
      <w:pPr>
        <w:spacing w:before="60"/>
        <w:ind w:firstLine="720"/>
        <w:rPr>
          <w:rFonts w:eastAsia="Calibri"/>
          <w:color w:val="000000" w:themeColor="text1"/>
          <w:sz w:val="28"/>
          <w:szCs w:val="28"/>
          <w:lang w:val="pt-BR"/>
        </w:rPr>
      </w:pPr>
      <w:r w:rsidRPr="00181190">
        <w:rPr>
          <w:rFonts w:eastAsia="Calibri"/>
          <w:color w:val="000000" w:themeColor="text1"/>
          <w:sz w:val="28"/>
          <w:szCs w:val="28"/>
          <w:lang w:val="pt-BR"/>
        </w:rPr>
        <w:lastRenderedPageBreak/>
        <w:t xml:space="preserve">- Cung cấp các văn bản, giấy tờ liên quan đến dự án hiện có, các văn bản phê duyệt dự án đầu tư, các tài liệu quy hoạch, khảo sát đã thực hiện trong giai đoạn chuẩn bị đầu tư dự án. </w:t>
      </w:r>
    </w:p>
    <w:p w14:paraId="7DE6671D" w14:textId="77777777" w:rsidR="00C903BA" w:rsidRPr="00181190" w:rsidRDefault="00C903BA" w:rsidP="00C903BA">
      <w:pPr>
        <w:spacing w:before="60"/>
        <w:ind w:firstLine="720"/>
        <w:rPr>
          <w:rFonts w:eastAsia="Calibri"/>
          <w:color w:val="000000" w:themeColor="text1"/>
          <w:sz w:val="28"/>
          <w:szCs w:val="28"/>
          <w:lang w:val="pt-BR"/>
        </w:rPr>
      </w:pPr>
      <w:r w:rsidRPr="00181190">
        <w:rPr>
          <w:rFonts w:eastAsia="Calibri"/>
          <w:color w:val="000000" w:themeColor="text1"/>
          <w:sz w:val="28"/>
          <w:szCs w:val="28"/>
          <w:lang w:val="pt-BR"/>
        </w:rPr>
        <w:t xml:space="preserve">- Cung cấp các công văn giới thiệu cần thiết để tư vấn liên hệ với các cơ quan giải quyết các vấn đề có liên quan đến việc thực hiện dự án (nếu cần). </w:t>
      </w:r>
    </w:p>
    <w:p w14:paraId="0B0EC7DD" w14:textId="77777777" w:rsidR="00C903BA" w:rsidRPr="00181190" w:rsidRDefault="00C903BA" w:rsidP="00C903BA">
      <w:pPr>
        <w:spacing w:before="60"/>
        <w:ind w:firstLine="720"/>
        <w:rPr>
          <w:rFonts w:eastAsia="Calibri"/>
          <w:color w:val="000000" w:themeColor="text1"/>
          <w:sz w:val="28"/>
          <w:szCs w:val="28"/>
          <w:lang w:val="pt-BR"/>
        </w:rPr>
      </w:pPr>
      <w:r w:rsidRPr="00181190">
        <w:rPr>
          <w:rFonts w:eastAsia="Calibri"/>
          <w:color w:val="000000" w:themeColor="text1"/>
          <w:sz w:val="28"/>
          <w:szCs w:val="28"/>
          <w:lang w:val="pt-BR"/>
        </w:rPr>
        <w:t xml:space="preserve">- Tạo điều kiện thuận lợi cho tư vấn thực hiện nhiệm vụ. </w:t>
      </w:r>
    </w:p>
    <w:p w14:paraId="5116145E" w14:textId="77777777" w:rsidR="00C903BA" w:rsidRPr="00181190" w:rsidRDefault="00C903BA" w:rsidP="00C903BA">
      <w:pPr>
        <w:spacing w:before="60"/>
        <w:ind w:firstLine="720"/>
        <w:rPr>
          <w:rFonts w:eastAsia="Calibri"/>
          <w:color w:val="000000" w:themeColor="text1"/>
          <w:sz w:val="28"/>
          <w:szCs w:val="28"/>
          <w:lang w:val="pt-BR"/>
        </w:rPr>
      </w:pPr>
      <w:r w:rsidRPr="00181190">
        <w:rPr>
          <w:rFonts w:eastAsia="Calibri"/>
          <w:color w:val="000000" w:themeColor="text1"/>
          <w:sz w:val="28"/>
          <w:szCs w:val="28"/>
          <w:lang w:val="pt-BR"/>
        </w:rPr>
        <w:t xml:space="preserve">- Cử cán bộ có trình độ phù hợp cung cấp thông tin và tài liệu liên quan cho cơ quan tư vấn thực hiện nhiệm vụ. </w:t>
      </w:r>
    </w:p>
    <w:p w14:paraId="571844FF" w14:textId="77777777" w:rsidR="00C903BA" w:rsidRPr="00181190" w:rsidRDefault="00C903BA" w:rsidP="00C903BA">
      <w:pPr>
        <w:spacing w:before="60"/>
        <w:ind w:firstLine="720"/>
        <w:rPr>
          <w:rFonts w:eastAsia="Calibri"/>
          <w:color w:val="000000" w:themeColor="text1"/>
          <w:sz w:val="28"/>
          <w:szCs w:val="28"/>
          <w:lang w:val="pt-BR"/>
        </w:rPr>
      </w:pPr>
      <w:r w:rsidRPr="00181190">
        <w:rPr>
          <w:rFonts w:eastAsia="Calibri"/>
          <w:color w:val="000000" w:themeColor="text1"/>
          <w:sz w:val="28"/>
          <w:szCs w:val="28"/>
          <w:lang w:val="pt-BR"/>
        </w:rPr>
        <w:t>- Tạm ứng và thanh toán cho tư vấn theo hợp đồng và đúng quy định.</w:t>
      </w:r>
    </w:p>
    <w:p w14:paraId="591BC539" w14:textId="77777777" w:rsidR="00C903BA" w:rsidRPr="00181190" w:rsidRDefault="00C903BA" w:rsidP="00C903BA">
      <w:pPr>
        <w:spacing w:before="60"/>
        <w:ind w:firstLine="720"/>
        <w:jc w:val="left"/>
        <w:rPr>
          <w:rFonts w:eastAsia="Calibri"/>
          <w:color w:val="000000" w:themeColor="text1"/>
          <w:sz w:val="28"/>
          <w:szCs w:val="28"/>
          <w:lang w:val="pt-BR"/>
        </w:rPr>
      </w:pPr>
      <w:r w:rsidRPr="00181190">
        <w:rPr>
          <w:rFonts w:eastAsia="Calibri"/>
          <w:color w:val="000000" w:themeColor="text1"/>
          <w:sz w:val="28"/>
          <w:szCs w:val="28"/>
          <w:lang w:val="pt-BR"/>
        </w:rPr>
        <w:t>- Thanh lý hợp đồng sau khi kết thúc công việc theo đúng quy định.</w:t>
      </w:r>
    </w:p>
    <w:p w14:paraId="196A0CB4" w14:textId="7938FD60" w:rsidR="00C903BA" w:rsidRPr="00181190" w:rsidRDefault="00C903BA" w:rsidP="00C903BA">
      <w:pPr>
        <w:spacing w:before="60"/>
        <w:rPr>
          <w:rFonts w:eastAsia="Calibri"/>
          <w:b/>
          <w:color w:val="000000" w:themeColor="text1"/>
          <w:sz w:val="28"/>
          <w:szCs w:val="28"/>
          <w:lang w:val="fr-FR"/>
        </w:rPr>
      </w:pPr>
      <w:r w:rsidRPr="00181190">
        <w:rPr>
          <w:rFonts w:eastAsia="Calibri"/>
          <w:b/>
          <w:color w:val="000000" w:themeColor="text1"/>
          <w:sz w:val="28"/>
          <w:szCs w:val="28"/>
          <w:lang w:val="fr-FR"/>
        </w:rPr>
        <w:t>IV. Yêu cầu tuân thủ các văn bản pháp lý.</w:t>
      </w:r>
    </w:p>
    <w:p w14:paraId="14760593" w14:textId="77777777" w:rsidR="00C903BA" w:rsidRPr="00181190" w:rsidRDefault="00C903BA" w:rsidP="00C903BA">
      <w:pPr>
        <w:numPr>
          <w:ilvl w:val="0"/>
          <w:numId w:val="46"/>
        </w:numPr>
        <w:tabs>
          <w:tab w:val="clear" w:pos="2487"/>
          <w:tab w:val="left" w:pos="360"/>
          <w:tab w:val="num" w:pos="502"/>
        </w:tabs>
        <w:spacing w:before="60"/>
        <w:ind w:left="0" w:firstLine="0"/>
        <w:jc w:val="left"/>
        <w:rPr>
          <w:iCs/>
          <w:color w:val="000000" w:themeColor="text1"/>
          <w:sz w:val="28"/>
          <w:szCs w:val="28"/>
        </w:rPr>
      </w:pPr>
      <w:hyperlink r:id="rId8" w:tgtFrame="_blank" w:history="1">
        <w:r w:rsidRPr="00181190">
          <w:rPr>
            <w:rFonts w:eastAsia="Calibri"/>
            <w:color w:val="000000" w:themeColor="text1"/>
            <w:sz w:val="28"/>
            <w:szCs w:val="28"/>
            <w:lang w:val="fr-FR"/>
          </w:rPr>
          <w:t>Luật Xây dựng</w:t>
        </w:r>
      </w:hyperlink>
      <w:r w:rsidRPr="00181190">
        <w:rPr>
          <w:rFonts w:eastAsia="Calibri"/>
          <w:color w:val="000000" w:themeColor="text1"/>
          <w:sz w:val="28"/>
          <w:szCs w:val="28"/>
          <w:lang w:val="fr-FR"/>
        </w:rPr>
        <w:t> ngày 18 tháng 6 năm 2014; </w:t>
      </w:r>
      <w:bookmarkStart w:id="3" w:name="tvpllink_jmcmcusfda"/>
      <w:r w:rsidRPr="00181190">
        <w:rPr>
          <w:rFonts w:eastAsia="Calibri"/>
          <w:color w:val="000000" w:themeColor="text1"/>
          <w:sz w:val="28"/>
          <w:szCs w:val="28"/>
          <w:lang w:val="fr-FR"/>
        </w:rPr>
        <w:fldChar w:fldCharType="begin"/>
      </w:r>
      <w:r w:rsidRPr="00181190">
        <w:rPr>
          <w:rFonts w:eastAsia="Calibri"/>
          <w:color w:val="000000" w:themeColor="text1"/>
          <w:sz w:val="28"/>
          <w:szCs w:val="28"/>
          <w:lang w:val="fr-FR"/>
        </w:rPr>
        <w:instrText>HYPERLINK "https://thuvienphapluat.vn/van-ban/Xay-dung-Do-thi/Luat-Xay-dung-sua-doi-2020-so-62-2020-QH14-418229.aspx" \t "_blank"</w:instrText>
      </w:r>
      <w:r w:rsidRPr="00181190">
        <w:rPr>
          <w:rFonts w:eastAsia="Calibri"/>
          <w:color w:val="000000" w:themeColor="text1"/>
          <w:sz w:val="28"/>
          <w:szCs w:val="28"/>
          <w:lang w:val="fr-FR"/>
        </w:rPr>
      </w:r>
      <w:r w:rsidRPr="00181190">
        <w:rPr>
          <w:rFonts w:eastAsia="Calibri"/>
          <w:color w:val="000000" w:themeColor="text1"/>
          <w:sz w:val="28"/>
          <w:szCs w:val="28"/>
          <w:lang w:val="fr-FR"/>
        </w:rPr>
        <w:fldChar w:fldCharType="separate"/>
      </w:r>
      <w:r w:rsidRPr="00181190">
        <w:rPr>
          <w:rFonts w:eastAsia="Calibri"/>
          <w:color w:val="000000" w:themeColor="text1"/>
          <w:sz w:val="28"/>
          <w:szCs w:val="28"/>
          <w:lang w:val="fr-FR"/>
        </w:rPr>
        <w:t>Luật sửa đổi, bổ sung một số điều của Luật Xây dựng</w:t>
      </w:r>
      <w:r w:rsidRPr="00181190">
        <w:rPr>
          <w:rFonts w:eastAsia="Calibri"/>
          <w:color w:val="000000" w:themeColor="text1"/>
          <w:sz w:val="28"/>
          <w:szCs w:val="28"/>
          <w:lang w:val="fr-FR"/>
        </w:rPr>
        <w:fldChar w:fldCharType="end"/>
      </w:r>
      <w:bookmarkEnd w:id="3"/>
      <w:r w:rsidRPr="00181190">
        <w:rPr>
          <w:rFonts w:eastAsia="Calibri"/>
          <w:color w:val="000000" w:themeColor="text1"/>
          <w:sz w:val="28"/>
          <w:szCs w:val="28"/>
          <w:lang w:val="fr-FR"/>
        </w:rPr>
        <w:t xml:space="preserve"> ngày 17 tháng 6 năm 2020; </w:t>
      </w:r>
    </w:p>
    <w:p w14:paraId="0EC08404" w14:textId="77777777" w:rsidR="00C903BA" w:rsidRPr="00181190" w:rsidRDefault="00C903BA" w:rsidP="00C903BA">
      <w:pPr>
        <w:numPr>
          <w:ilvl w:val="0"/>
          <w:numId w:val="46"/>
        </w:numPr>
        <w:tabs>
          <w:tab w:val="clear" w:pos="2487"/>
          <w:tab w:val="left" w:pos="360"/>
          <w:tab w:val="num" w:pos="502"/>
        </w:tabs>
        <w:spacing w:before="60"/>
        <w:ind w:left="0" w:firstLine="0"/>
        <w:jc w:val="left"/>
        <w:rPr>
          <w:iCs/>
          <w:color w:val="000000" w:themeColor="text1"/>
          <w:sz w:val="28"/>
          <w:szCs w:val="28"/>
        </w:rPr>
      </w:pPr>
      <w:r w:rsidRPr="00181190">
        <w:rPr>
          <w:iCs/>
          <w:color w:val="000000" w:themeColor="text1"/>
          <w:sz w:val="28"/>
          <w:szCs w:val="28"/>
        </w:rPr>
        <w:t xml:space="preserve">Luật Quy hoạch Đô thị và Nông thôn và các văn bản hướng dẫn kèm theo; </w:t>
      </w:r>
    </w:p>
    <w:p w14:paraId="0A9535FE" w14:textId="77777777" w:rsidR="00C903BA" w:rsidRPr="00181190" w:rsidRDefault="00C903BA" w:rsidP="00C903BA">
      <w:pPr>
        <w:numPr>
          <w:ilvl w:val="0"/>
          <w:numId w:val="46"/>
        </w:numPr>
        <w:tabs>
          <w:tab w:val="clear" w:pos="2487"/>
          <w:tab w:val="left" w:pos="360"/>
          <w:tab w:val="num" w:pos="502"/>
        </w:tabs>
        <w:spacing w:before="60"/>
        <w:ind w:left="0" w:firstLine="0"/>
        <w:jc w:val="left"/>
        <w:rPr>
          <w:iCs/>
          <w:color w:val="000000" w:themeColor="text1"/>
          <w:sz w:val="28"/>
          <w:szCs w:val="28"/>
        </w:rPr>
      </w:pPr>
      <w:r w:rsidRPr="00181190">
        <w:rPr>
          <w:iCs/>
          <w:color w:val="000000" w:themeColor="text1"/>
          <w:sz w:val="28"/>
          <w:szCs w:val="28"/>
        </w:rPr>
        <w:t>Luật Đầu tư, Luật Đầu tư theo phương thức đối tác công tư;</w:t>
      </w:r>
      <w:r w:rsidRPr="00181190">
        <w:rPr>
          <w:iCs/>
          <w:color w:val="000000" w:themeColor="text1"/>
          <w:sz w:val="28"/>
          <w:szCs w:val="28"/>
        </w:rPr>
        <w:fldChar w:fldCharType="begin"/>
      </w:r>
      <w:r w:rsidRPr="00181190">
        <w:rPr>
          <w:iCs/>
          <w:color w:val="000000" w:themeColor="text1"/>
          <w:sz w:val="28"/>
          <w:szCs w:val="28"/>
        </w:rPr>
        <w:instrText>HYPERLINK "https://thuvienphapluat.vn/van-ban/Bat-dong-san/Luat-Nha-o-27-2023-QH15-528669.aspx" \t "_blank"</w:instrText>
      </w:r>
      <w:r w:rsidRPr="00181190">
        <w:rPr>
          <w:iCs/>
          <w:color w:val="000000" w:themeColor="text1"/>
          <w:sz w:val="28"/>
          <w:szCs w:val="28"/>
        </w:rPr>
      </w:r>
      <w:r w:rsidRPr="00181190">
        <w:rPr>
          <w:iCs/>
          <w:color w:val="000000" w:themeColor="text1"/>
          <w:sz w:val="28"/>
          <w:szCs w:val="28"/>
        </w:rPr>
        <w:fldChar w:fldCharType="separate"/>
      </w:r>
    </w:p>
    <w:p w14:paraId="19450F04" w14:textId="2E53A5E0" w:rsidR="00C903BA" w:rsidRPr="00181190" w:rsidRDefault="00C903BA" w:rsidP="00C903BA">
      <w:pPr>
        <w:numPr>
          <w:ilvl w:val="0"/>
          <w:numId w:val="46"/>
        </w:numPr>
        <w:tabs>
          <w:tab w:val="clear" w:pos="2487"/>
          <w:tab w:val="left" w:pos="360"/>
          <w:tab w:val="num" w:pos="502"/>
        </w:tabs>
        <w:spacing w:before="60"/>
        <w:ind w:left="0" w:firstLine="0"/>
        <w:jc w:val="left"/>
        <w:rPr>
          <w:iCs/>
          <w:color w:val="000000" w:themeColor="text1"/>
          <w:sz w:val="28"/>
          <w:szCs w:val="28"/>
        </w:rPr>
      </w:pPr>
      <w:r w:rsidRPr="00181190">
        <w:rPr>
          <w:iCs/>
          <w:color w:val="000000" w:themeColor="text1"/>
          <w:sz w:val="28"/>
          <w:szCs w:val="28"/>
        </w:rPr>
        <w:t>Luật Nhà ở 2023 số 27/2023/QH15</w:t>
      </w:r>
      <w:r w:rsidRPr="00181190">
        <w:rPr>
          <w:iCs/>
          <w:color w:val="000000" w:themeColor="text1"/>
          <w:sz w:val="28"/>
          <w:szCs w:val="28"/>
        </w:rPr>
        <w:fldChar w:fldCharType="end"/>
      </w:r>
      <w:r w:rsidRPr="00181190">
        <w:rPr>
          <w:iCs/>
          <w:color w:val="000000" w:themeColor="text1"/>
          <w:sz w:val="28"/>
          <w:szCs w:val="28"/>
        </w:rPr>
        <w:t xml:space="preserve"> và các văn bản hướng dẫn kèm theo</w:t>
      </w:r>
      <w:r w:rsidR="00EA226B" w:rsidRPr="00181190">
        <w:rPr>
          <w:iCs/>
          <w:color w:val="000000" w:themeColor="text1"/>
          <w:sz w:val="28"/>
          <w:szCs w:val="28"/>
        </w:rPr>
        <w:t>;</w:t>
      </w:r>
    </w:p>
    <w:p w14:paraId="095DD9B5" w14:textId="144574E5" w:rsidR="00C903BA" w:rsidRPr="00181190" w:rsidRDefault="00EA226B" w:rsidP="00C903BA">
      <w:pPr>
        <w:numPr>
          <w:ilvl w:val="0"/>
          <w:numId w:val="46"/>
        </w:numPr>
        <w:tabs>
          <w:tab w:val="clear" w:pos="2487"/>
          <w:tab w:val="left" w:pos="360"/>
          <w:tab w:val="num" w:pos="502"/>
        </w:tabs>
        <w:spacing w:before="60"/>
        <w:ind w:left="0" w:firstLine="0"/>
        <w:jc w:val="left"/>
        <w:rPr>
          <w:iCs/>
          <w:color w:val="000000" w:themeColor="text1"/>
          <w:sz w:val="28"/>
          <w:szCs w:val="28"/>
        </w:rPr>
      </w:pPr>
      <w:r w:rsidRPr="00181190">
        <w:rPr>
          <w:iCs/>
          <w:color w:val="000000" w:themeColor="text1"/>
          <w:sz w:val="28"/>
          <w:szCs w:val="28"/>
        </w:rPr>
        <w:t>Luật Đấu thầu số 22/2023/QH15 ngày 23/6/2023; Luật số 57/2024/QH15 ngày 29/11/2024; Luật số 90/2025/QH15 ngày 25/6/2025 sửa đổi, bổ sung một số điều của Luật Đấu thầu</w:t>
      </w:r>
      <w:r w:rsidR="00C903BA" w:rsidRPr="00181190">
        <w:rPr>
          <w:iCs/>
          <w:color w:val="000000" w:themeColor="text1"/>
          <w:sz w:val="28"/>
          <w:szCs w:val="28"/>
        </w:rPr>
        <w:t xml:space="preserve">; </w:t>
      </w:r>
    </w:p>
    <w:p w14:paraId="7075B2A4" w14:textId="77777777" w:rsidR="00C903BA" w:rsidRPr="00181190" w:rsidRDefault="00C903BA" w:rsidP="00C903BA">
      <w:pPr>
        <w:numPr>
          <w:ilvl w:val="0"/>
          <w:numId w:val="46"/>
        </w:numPr>
        <w:tabs>
          <w:tab w:val="clear" w:pos="2487"/>
          <w:tab w:val="left" w:pos="360"/>
          <w:tab w:val="num" w:pos="502"/>
        </w:tabs>
        <w:spacing w:before="60"/>
        <w:ind w:left="0" w:firstLine="0"/>
        <w:jc w:val="left"/>
        <w:rPr>
          <w:rFonts w:eastAsia="Calibri"/>
          <w:color w:val="000000" w:themeColor="text1"/>
          <w:sz w:val="28"/>
          <w:szCs w:val="28"/>
          <w:lang w:val="nl-NL"/>
        </w:rPr>
      </w:pPr>
      <w:r w:rsidRPr="00181190">
        <w:rPr>
          <w:iCs/>
          <w:color w:val="000000" w:themeColor="text1"/>
          <w:sz w:val="28"/>
          <w:szCs w:val="28"/>
        </w:rPr>
        <w:t xml:space="preserve">Luật PC&amp;CC số 27/2001/QH10 </w:t>
      </w:r>
      <w:r w:rsidRPr="00181190">
        <w:rPr>
          <w:color w:val="000000" w:themeColor="text1"/>
          <w:sz w:val="28"/>
          <w:szCs w:val="28"/>
          <w:shd w:val="clear" w:color="auto" w:fill="FCFAF6"/>
          <w:lang w:val="vi-VN"/>
        </w:rPr>
        <w:t>ngày 29</w:t>
      </w:r>
      <w:r w:rsidRPr="00181190">
        <w:rPr>
          <w:color w:val="000000" w:themeColor="text1"/>
          <w:sz w:val="28"/>
          <w:szCs w:val="28"/>
          <w:shd w:val="clear" w:color="auto" w:fill="FCFAF6"/>
        </w:rPr>
        <w:t>/</w:t>
      </w:r>
      <w:r w:rsidRPr="00181190">
        <w:rPr>
          <w:color w:val="000000" w:themeColor="text1"/>
          <w:sz w:val="28"/>
          <w:szCs w:val="28"/>
          <w:shd w:val="clear" w:color="auto" w:fill="FCFAF6"/>
          <w:lang w:val="vi-VN"/>
        </w:rPr>
        <w:t>6</w:t>
      </w:r>
      <w:r w:rsidRPr="00181190">
        <w:rPr>
          <w:color w:val="000000" w:themeColor="text1"/>
          <w:sz w:val="28"/>
          <w:szCs w:val="28"/>
          <w:shd w:val="clear" w:color="auto" w:fill="FCFAF6"/>
        </w:rPr>
        <w:t>/</w:t>
      </w:r>
      <w:r w:rsidRPr="00181190">
        <w:rPr>
          <w:color w:val="000000" w:themeColor="text1"/>
          <w:sz w:val="28"/>
          <w:szCs w:val="28"/>
          <w:shd w:val="clear" w:color="auto" w:fill="FCFAF6"/>
          <w:lang w:val="vi-VN"/>
        </w:rPr>
        <w:t xml:space="preserve">2001; Luật sửa đổi, bổ sung một số điều của Luật </w:t>
      </w:r>
      <w:r w:rsidRPr="00181190">
        <w:rPr>
          <w:color w:val="000000" w:themeColor="text1"/>
          <w:sz w:val="28"/>
          <w:szCs w:val="28"/>
          <w:shd w:val="clear" w:color="auto" w:fill="FCFAF6"/>
        </w:rPr>
        <w:t xml:space="preserve">PC&amp;CC số </w:t>
      </w:r>
      <w:r w:rsidRPr="00181190">
        <w:rPr>
          <w:color w:val="000000" w:themeColor="text1"/>
          <w:sz w:val="28"/>
          <w:szCs w:val="28"/>
          <w:shd w:val="clear" w:color="auto" w:fill="FFFFFF"/>
        </w:rPr>
        <w:t>40/2013/QH13</w:t>
      </w:r>
      <w:r w:rsidRPr="00181190">
        <w:rPr>
          <w:color w:val="000000" w:themeColor="text1"/>
          <w:sz w:val="28"/>
          <w:szCs w:val="28"/>
          <w:shd w:val="clear" w:color="auto" w:fill="FCFAF6"/>
          <w:lang w:val="vi-VN"/>
        </w:rPr>
        <w:t xml:space="preserve"> ngày 22</w:t>
      </w:r>
      <w:r w:rsidRPr="00181190">
        <w:rPr>
          <w:color w:val="000000" w:themeColor="text1"/>
          <w:sz w:val="28"/>
          <w:szCs w:val="28"/>
          <w:shd w:val="clear" w:color="auto" w:fill="FCFAF6"/>
        </w:rPr>
        <w:t>/</w:t>
      </w:r>
      <w:r w:rsidRPr="00181190">
        <w:rPr>
          <w:color w:val="000000" w:themeColor="text1"/>
          <w:sz w:val="28"/>
          <w:szCs w:val="28"/>
          <w:shd w:val="clear" w:color="auto" w:fill="FCFAF6"/>
          <w:lang w:val="vi-VN"/>
        </w:rPr>
        <w:t>11</w:t>
      </w:r>
      <w:r w:rsidRPr="00181190">
        <w:rPr>
          <w:color w:val="000000" w:themeColor="text1"/>
          <w:sz w:val="28"/>
          <w:szCs w:val="28"/>
          <w:shd w:val="clear" w:color="auto" w:fill="FCFAF6"/>
        </w:rPr>
        <w:t>/</w:t>
      </w:r>
      <w:r w:rsidRPr="00181190">
        <w:rPr>
          <w:color w:val="000000" w:themeColor="text1"/>
          <w:sz w:val="28"/>
          <w:szCs w:val="28"/>
          <w:shd w:val="clear" w:color="auto" w:fill="FCFAF6"/>
          <w:lang w:val="vi-VN"/>
        </w:rPr>
        <w:t>2013</w:t>
      </w:r>
      <w:r w:rsidRPr="00181190">
        <w:rPr>
          <w:rFonts w:eastAsia="Calibri"/>
          <w:color w:val="000000" w:themeColor="text1"/>
          <w:sz w:val="28"/>
          <w:szCs w:val="28"/>
          <w:lang w:val="nl-NL"/>
        </w:rPr>
        <w:t>;</w:t>
      </w:r>
    </w:p>
    <w:p w14:paraId="6E533F20" w14:textId="77777777" w:rsidR="00C903BA" w:rsidRPr="00181190" w:rsidRDefault="00C903BA" w:rsidP="00C903BA">
      <w:pPr>
        <w:numPr>
          <w:ilvl w:val="0"/>
          <w:numId w:val="46"/>
        </w:numPr>
        <w:tabs>
          <w:tab w:val="clear" w:pos="2487"/>
          <w:tab w:val="left" w:pos="360"/>
          <w:tab w:val="num" w:pos="502"/>
        </w:tabs>
        <w:spacing w:before="60"/>
        <w:ind w:left="0" w:firstLine="0"/>
        <w:rPr>
          <w:rFonts w:eastAsia="Calibri"/>
          <w:color w:val="000000" w:themeColor="text1"/>
          <w:sz w:val="28"/>
          <w:szCs w:val="28"/>
          <w:lang w:val="nl-NL"/>
        </w:rPr>
      </w:pPr>
      <w:r w:rsidRPr="00181190">
        <w:rPr>
          <w:color w:val="000000" w:themeColor="text1"/>
          <w:sz w:val="28"/>
          <w:szCs w:val="28"/>
          <w:shd w:val="clear" w:color="auto" w:fill="FFFFFF"/>
        </w:rPr>
        <w:t xml:space="preserve">Luật Điện lực: </w:t>
      </w:r>
      <w:hyperlink r:id="rId9" w:tgtFrame="_blank" w:history="1">
        <w:r w:rsidRPr="00181190">
          <w:rPr>
            <w:color w:val="000000" w:themeColor="text1"/>
            <w:sz w:val="28"/>
            <w:szCs w:val="28"/>
            <w:shd w:val="clear" w:color="auto" w:fill="FFFFFF"/>
          </w:rPr>
          <w:t>Văn bản hợp nhất 03/VBHN-VPQH năm 2018 hợp nhất Luật Điện lực</w:t>
        </w:r>
      </w:hyperlink>
      <w:r w:rsidRPr="00181190">
        <w:rPr>
          <w:color w:val="000000" w:themeColor="text1"/>
          <w:sz w:val="28"/>
          <w:szCs w:val="28"/>
          <w:shd w:val="clear" w:color="auto" w:fill="FFFFFF"/>
        </w:rPr>
        <w:t>, Văn bản hợp nhất 10/VBHN-BCT năm 2020 hợp nhất Nghị định hướng dẫn Luật điện lực và Luật điện lực sửa đổi do Bộ Công Thương ban hành;</w:t>
      </w:r>
    </w:p>
    <w:p w14:paraId="0AA9B114" w14:textId="17A83A4E" w:rsidR="00C903BA" w:rsidRPr="00181190" w:rsidRDefault="00C903BA" w:rsidP="00C903BA">
      <w:pPr>
        <w:jc w:val="left"/>
        <w:rPr>
          <w:color w:val="000000" w:themeColor="text1"/>
        </w:rPr>
      </w:pPr>
      <w:r w:rsidRPr="00181190">
        <w:rPr>
          <w:color w:val="000000" w:themeColor="text1"/>
          <w:spacing w:val="-4"/>
          <w:sz w:val="28"/>
          <w:szCs w:val="28"/>
        </w:rPr>
        <w:t>Luật di sản văn hóa 2013 và các Nghị định số 61/2016/NĐ-CP ngày 01/7/2016; Nghị định số 142/2018/NĐ-CP ngày 19/10/2016 của Chính phủ</w:t>
      </w:r>
      <w:r w:rsidR="00EA226B" w:rsidRPr="00181190">
        <w:rPr>
          <w:color w:val="000000" w:themeColor="text1"/>
          <w:spacing w:val="-4"/>
          <w:sz w:val="28"/>
          <w:szCs w:val="28"/>
        </w:rPr>
        <w:t>;</w:t>
      </w:r>
      <w:r w:rsidRPr="00181190">
        <w:rPr>
          <w:color w:val="000000" w:themeColor="text1"/>
        </w:rPr>
        <w:t xml:space="preserve"> </w:t>
      </w:r>
    </w:p>
    <w:p w14:paraId="2AFB08E2" w14:textId="77777777" w:rsidR="00C903BA" w:rsidRPr="00181190" w:rsidRDefault="00C903BA" w:rsidP="00C903BA">
      <w:pPr>
        <w:numPr>
          <w:ilvl w:val="0"/>
          <w:numId w:val="46"/>
        </w:numPr>
        <w:tabs>
          <w:tab w:val="clear" w:pos="2487"/>
          <w:tab w:val="left" w:pos="360"/>
          <w:tab w:val="num" w:pos="502"/>
        </w:tabs>
        <w:spacing w:before="60"/>
        <w:ind w:left="0" w:firstLine="0"/>
        <w:jc w:val="left"/>
        <w:rPr>
          <w:rFonts w:eastAsia="Calibri"/>
          <w:color w:val="000000" w:themeColor="text1"/>
          <w:sz w:val="28"/>
          <w:szCs w:val="28"/>
          <w:lang w:val="pt-BR"/>
        </w:rPr>
      </w:pPr>
      <w:r w:rsidRPr="00181190">
        <w:rPr>
          <w:iCs/>
          <w:color w:val="000000" w:themeColor="text1"/>
          <w:sz w:val="28"/>
          <w:szCs w:val="28"/>
        </w:rPr>
        <w:t>Các Luật khác có liên quan và các Nghị định, thông tư hướng dẫn thi hành các Luật tương ứng hiện hành;</w:t>
      </w:r>
    </w:p>
    <w:p w14:paraId="7B909DEA" w14:textId="68818DF0" w:rsidR="00C903BA" w:rsidRPr="00181190" w:rsidRDefault="00C903BA" w:rsidP="00C903BA">
      <w:pPr>
        <w:widowControl w:val="0"/>
        <w:numPr>
          <w:ilvl w:val="0"/>
          <w:numId w:val="46"/>
        </w:numPr>
        <w:tabs>
          <w:tab w:val="clear" w:pos="2487"/>
          <w:tab w:val="left" w:pos="360"/>
          <w:tab w:val="num" w:pos="502"/>
        </w:tabs>
        <w:autoSpaceDE w:val="0"/>
        <w:autoSpaceDN w:val="0"/>
        <w:adjustRightInd w:val="0"/>
        <w:spacing w:before="60"/>
        <w:ind w:left="0" w:firstLine="0"/>
        <w:rPr>
          <w:rFonts w:eastAsia="Calibri"/>
          <w:bCs/>
          <w:color w:val="000000" w:themeColor="text1"/>
          <w:sz w:val="28"/>
          <w:szCs w:val="28"/>
        </w:rPr>
      </w:pPr>
      <w:r w:rsidRPr="00181190">
        <w:rPr>
          <w:rFonts w:eastAsia="Calibri"/>
          <w:color w:val="000000" w:themeColor="text1"/>
          <w:sz w:val="28"/>
          <w:szCs w:val="28"/>
        </w:rPr>
        <w:t xml:space="preserve"> Quyết định phê duyệt dự án Đầu tư, kế hoạch đấu thầu, kết quả đấu thầu, các qui định pháp lý khác của UBND Thành phố Hà Nội và Chủ đầu tư, Hồ sơ mời thầu, hồ sơ dự thầu, hợp đồng giữa chủ đầu tư và nhà thầu và các tài liệu khác có liên quan.</w:t>
      </w:r>
    </w:p>
    <w:p w14:paraId="4E14BB9A" w14:textId="0887F664" w:rsidR="000A5457" w:rsidRPr="00181190" w:rsidRDefault="00C903BA" w:rsidP="00181190">
      <w:pPr>
        <w:widowControl w:val="0"/>
        <w:numPr>
          <w:ilvl w:val="0"/>
          <w:numId w:val="46"/>
        </w:numPr>
        <w:tabs>
          <w:tab w:val="clear" w:pos="2487"/>
          <w:tab w:val="left" w:pos="360"/>
          <w:tab w:val="num" w:pos="502"/>
        </w:tabs>
        <w:autoSpaceDE w:val="0"/>
        <w:autoSpaceDN w:val="0"/>
        <w:adjustRightInd w:val="0"/>
        <w:spacing w:before="60"/>
        <w:ind w:left="0" w:firstLine="0"/>
        <w:rPr>
          <w:i/>
          <w:iCs/>
          <w:color w:val="000000" w:themeColor="text1"/>
          <w:szCs w:val="28"/>
        </w:rPr>
      </w:pPr>
      <w:r w:rsidRPr="00181190">
        <w:rPr>
          <w:rFonts w:eastAsia="Calibri"/>
          <w:color w:val="000000" w:themeColor="text1"/>
          <w:sz w:val="28"/>
          <w:szCs w:val="28"/>
        </w:rPr>
        <w:t>Hệ thống Tiêu chuẩn xây dựng chuyên ngành Việt Nam.</w:t>
      </w:r>
      <w:r w:rsidR="00E97090" w:rsidRPr="00181190">
        <w:rPr>
          <w:i/>
          <w:iCs/>
          <w:color w:val="000000" w:themeColor="text1"/>
          <w:szCs w:val="28"/>
        </w:rPr>
        <w:t xml:space="preserve"> </w:t>
      </w:r>
    </w:p>
    <w:sectPr w:rsidR="000A5457" w:rsidRPr="00181190" w:rsidSect="00E97090">
      <w:footerReference w:type="default" r:id="rId10"/>
      <w:footnotePr>
        <w:numRestart w:val="eachPage"/>
      </w:footnotePr>
      <w:pgSz w:w="11907" w:h="16839" w:code="9"/>
      <w:pgMar w:top="284" w:right="907" w:bottom="907" w:left="833"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9E63" w14:textId="77777777" w:rsidR="005C77F6" w:rsidRDefault="005C77F6" w:rsidP="00E05AF1">
      <w:r>
        <w:separator/>
      </w:r>
    </w:p>
  </w:endnote>
  <w:endnote w:type="continuationSeparator" w:id="0">
    <w:p w14:paraId="21986540" w14:textId="77777777" w:rsidR="005C77F6" w:rsidRDefault="005C77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Vni 03 LinotypeZapfino Thre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395F" w14:textId="77777777" w:rsidR="005C77F6" w:rsidRDefault="005C77F6" w:rsidP="00E05AF1">
      <w:r>
        <w:separator/>
      </w:r>
    </w:p>
  </w:footnote>
  <w:footnote w:type="continuationSeparator" w:id="0">
    <w:p w14:paraId="3A8453F2" w14:textId="77777777" w:rsidR="005C77F6" w:rsidRDefault="005C77F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9312B5E"/>
    <w:multiLevelType w:val="hybridMultilevel"/>
    <w:tmpl w:val="CBDAE5E4"/>
    <w:lvl w:ilvl="0" w:tplc="0409000F">
      <w:start w:val="1"/>
      <w:numFmt w:val="decimal"/>
      <w:lvlText w:val="%1."/>
      <w:lvlJc w:val="left"/>
      <w:pPr>
        <w:tabs>
          <w:tab w:val="num" w:pos="2487"/>
        </w:tabs>
        <w:ind w:left="2487"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24"/>
  </w:num>
  <w:num w:numId="2" w16cid:durableId="887180654">
    <w:abstractNumId w:val="33"/>
  </w:num>
  <w:num w:numId="3" w16cid:durableId="703946842">
    <w:abstractNumId w:val="15"/>
  </w:num>
  <w:num w:numId="4" w16cid:durableId="388572071">
    <w:abstractNumId w:val="26"/>
  </w:num>
  <w:num w:numId="5" w16cid:durableId="1901401429">
    <w:abstractNumId w:val="36"/>
  </w:num>
  <w:num w:numId="6" w16cid:durableId="244148380">
    <w:abstractNumId w:val="35"/>
  </w:num>
  <w:num w:numId="7" w16cid:durableId="2084601762">
    <w:abstractNumId w:val="14"/>
  </w:num>
  <w:num w:numId="8" w16cid:durableId="1237547573">
    <w:abstractNumId w:val="6"/>
  </w:num>
  <w:num w:numId="9" w16cid:durableId="572931024">
    <w:abstractNumId w:val="41"/>
  </w:num>
  <w:num w:numId="10" w16cid:durableId="1677416438">
    <w:abstractNumId w:val="10"/>
  </w:num>
  <w:num w:numId="11" w16cid:durableId="1188760908">
    <w:abstractNumId w:val="42"/>
  </w:num>
  <w:num w:numId="12" w16cid:durableId="1127577978">
    <w:abstractNumId w:val="25"/>
  </w:num>
  <w:num w:numId="13" w16cid:durableId="106198143">
    <w:abstractNumId w:val="37"/>
  </w:num>
  <w:num w:numId="14" w16cid:durableId="148132525">
    <w:abstractNumId w:val="23"/>
  </w:num>
  <w:num w:numId="15" w16cid:durableId="279192698">
    <w:abstractNumId w:val="31"/>
  </w:num>
  <w:num w:numId="16" w16cid:durableId="240255243">
    <w:abstractNumId w:val="8"/>
  </w:num>
  <w:num w:numId="17" w16cid:durableId="817065255">
    <w:abstractNumId w:val="27"/>
  </w:num>
  <w:num w:numId="18" w16cid:durableId="1126505720">
    <w:abstractNumId w:val="34"/>
  </w:num>
  <w:num w:numId="19" w16cid:durableId="499932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100294">
    <w:abstractNumId w:val="16"/>
  </w:num>
  <w:num w:numId="21" w16cid:durableId="1642228011">
    <w:abstractNumId w:val="18"/>
  </w:num>
  <w:num w:numId="22" w16cid:durableId="1688017514">
    <w:abstractNumId w:val="21"/>
  </w:num>
  <w:num w:numId="23" w16cid:durableId="61030151">
    <w:abstractNumId w:val="7"/>
  </w:num>
  <w:num w:numId="24" w16cid:durableId="543181713">
    <w:abstractNumId w:val="9"/>
  </w:num>
  <w:num w:numId="25" w16cid:durableId="1093866621">
    <w:abstractNumId w:val="39"/>
  </w:num>
  <w:num w:numId="26" w16cid:durableId="1178033659">
    <w:abstractNumId w:val="40"/>
  </w:num>
  <w:num w:numId="27" w16cid:durableId="636449902">
    <w:abstractNumId w:val="30"/>
  </w:num>
  <w:num w:numId="28" w16cid:durableId="18357643">
    <w:abstractNumId w:val="38"/>
  </w:num>
  <w:num w:numId="29" w16cid:durableId="329602176">
    <w:abstractNumId w:val="3"/>
  </w:num>
  <w:num w:numId="30" w16cid:durableId="2073625286">
    <w:abstractNumId w:val="13"/>
  </w:num>
  <w:num w:numId="31" w16cid:durableId="587082300">
    <w:abstractNumId w:val="0"/>
  </w:num>
  <w:num w:numId="32" w16cid:durableId="1981687006">
    <w:abstractNumId w:val="44"/>
  </w:num>
  <w:num w:numId="33" w16cid:durableId="304356916">
    <w:abstractNumId w:val="1"/>
  </w:num>
  <w:num w:numId="34" w16cid:durableId="1935671626">
    <w:abstractNumId w:val="19"/>
  </w:num>
  <w:num w:numId="35" w16cid:durableId="716664138">
    <w:abstractNumId w:val="28"/>
  </w:num>
  <w:num w:numId="36" w16cid:durableId="2045641643">
    <w:abstractNumId w:val="2"/>
  </w:num>
  <w:num w:numId="37" w16cid:durableId="1658344366">
    <w:abstractNumId w:val="5"/>
  </w:num>
  <w:num w:numId="38" w16cid:durableId="2027713626">
    <w:abstractNumId w:val="45"/>
  </w:num>
  <w:num w:numId="39" w16cid:durableId="23604183">
    <w:abstractNumId w:val="29"/>
  </w:num>
  <w:num w:numId="40" w16cid:durableId="146485091">
    <w:abstractNumId w:val="20"/>
  </w:num>
  <w:num w:numId="41" w16cid:durableId="407195809">
    <w:abstractNumId w:val="17"/>
  </w:num>
  <w:num w:numId="42" w16cid:durableId="105732724">
    <w:abstractNumId w:val="4"/>
  </w:num>
  <w:num w:numId="43" w16cid:durableId="1640109434">
    <w:abstractNumId w:val="11"/>
  </w:num>
  <w:num w:numId="44" w16cid:durableId="344332259">
    <w:abstractNumId w:val="12"/>
  </w:num>
  <w:num w:numId="45" w16cid:durableId="226847594">
    <w:abstractNumId w:val="32"/>
  </w:num>
  <w:num w:numId="46" w16cid:durableId="782042192">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497"/>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0F5"/>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1190"/>
    <w:rsid w:val="0018282A"/>
    <w:rsid w:val="00182B92"/>
    <w:rsid w:val="00184D12"/>
    <w:rsid w:val="00186642"/>
    <w:rsid w:val="0018787C"/>
    <w:rsid w:val="001903F0"/>
    <w:rsid w:val="001906DB"/>
    <w:rsid w:val="00190962"/>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57E"/>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ACF"/>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0E7B"/>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4D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839"/>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87639"/>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B67"/>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7F6"/>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6FB1"/>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0C"/>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356D"/>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490B"/>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23B3"/>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96F26"/>
    <w:rsid w:val="007A03C5"/>
    <w:rsid w:val="007A07B3"/>
    <w:rsid w:val="007A087F"/>
    <w:rsid w:val="007A1C13"/>
    <w:rsid w:val="007A25C3"/>
    <w:rsid w:val="007A294F"/>
    <w:rsid w:val="007A2FCF"/>
    <w:rsid w:val="007A3F31"/>
    <w:rsid w:val="007A47C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2671"/>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47686"/>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65D0"/>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05C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9F7CBB"/>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79D"/>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4739"/>
    <w:rsid w:val="00A65C0B"/>
    <w:rsid w:val="00A66066"/>
    <w:rsid w:val="00A67663"/>
    <w:rsid w:val="00A67C08"/>
    <w:rsid w:val="00A704A0"/>
    <w:rsid w:val="00A70DA4"/>
    <w:rsid w:val="00A711C6"/>
    <w:rsid w:val="00A731D2"/>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3AA"/>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58BF"/>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5C18"/>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5AD6"/>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0F2"/>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3BA"/>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2FAC"/>
    <w:rsid w:val="00CD3014"/>
    <w:rsid w:val="00CD3378"/>
    <w:rsid w:val="00CD3F48"/>
    <w:rsid w:val="00CD426C"/>
    <w:rsid w:val="00CD66FE"/>
    <w:rsid w:val="00CD6D7F"/>
    <w:rsid w:val="00CE0140"/>
    <w:rsid w:val="00CE04C6"/>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08DD"/>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3CC"/>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02"/>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3319"/>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9A0"/>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AF0"/>
    <w:rsid w:val="00E53E1A"/>
    <w:rsid w:val="00E55615"/>
    <w:rsid w:val="00E5582E"/>
    <w:rsid w:val="00E55A11"/>
    <w:rsid w:val="00E55E25"/>
    <w:rsid w:val="00E56D15"/>
    <w:rsid w:val="00E5781D"/>
    <w:rsid w:val="00E60EFE"/>
    <w:rsid w:val="00E61039"/>
    <w:rsid w:val="00E6258A"/>
    <w:rsid w:val="00E63393"/>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090"/>
    <w:rsid w:val="00E971F7"/>
    <w:rsid w:val="00E97246"/>
    <w:rsid w:val="00E97260"/>
    <w:rsid w:val="00E97848"/>
    <w:rsid w:val="00E97D3F"/>
    <w:rsid w:val="00EA0E6A"/>
    <w:rsid w:val="00EA1044"/>
    <w:rsid w:val="00EA1105"/>
    <w:rsid w:val="00EA226B"/>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759"/>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3F9D"/>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59C"/>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54"/>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Char">
    <w:name w:val="Char"/>
    <w:basedOn w:val="Normal"/>
    <w:uiPriority w:val="99"/>
    <w:semiHidden/>
    <w:rsid w:val="00E03319"/>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14-23864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acuuphapluat.info/2019/04/van-ban-hop-nhat-luat-dien-luc-nam-2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Nguyễn Hải</cp:lastModifiedBy>
  <cp:revision>33</cp:revision>
  <cp:lastPrinted>2024-11-13T09:12:00Z</cp:lastPrinted>
  <dcterms:created xsi:type="dcterms:W3CDTF">2025-08-04T13:43:00Z</dcterms:created>
  <dcterms:modified xsi:type="dcterms:W3CDTF">2026-03-09T12:05:00Z</dcterms:modified>
</cp:coreProperties>
</file>