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BF" w:rsidRDefault="008679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c29219089"/>
      <w:bookmarkStart w:id="1" w:name="_Hlk29305986"/>
      <w:r>
        <w:rPr>
          <w:rFonts w:ascii="Times New Roman" w:hAnsi="Times New Roman" w:cs="Times New Roman"/>
          <w:b/>
          <w:bCs/>
          <w:sz w:val="26"/>
          <w:szCs w:val="26"/>
        </w:rPr>
        <w:t>Chương III. TIÊU 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ĐÁNH GIÁ E-HSDT</w:t>
      </w:r>
      <w:bookmarkEnd w:id="0"/>
    </w:p>
    <w:p w:rsidR="006610BF" w:rsidRDefault="006610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610BF" w:rsidRDefault="008679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3. Tiêu 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đánh giá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</w:t>
      </w:r>
      <w:r>
        <w:rPr>
          <w:rFonts w:ascii="Times New Roman" w:hAnsi="Times New Roman" w:cs="Times New Roman"/>
          <w:b/>
          <w:bCs/>
          <w:sz w:val="26"/>
          <w:szCs w:val="26"/>
        </w:rPr>
        <w:t>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6610BF" w:rsidRDefault="0086797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S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ử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d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ụ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ng tiêu chí đ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ạ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t, không đ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ạ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t đ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ể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đánh giá v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ề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k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ỹ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thu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ậ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t. Các tiêu chí làm cơ s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ở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đ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ể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đánh giá v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ề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k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ỹ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thu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ậ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t bao g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ồ</w:t>
      </w:r>
      <w:r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m:</w:t>
      </w:r>
    </w:p>
    <w:tbl>
      <w:tblPr>
        <w:tblW w:w="5312" w:type="pct"/>
        <w:tblInd w:w="-4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1974"/>
        <w:gridCol w:w="2610"/>
        <w:gridCol w:w="2925"/>
        <w:gridCol w:w="2112"/>
      </w:tblGrid>
      <w:tr w:rsidR="006610BF">
        <w:trPr>
          <w:trHeight w:val="20"/>
          <w:tblHeader/>
        </w:trPr>
        <w:tc>
          <w:tcPr>
            <w:tcW w:w="2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9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N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ộ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i dung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vi-VN"/>
              </w:rPr>
              <w:t>yêu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c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ầ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u</w:t>
            </w:r>
          </w:p>
        </w:tc>
        <w:tc>
          <w:tcPr>
            <w:tcW w:w="27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M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ứ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c đ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ộ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đáp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ứ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ng</w:t>
            </w:r>
          </w:p>
        </w:tc>
        <w:tc>
          <w:tcPr>
            <w:tcW w:w="103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Tài li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ệ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u đính kèm</w:t>
            </w:r>
          </w:p>
        </w:tc>
      </w:tr>
      <w:tr w:rsidR="006610BF">
        <w:trPr>
          <w:trHeight w:val="20"/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Đ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ạ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t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Không đ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ạ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t</w:t>
            </w:r>
          </w:p>
        </w:tc>
        <w:tc>
          <w:tcPr>
            <w:tcW w:w="103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BF" w:rsidRDefault="006610B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36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Kh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ả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năng cung c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ấ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p tàu, thi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ế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t b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ị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0BF" w:rsidRDefault="006610B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 minh quy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khai thác/ 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 tàu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it-IT"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Có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minh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it-IT"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Không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minh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đăng ký tàu, 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 quy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n...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Có b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ả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n gi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ớ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i thi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ệ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u v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ề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 xml:space="preserve"> Tàu và thi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t b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>ị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  <w:t xml:space="preserve"> kèm theo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Đáp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toàn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hơn yêu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a và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b 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3.3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3 Chương V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E-HSMT</w:t>
            </w:r>
          </w:p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it-IT"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Có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minh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Không đáp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các yêu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a và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b 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3.3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3 Chương V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E-HSMT</w:t>
            </w:r>
          </w:p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it-IT"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Không có 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có nhưng không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minh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-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thi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tàu, </w:t>
            </w:r>
          </w:p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-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sơ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 tàu (B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scan);</w:t>
            </w:r>
          </w:p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- Sơ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boong tàu ph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công tác kh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o sát có kích thư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;</w:t>
            </w:r>
          </w:p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nh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 các tàu theo quy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nh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Chương V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đáp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năng huy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thi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cung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thông tin nhanh cho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tư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Đáp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ng toàn 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ộ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ho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 hơn yêu 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i Đi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 Kho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 3.1 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 3 và Đi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m c Kho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 3.3 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 3 Chương V 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a E-HSMT</w:t>
            </w:r>
          </w:p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Có đ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u ch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ng minh.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Không đáp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toàn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 hơn yêu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Đi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 Kho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 3.1 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 3 và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 Đi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m c Kho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 3.3 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c 3 Chương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E-HSMT</w:t>
            </w:r>
          </w:p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Không có 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có nhưng không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tài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minh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cam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Nhà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36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Kế hoạch, phương án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  <w:t>thực hiện gói thầu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cung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tàu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Không quá 05 ngày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ngày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có 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Quá 05 ngày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ngày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có 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cam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Nhà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đi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và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Tàu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phư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ờ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ng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Tam Th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ắ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ng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/R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ch D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a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/Phư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ớ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c Th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ắ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ng thu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 xml:space="preserve">c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thành ph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ồ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Chí Minh  (thành ph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Vũng Tàu cũ)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phư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ờ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ng 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Tam Th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ắ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ng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/R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ch D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  <w:lang w:val="vi-VN"/>
              </w:rPr>
              <w:t>a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/Phư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ớ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c Th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ắ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ng thu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 xml:space="preserve">c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thành ph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ồ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Chí Minh  (thành ph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Vũng Tàu cũ)</w:t>
            </w:r>
          </w:p>
        </w:tc>
        <w:tc>
          <w:tcPr>
            <w:tcW w:w="103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cam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Nhà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án kh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sát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tuân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yêu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a,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3.1 và 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3.2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3 Chương V - E-HSMT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Không 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o đáp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ng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 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yêu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 nêu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 a, Đi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3.1 và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Kho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 3.2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 3 Chương V - E-HSMT</w:t>
            </w:r>
          </w:p>
        </w:tc>
        <w:tc>
          <w:tcPr>
            <w:tcW w:w="103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10BF" w:rsidRDefault="008679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án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gói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nhà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các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dung trên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Không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1 trong các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dung trên</w:t>
            </w:r>
          </w:p>
        </w:tc>
        <w:tc>
          <w:tcPr>
            <w:tcW w:w="103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610BF" w:rsidRDefault="006610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6610BF">
        <w:trPr>
          <w:trHeight w:val="20"/>
        </w:trPr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0BF" w:rsidRDefault="0066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10BF" w:rsidRDefault="008679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KHÔNG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03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610BF" w:rsidRDefault="006610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</w:tbl>
    <w:p w:rsidR="006610BF" w:rsidRDefault="006610B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"/>
    <w:p w:rsidR="006610BF" w:rsidRDefault="0086797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4. Tiêu 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đánh giá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tài chính</w:t>
      </w:r>
    </w:p>
    <w:p w:rsidR="006610BF" w:rsidRDefault="0086797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lastRenderedPageBreak/>
        <w:t xml:space="preserve">Chọn phương pháp đánh giá về giá: Phương pháp giá thấp nhất </w:t>
      </w:r>
    </w:p>
    <w:p w:rsidR="006610BF" w:rsidRDefault="0086797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t>Cách xác định giá thấp nhất theo các bước sau đây:</w:t>
      </w:r>
    </w:p>
    <w:p w:rsidR="006610BF" w:rsidRDefault="0086797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t xml:space="preserve">Bước 1. Xác định giá dự thầu, trừ đi giá trị giảm giá (nếu có); </w:t>
      </w:r>
    </w:p>
    <w:p w:rsidR="006610BF" w:rsidRDefault="0086797A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t>Bước 2. Xác định ưu đãi (nếu có) theo quy định tại Mục 28 E–CDNT</w:t>
      </w:r>
    </w:p>
    <w:p w:rsidR="006610BF" w:rsidRDefault="008679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t>Bước 3. Xếp hạ</w:t>
      </w:r>
      <w:r>
        <w:rPr>
          <w:rFonts w:ascii="TimesNewRomanPSMT" w:eastAsia="Times New Roman" w:hAnsi="TimesNewRomanPSMT" w:cs="Times New Roman"/>
          <w:color w:val="000000"/>
          <w:sz w:val="26"/>
          <w:szCs w:val="26"/>
        </w:rPr>
        <w:t>ng nhà thầu: E–HSDT có giá dự thầu, trừ đi giá trị giảm giá (nếu có), sau khi tính ưu đãi (nếu có) thấp nhất được xếp hạng thứ nhất.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10BF" w:rsidRDefault="0086797A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 Trư</w:t>
      </w:r>
      <w:r>
        <w:rPr>
          <w:rFonts w:ascii="Times New Roman" w:hAnsi="Times New Roman" w:cs="Times New Roman"/>
          <w:b/>
          <w:i/>
          <w:sz w:val="26"/>
          <w:szCs w:val="26"/>
        </w:rPr>
        <w:t>ờ</w:t>
      </w:r>
      <w:r>
        <w:rPr>
          <w:rFonts w:ascii="Times New Roman" w:hAnsi="Times New Roman" w:cs="Times New Roman"/>
          <w:b/>
          <w:i/>
          <w:sz w:val="26"/>
          <w:szCs w:val="26"/>
        </w:rPr>
        <w:t>ng h</w:t>
      </w:r>
      <w:r>
        <w:rPr>
          <w:rFonts w:ascii="Times New Roman" w:hAnsi="Times New Roman" w:cs="Times New Roman"/>
          <w:b/>
          <w:i/>
          <w:sz w:val="26"/>
          <w:szCs w:val="26"/>
        </w:rPr>
        <w:t>ợ</w:t>
      </w:r>
      <w:r>
        <w:rPr>
          <w:rFonts w:ascii="Times New Roman" w:hAnsi="Times New Roman" w:cs="Times New Roman"/>
          <w:b/>
          <w:i/>
          <w:sz w:val="26"/>
          <w:szCs w:val="26"/>
        </w:rPr>
        <w:t>p có nhi</w:t>
      </w:r>
      <w:r>
        <w:rPr>
          <w:rFonts w:ascii="Times New Roman" w:hAnsi="Times New Roman" w:cs="Times New Roman"/>
          <w:b/>
          <w:i/>
          <w:sz w:val="26"/>
          <w:szCs w:val="26"/>
        </w:rPr>
        <w:t>ề</w:t>
      </w:r>
      <w:r>
        <w:rPr>
          <w:rFonts w:ascii="Times New Roman" w:hAnsi="Times New Roman" w:cs="Times New Roman"/>
          <w:b/>
          <w:i/>
          <w:sz w:val="26"/>
          <w:szCs w:val="26"/>
        </w:rPr>
        <w:t>u nhà th</w:t>
      </w:r>
      <w:r>
        <w:rPr>
          <w:rFonts w:ascii="Times New Roman" w:hAnsi="Times New Roman" w:cs="Times New Roman"/>
          <w:b/>
          <w:i/>
          <w:sz w:val="26"/>
          <w:szCs w:val="26"/>
        </w:rPr>
        <w:t>ầ</w:t>
      </w:r>
      <w:r>
        <w:rPr>
          <w:rFonts w:ascii="Times New Roman" w:hAnsi="Times New Roman" w:cs="Times New Roman"/>
          <w:b/>
          <w:i/>
          <w:sz w:val="26"/>
          <w:szCs w:val="26"/>
        </w:rPr>
        <w:t>u có giá d</w:t>
      </w:r>
      <w:r>
        <w:rPr>
          <w:rFonts w:ascii="Times New Roman" w:hAnsi="Times New Roman" w:cs="Times New Roman"/>
          <w:b/>
          <w:i/>
          <w:sz w:val="26"/>
          <w:szCs w:val="26"/>
        </w:rPr>
        <w:t>ự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i/>
          <w:sz w:val="26"/>
          <w:szCs w:val="26"/>
        </w:rPr>
        <w:t>ầ</w:t>
      </w:r>
      <w:r>
        <w:rPr>
          <w:rFonts w:ascii="Times New Roman" w:hAnsi="Times New Roman" w:cs="Times New Roman"/>
          <w:b/>
          <w:i/>
          <w:sz w:val="26"/>
          <w:szCs w:val="26"/>
        </w:rPr>
        <w:t>u sau khi tr</w:t>
      </w:r>
      <w:r>
        <w:rPr>
          <w:rFonts w:ascii="Times New Roman" w:hAnsi="Times New Roman" w:cs="Times New Roman"/>
          <w:b/>
          <w:i/>
          <w:sz w:val="26"/>
          <w:szCs w:val="26"/>
        </w:rPr>
        <w:t>ừ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đi giá tr</w:t>
      </w:r>
      <w:r>
        <w:rPr>
          <w:rFonts w:ascii="Times New Roman" w:hAnsi="Times New Roman" w:cs="Times New Roman"/>
          <w:b/>
          <w:i/>
          <w:sz w:val="26"/>
          <w:szCs w:val="26"/>
        </w:rPr>
        <w:t>ị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gi</w:t>
      </w:r>
      <w:r>
        <w:rPr>
          <w:rFonts w:ascii="Times New Roman" w:hAnsi="Times New Roman" w:cs="Times New Roman"/>
          <w:b/>
          <w:i/>
          <w:sz w:val="26"/>
          <w:szCs w:val="26"/>
        </w:rPr>
        <w:t>ả</w:t>
      </w:r>
      <w:r>
        <w:rPr>
          <w:rFonts w:ascii="Times New Roman" w:hAnsi="Times New Roman" w:cs="Times New Roman"/>
          <w:b/>
          <w:i/>
          <w:sz w:val="26"/>
          <w:szCs w:val="26"/>
        </w:rPr>
        <w:t>m giá (n</w:t>
      </w:r>
      <w:r>
        <w:rPr>
          <w:rFonts w:ascii="Times New Roman" w:hAnsi="Times New Roman" w:cs="Times New Roman"/>
          <w:b/>
          <w:i/>
          <w:sz w:val="26"/>
          <w:szCs w:val="26"/>
        </w:rPr>
        <w:t>ế</w:t>
      </w:r>
      <w:r>
        <w:rPr>
          <w:rFonts w:ascii="Times New Roman" w:hAnsi="Times New Roman" w:cs="Times New Roman"/>
          <w:b/>
          <w:i/>
          <w:sz w:val="26"/>
          <w:szCs w:val="26"/>
        </w:rPr>
        <w:t>u có) b</w:t>
      </w:r>
      <w:r>
        <w:rPr>
          <w:rFonts w:ascii="Times New Roman" w:hAnsi="Times New Roman" w:cs="Times New Roman"/>
          <w:b/>
          <w:i/>
          <w:sz w:val="26"/>
          <w:szCs w:val="26"/>
        </w:rPr>
        <w:t>ằ</w:t>
      </w:r>
      <w:r>
        <w:rPr>
          <w:rFonts w:ascii="Times New Roman" w:hAnsi="Times New Roman" w:cs="Times New Roman"/>
          <w:b/>
          <w:i/>
          <w:sz w:val="26"/>
          <w:szCs w:val="26"/>
        </w:rPr>
        <w:t>ng nhau, vi</w:t>
      </w:r>
      <w:r>
        <w:rPr>
          <w:rFonts w:ascii="Times New Roman" w:hAnsi="Times New Roman" w:cs="Times New Roman"/>
          <w:b/>
          <w:i/>
          <w:sz w:val="26"/>
          <w:szCs w:val="26"/>
        </w:rPr>
        <w:t>ệ</w:t>
      </w:r>
      <w:r>
        <w:rPr>
          <w:rFonts w:ascii="Times New Roman" w:hAnsi="Times New Roman" w:cs="Times New Roman"/>
          <w:b/>
          <w:i/>
          <w:sz w:val="26"/>
          <w:szCs w:val="26"/>
        </w:rPr>
        <w:t>c x</w:t>
      </w:r>
      <w:r>
        <w:rPr>
          <w:rFonts w:ascii="Times New Roman" w:hAnsi="Times New Roman" w:cs="Times New Roman"/>
          <w:b/>
          <w:i/>
          <w:sz w:val="26"/>
          <w:szCs w:val="26"/>
        </w:rPr>
        <w:t>ế</w:t>
      </w:r>
      <w:r>
        <w:rPr>
          <w:rFonts w:ascii="Times New Roman" w:hAnsi="Times New Roman" w:cs="Times New Roman"/>
          <w:b/>
          <w:i/>
          <w:sz w:val="26"/>
          <w:szCs w:val="26"/>
        </w:rPr>
        <w:t>p h</w:t>
      </w:r>
      <w:r>
        <w:rPr>
          <w:rFonts w:ascii="Times New Roman" w:hAnsi="Times New Roman" w:cs="Times New Roman"/>
          <w:b/>
          <w:i/>
          <w:sz w:val="26"/>
          <w:szCs w:val="26"/>
        </w:rPr>
        <w:t>ạ</w:t>
      </w:r>
      <w:r>
        <w:rPr>
          <w:rFonts w:ascii="Times New Roman" w:hAnsi="Times New Roman" w:cs="Times New Roman"/>
          <w:b/>
          <w:i/>
          <w:sz w:val="26"/>
          <w:szCs w:val="26"/>
        </w:rPr>
        <w:t>ng nhà th</w:t>
      </w:r>
      <w:r>
        <w:rPr>
          <w:rFonts w:ascii="Times New Roman" w:hAnsi="Times New Roman" w:cs="Times New Roman"/>
          <w:b/>
          <w:i/>
          <w:sz w:val="26"/>
          <w:szCs w:val="26"/>
        </w:rPr>
        <w:t>ầ</w:t>
      </w:r>
      <w:r>
        <w:rPr>
          <w:rFonts w:ascii="Times New Roman" w:hAnsi="Times New Roman" w:cs="Times New Roman"/>
          <w:b/>
          <w:i/>
          <w:sz w:val="26"/>
          <w:szCs w:val="26"/>
        </w:rPr>
        <w:t>u đ</w:t>
      </w:r>
      <w:r>
        <w:rPr>
          <w:rFonts w:ascii="Times New Roman" w:hAnsi="Times New Roman" w:cs="Times New Roman"/>
          <w:b/>
          <w:i/>
          <w:sz w:val="26"/>
          <w:szCs w:val="26"/>
        </w:rPr>
        <w:t>ư</w:t>
      </w:r>
      <w:r>
        <w:rPr>
          <w:rFonts w:ascii="Times New Roman" w:hAnsi="Times New Roman" w:cs="Times New Roman"/>
          <w:b/>
          <w:i/>
          <w:sz w:val="26"/>
          <w:szCs w:val="26"/>
        </w:rPr>
        <w:t>ợ</w:t>
      </w:r>
      <w:r>
        <w:rPr>
          <w:rFonts w:ascii="Times New Roman" w:hAnsi="Times New Roman" w:cs="Times New Roman"/>
          <w:b/>
          <w:i/>
          <w:sz w:val="26"/>
          <w:szCs w:val="26"/>
        </w:rPr>
        <w:t>c xác đ</w:t>
      </w:r>
      <w:r>
        <w:rPr>
          <w:rFonts w:ascii="Times New Roman" w:hAnsi="Times New Roman" w:cs="Times New Roman"/>
          <w:b/>
          <w:i/>
          <w:sz w:val="26"/>
          <w:szCs w:val="26"/>
        </w:rPr>
        <w:t>ị</w:t>
      </w:r>
      <w:r>
        <w:rPr>
          <w:rFonts w:ascii="Times New Roman" w:hAnsi="Times New Roman" w:cs="Times New Roman"/>
          <w:b/>
          <w:i/>
          <w:sz w:val="26"/>
          <w:szCs w:val="26"/>
        </w:rPr>
        <w:t>nh theo th</w:t>
      </w:r>
      <w:r>
        <w:rPr>
          <w:rFonts w:ascii="Times New Roman" w:hAnsi="Times New Roman" w:cs="Times New Roman"/>
          <w:b/>
          <w:i/>
          <w:sz w:val="26"/>
          <w:szCs w:val="26"/>
        </w:rPr>
        <w:t>ứ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t</w:t>
      </w:r>
      <w:r>
        <w:rPr>
          <w:rFonts w:ascii="Times New Roman" w:hAnsi="Times New Roman" w:cs="Times New Roman"/>
          <w:b/>
          <w:i/>
          <w:sz w:val="26"/>
          <w:szCs w:val="26"/>
        </w:rPr>
        <w:t>ự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ưu tiên như sau:</w:t>
      </w:r>
    </w:p>
    <w:p w:rsidR="006610BF" w:rsidRDefault="0086797A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(1) Nhà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u có 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t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ỷ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l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ệ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nhiên li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ệ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u trong đơn giá chào th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ầ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u th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ấ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p nh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ấ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t</w:t>
      </w:r>
    </w:p>
    <w:p w:rsidR="006610BF" w:rsidRDefault="0086797A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(2) Nhà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có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giá chào 1 ngày tàu cho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ch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tàu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sát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ngày tàu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06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ngày tàu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10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6610BF" w:rsidRDefault="0086797A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(3) Nhà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có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giá chào 1 ngày tàu cho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ch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tàu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sát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ngày tàu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11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đi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t.</w:t>
      </w:r>
      <w:bookmarkStart w:id="2" w:name="_Toc29219092"/>
      <w:bookmarkStart w:id="3" w:name="_Hlk29307561"/>
      <w:bookmarkEnd w:id="2"/>
      <w:bookmarkEnd w:id="3"/>
    </w:p>
    <w:p w:rsidR="006610BF" w:rsidRDefault="006610BF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sectPr w:rsidR="006610BF">
      <w:pgSz w:w="11907" w:h="16840"/>
      <w:pgMar w:top="1134" w:right="1134" w:bottom="1134" w:left="1134" w:header="720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7A" w:rsidRDefault="0086797A">
      <w:pPr>
        <w:spacing w:line="240" w:lineRule="auto"/>
      </w:pPr>
      <w:r>
        <w:separator/>
      </w:r>
    </w:p>
  </w:endnote>
  <w:endnote w:type="continuationSeparator" w:id="0">
    <w:p w:rsidR="0086797A" w:rsidRDefault="00867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7A" w:rsidRDefault="0086797A">
      <w:pPr>
        <w:spacing w:after="0"/>
      </w:pPr>
      <w:r>
        <w:separator/>
      </w:r>
    </w:p>
  </w:footnote>
  <w:footnote w:type="continuationSeparator" w:id="0">
    <w:p w:rsidR="0086797A" w:rsidRDefault="008679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AC"/>
    <w:rsid w:val="0001680A"/>
    <w:rsid w:val="00042C23"/>
    <w:rsid w:val="0004742E"/>
    <w:rsid w:val="00053CDE"/>
    <w:rsid w:val="00054709"/>
    <w:rsid w:val="00064A88"/>
    <w:rsid w:val="0006584A"/>
    <w:rsid w:val="00077757"/>
    <w:rsid w:val="000860B1"/>
    <w:rsid w:val="00086465"/>
    <w:rsid w:val="000A4103"/>
    <w:rsid w:val="000B030F"/>
    <w:rsid w:val="000B12F3"/>
    <w:rsid w:val="000C0D10"/>
    <w:rsid w:val="000C1E09"/>
    <w:rsid w:val="000C5F4F"/>
    <w:rsid w:val="001117D8"/>
    <w:rsid w:val="00127534"/>
    <w:rsid w:val="00131DE7"/>
    <w:rsid w:val="0017604D"/>
    <w:rsid w:val="001B6215"/>
    <w:rsid w:val="001C71D0"/>
    <w:rsid w:val="001D33AC"/>
    <w:rsid w:val="001E17A0"/>
    <w:rsid w:val="001E2FDC"/>
    <w:rsid w:val="001E331A"/>
    <w:rsid w:val="00205A0B"/>
    <w:rsid w:val="00206642"/>
    <w:rsid w:val="00207BEC"/>
    <w:rsid w:val="00212465"/>
    <w:rsid w:val="0026125C"/>
    <w:rsid w:val="00263798"/>
    <w:rsid w:val="002676A0"/>
    <w:rsid w:val="00291D2A"/>
    <w:rsid w:val="0029202C"/>
    <w:rsid w:val="002932BF"/>
    <w:rsid w:val="002951DA"/>
    <w:rsid w:val="002A6972"/>
    <w:rsid w:val="002A7FE3"/>
    <w:rsid w:val="002C7E1E"/>
    <w:rsid w:val="002D48E9"/>
    <w:rsid w:val="002E5889"/>
    <w:rsid w:val="002E694B"/>
    <w:rsid w:val="00304FEF"/>
    <w:rsid w:val="00305F4F"/>
    <w:rsid w:val="00306010"/>
    <w:rsid w:val="00312752"/>
    <w:rsid w:val="0034100B"/>
    <w:rsid w:val="00346F1B"/>
    <w:rsid w:val="003724F9"/>
    <w:rsid w:val="003A0F13"/>
    <w:rsid w:val="003A217D"/>
    <w:rsid w:val="003B0C43"/>
    <w:rsid w:val="003B6C80"/>
    <w:rsid w:val="003D01A7"/>
    <w:rsid w:val="003D46C8"/>
    <w:rsid w:val="003E3FC3"/>
    <w:rsid w:val="00400409"/>
    <w:rsid w:val="0041276C"/>
    <w:rsid w:val="00430791"/>
    <w:rsid w:val="00431EF4"/>
    <w:rsid w:val="004B584B"/>
    <w:rsid w:val="004D3B72"/>
    <w:rsid w:val="004D7365"/>
    <w:rsid w:val="004F68DE"/>
    <w:rsid w:val="004F7E77"/>
    <w:rsid w:val="00504511"/>
    <w:rsid w:val="00507798"/>
    <w:rsid w:val="0051214B"/>
    <w:rsid w:val="005350C8"/>
    <w:rsid w:val="005421A9"/>
    <w:rsid w:val="0054692B"/>
    <w:rsid w:val="00562C82"/>
    <w:rsid w:val="00563CE0"/>
    <w:rsid w:val="00566CF4"/>
    <w:rsid w:val="005A6285"/>
    <w:rsid w:val="005B2244"/>
    <w:rsid w:val="005B2E41"/>
    <w:rsid w:val="005B4ED3"/>
    <w:rsid w:val="005C4E9E"/>
    <w:rsid w:val="005E67A8"/>
    <w:rsid w:val="005F22FD"/>
    <w:rsid w:val="00602A6F"/>
    <w:rsid w:val="006438B0"/>
    <w:rsid w:val="00643D61"/>
    <w:rsid w:val="006610BF"/>
    <w:rsid w:val="00665156"/>
    <w:rsid w:val="00670438"/>
    <w:rsid w:val="00673D1D"/>
    <w:rsid w:val="00694C95"/>
    <w:rsid w:val="006C0390"/>
    <w:rsid w:val="006D7B88"/>
    <w:rsid w:val="006D7B94"/>
    <w:rsid w:val="006E0265"/>
    <w:rsid w:val="006F46E5"/>
    <w:rsid w:val="006F7426"/>
    <w:rsid w:val="00704616"/>
    <w:rsid w:val="00710C90"/>
    <w:rsid w:val="0073099A"/>
    <w:rsid w:val="0073201D"/>
    <w:rsid w:val="007514C7"/>
    <w:rsid w:val="00752AAC"/>
    <w:rsid w:val="00765E91"/>
    <w:rsid w:val="00770D63"/>
    <w:rsid w:val="007808DB"/>
    <w:rsid w:val="007A1961"/>
    <w:rsid w:val="007D1FB1"/>
    <w:rsid w:val="007D3E4F"/>
    <w:rsid w:val="007E0A23"/>
    <w:rsid w:val="00821AFB"/>
    <w:rsid w:val="00822B14"/>
    <w:rsid w:val="00824784"/>
    <w:rsid w:val="008412C2"/>
    <w:rsid w:val="00842DDC"/>
    <w:rsid w:val="00843020"/>
    <w:rsid w:val="00845AF8"/>
    <w:rsid w:val="00866A1D"/>
    <w:rsid w:val="0086797A"/>
    <w:rsid w:val="00890A7C"/>
    <w:rsid w:val="008A5869"/>
    <w:rsid w:val="008C1192"/>
    <w:rsid w:val="008C4846"/>
    <w:rsid w:val="008D2F18"/>
    <w:rsid w:val="008E5D82"/>
    <w:rsid w:val="008F4B6A"/>
    <w:rsid w:val="0090031E"/>
    <w:rsid w:val="0090784A"/>
    <w:rsid w:val="009105EA"/>
    <w:rsid w:val="009220D8"/>
    <w:rsid w:val="009318BE"/>
    <w:rsid w:val="009339DC"/>
    <w:rsid w:val="00953D7A"/>
    <w:rsid w:val="0096166F"/>
    <w:rsid w:val="009736B6"/>
    <w:rsid w:val="00974538"/>
    <w:rsid w:val="00980A95"/>
    <w:rsid w:val="00981D51"/>
    <w:rsid w:val="00992A0C"/>
    <w:rsid w:val="00993331"/>
    <w:rsid w:val="009A0036"/>
    <w:rsid w:val="009D77D9"/>
    <w:rsid w:val="009E3183"/>
    <w:rsid w:val="009E507D"/>
    <w:rsid w:val="00A253E7"/>
    <w:rsid w:val="00A306F5"/>
    <w:rsid w:val="00A347BE"/>
    <w:rsid w:val="00A356A0"/>
    <w:rsid w:val="00A3671B"/>
    <w:rsid w:val="00A662DA"/>
    <w:rsid w:val="00A6768D"/>
    <w:rsid w:val="00A813E4"/>
    <w:rsid w:val="00A955A1"/>
    <w:rsid w:val="00AC3616"/>
    <w:rsid w:val="00AE5A4F"/>
    <w:rsid w:val="00AF28FF"/>
    <w:rsid w:val="00B15071"/>
    <w:rsid w:val="00B319F3"/>
    <w:rsid w:val="00B3606F"/>
    <w:rsid w:val="00B6576D"/>
    <w:rsid w:val="00B753E0"/>
    <w:rsid w:val="00B81AA4"/>
    <w:rsid w:val="00BA097C"/>
    <w:rsid w:val="00BA77F5"/>
    <w:rsid w:val="00BD4E52"/>
    <w:rsid w:val="00BF0C76"/>
    <w:rsid w:val="00BF24C8"/>
    <w:rsid w:val="00BF4C1B"/>
    <w:rsid w:val="00BF5D20"/>
    <w:rsid w:val="00C121D1"/>
    <w:rsid w:val="00C52BAA"/>
    <w:rsid w:val="00C567AA"/>
    <w:rsid w:val="00C5685E"/>
    <w:rsid w:val="00C65FBE"/>
    <w:rsid w:val="00C7276D"/>
    <w:rsid w:val="00C848A2"/>
    <w:rsid w:val="00C86685"/>
    <w:rsid w:val="00CA7670"/>
    <w:rsid w:val="00CB4C1A"/>
    <w:rsid w:val="00CC1C2E"/>
    <w:rsid w:val="00CC497D"/>
    <w:rsid w:val="00CF71A0"/>
    <w:rsid w:val="00D05096"/>
    <w:rsid w:val="00D26676"/>
    <w:rsid w:val="00D31AC0"/>
    <w:rsid w:val="00D50AF1"/>
    <w:rsid w:val="00D67A56"/>
    <w:rsid w:val="00D70B0D"/>
    <w:rsid w:val="00D739B5"/>
    <w:rsid w:val="00DA3605"/>
    <w:rsid w:val="00DB1FC2"/>
    <w:rsid w:val="00DB5E99"/>
    <w:rsid w:val="00DD14A0"/>
    <w:rsid w:val="00DD22EC"/>
    <w:rsid w:val="00DF797D"/>
    <w:rsid w:val="00E12E60"/>
    <w:rsid w:val="00E13D6E"/>
    <w:rsid w:val="00E20E1B"/>
    <w:rsid w:val="00E26FB0"/>
    <w:rsid w:val="00E44858"/>
    <w:rsid w:val="00E44C54"/>
    <w:rsid w:val="00E7184B"/>
    <w:rsid w:val="00E8345E"/>
    <w:rsid w:val="00E853DD"/>
    <w:rsid w:val="00E96010"/>
    <w:rsid w:val="00EA537F"/>
    <w:rsid w:val="00EB4D7C"/>
    <w:rsid w:val="00ED6893"/>
    <w:rsid w:val="00EE402E"/>
    <w:rsid w:val="00F46FCF"/>
    <w:rsid w:val="00F5135D"/>
    <w:rsid w:val="00F53A11"/>
    <w:rsid w:val="00F7358D"/>
    <w:rsid w:val="00F91088"/>
    <w:rsid w:val="00F976FC"/>
    <w:rsid w:val="00FA2994"/>
    <w:rsid w:val="00FA2ABB"/>
    <w:rsid w:val="00FB0BF2"/>
    <w:rsid w:val="00FB64C6"/>
    <w:rsid w:val="00FC5F9F"/>
    <w:rsid w:val="00FE3A0E"/>
    <w:rsid w:val="09582EDC"/>
    <w:rsid w:val="0E686B89"/>
    <w:rsid w:val="181A0C8B"/>
    <w:rsid w:val="5BB44EFF"/>
    <w:rsid w:val="63C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DA3AB-9409-43F9-B925-96F6483F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uppressAutoHyphens/>
      <w:spacing w:after="0" w:line="240" w:lineRule="auto"/>
      <w:ind w:right="-72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zh-CN" w:eastAsia="zh-CN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20"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odytextItalic">
    <w:name w:val="Body text + Italic"/>
    <w:qFormat/>
    <w:rPr>
      <w:rFonts w:ascii="Times New Roman" w:hAnsi="Times New Roman" w:cs="Times New Roman"/>
      <w:i/>
      <w:iCs/>
      <w:spacing w:val="-2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pacing w:val="-4"/>
      <w:sz w:val="24"/>
      <w:szCs w:val="20"/>
      <w:lang w:val="zh-CN" w:eastAsia="zh-CN"/>
    </w:rPr>
  </w:style>
  <w:style w:type="paragraph" w:customStyle="1" w:styleId="Char4">
    <w:name w:val="Char4"/>
    <w:basedOn w:val="Normal"/>
    <w:semiHidden/>
    <w:qFormat/>
    <w:pPr>
      <w:spacing w:line="240" w:lineRule="exact"/>
    </w:pPr>
    <w:rPr>
      <w:rFonts w:ascii="Arial" w:eastAsia="Times New Roman" w:hAnsi="Arial" w:cs="Arial"/>
    </w:rPr>
  </w:style>
  <w:style w:type="paragraph" w:customStyle="1" w:styleId="Style11">
    <w:name w:val="Style 11"/>
    <w:basedOn w:val="Normal"/>
    <w:qFormat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6642-D823-4E31-AE50-C68E51E3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Ngoc Minh</dc:creator>
  <cp:lastModifiedBy>NGO THI THANH VAN</cp:lastModifiedBy>
  <cp:revision>37</cp:revision>
  <cp:lastPrinted>2025-03-26T01:52:00Z</cp:lastPrinted>
  <dcterms:created xsi:type="dcterms:W3CDTF">2023-03-02T09:27:00Z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CC41DE00DAE64809A82667A1E2A1E36D_13</vt:lpwstr>
  </property>
</Properties>
</file>