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AE69" w14:textId="77777777" w:rsidR="00C30602" w:rsidRPr="00C30602" w:rsidRDefault="00C30602" w:rsidP="00C30602">
      <w:pPr>
        <w:widowControl w:val="0"/>
        <w:spacing w:before="120" w:after="120" w:line="264" w:lineRule="auto"/>
        <w:jc w:val="center"/>
        <w:outlineLvl w:val="1"/>
        <w:rPr>
          <w:sz w:val="26"/>
          <w:szCs w:val="26"/>
        </w:rPr>
      </w:pPr>
      <w:r w:rsidRPr="00C30602">
        <w:rPr>
          <w:b/>
          <w:sz w:val="26"/>
          <w:szCs w:val="26"/>
        </w:rPr>
        <w:t>Chương V. YÊU CẦU VỀ KỸ THUẬT</w:t>
      </w:r>
    </w:p>
    <w:p w14:paraId="7446BFB1" w14:textId="77777777" w:rsidR="00C30602" w:rsidRPr="00C30602" w:rsidRDefault="00C30602" w:rsidP="00C30602">
      <w:pPr>
        <w:pStyle w:val="Subtitle"/>
        <w:rPr>
          <w:rFonts w:ascii="Times New Roman" w:hAnsi="Times New Roman" w:cs="Times New Roman"/>
          <w:sz w:val="26"/>
          <w:szCs w:val="26"/>
          <w:lang w:val="en-US"/>
        </w:rPr>
      </w:pPr>
    </w:p>
    <w:p w14:paraId="5934E96D" w14:textId="77777777" w:rsidR="00C30602" w:rsidRPr="00C30602" w:rsidRDefault="00C30602" w:rsidP="00C30602">
      <w:pPr>
        <w:widowControl w:val="0"/>
        <w:spacing w:before="40" w:after="40"/>
        <w:rPr>
          <w:b/>
          <w:sz w:val="26"/>
          <w:szCs w:val="26"/>
        </w:rPr>
      </w:pPr>
      <w:r w:rsidRPr="00C30602">
        <w:rPr>
          <w:b/>
          <w:sz w:val="26"/>
          <w:szCs w:val="26"/>
        </w:rPr>
        <w:t>I. GIỚI THIỆU CHUNG VỀ GÓI THẦU</w:t>
      </w:r>
    </w:p>
    <w:p w14:paraId="5DEBEBD0" w14:textId="77777777" w:rsidR="00C30602" w:rsidRPr="00C30602" w:rsidRDefault="00C30602" w:rsidP="00C30602">
      <w:pPr>
        <w:widowControl w:val="0"/>
        <w:spacing w:before="40" w:after="40"/>
        <w:rPr>
          <w:bCs/>
          <w:sz w:val="26"/>
          <w:szCs w:val="26"/>
        </w:rPr>
      </w:pPr>
      <w:r w:rsidRPr="00C30602">
        <w:rPr>
          <w:bCs/>
          <w:sz w:val="26"/>
          <w:szCs w:val="26"/>
        </w:rPr>
        <w:t xml:space="preserve">1. Tên gói thầu: </w:t>
      </w:r>
      <w:r w:rsidRPr="00C30602">
        <w:rPr>
          <w:bCs/>
          <w:color w:val="EE0000"/>
          <w:sz w:val="26"/>
          <w:szCs w:val="26"/>
          <w:highlight w:val="yellow"/>
        </w:rPr>
        <w:t>Gói thầu 12.TB2.26</w:t>
      </w:r>
      <w:r w:rsidRPr="00C30602">
        <w:rPr>
          <w:bCs/>
          <w:sz w:val="26"/>
          <w:szCs w:val="26"/>
        </w:rPr>
        <w:t>: Cung cấp module truyền thông rơ le F90</w:t>
      </w:r>
    </w:p>
    <w:p w14:paraId="3EC27603" w14:textId="77777777" w:rsidR="00C30602" w:rsidRPr="00C30602" w:rsidRDefault="00C30602" w:rsidP="00C30602">
      <w:pPr>
        <w:widowControl w:val="0"/>
        <w:spacing w:before="40" w:after="40"/>
        <w:rPr>
          <w:bCs/>
          <w:sz w:val="26"/>
          <w:szCs w:val="26"/>
        </w:rPr>
      </w:pPr>
      <w:r w:rsidRPr="00C30602">
        <w:rPr>
          <w:bCs/>
          <w:sz w:val="26"/>
          <w:szCs w:val="26"/>
        </w:rPr>
        <w:t>2. Tên Công trình: Xử lý khiếm khuyết hư hỏng module truyền thông rơ le F90 pha A MBA AT1 Trạm  biến áp 500kV Lai Châu</w:t>
      </w:r>
    </w:p>
    <w:p w14:paraId="453616B3" w14:textId="77777777" w:rsidR="00C30602" w:rsidRPr="00C30602" w:rsidRDefault="00C30602" w:rsidP="00C30602">
      <w:pPr>
        <w:widowControl w:val="0"/>
        <w:spacing w:before="40" w:after="40"/>
        <w:rPr>
          <w:bCs/>
          <w:sz w:val="26"/>
          <w:szCs w:val="26"/>
        </w:rPr>
      </w:pPr>
      <w:r w:rsidRPr="00C30602">
        <w:rPr>
          <w:bCs/>
          <w:sz w:val="26"/>
          <w:szCs w:val="26"/>
        </w:rPr>
        <w:t>3. Loại hợp đồng: Trọn gói</w:t>
      </w:r>
    </w:p>
    <w:p w14:paraId="4711A10D" w14:textId="77777777" w:rsidR="00C30602" w:rsidRPr="00C30602" w:rsidRDefault="00C30602" w:rsidP="00C30602">
      <w:pPr>
        <w:widowControl w:val="0"/>
        <w:spacing w:before="40" w:after="40"/>
        <w:rPr>
          <w:bCs/>
          <w:color w:val="EE0000"/>
          <w:sz w:val="26"/>
          <w:szCs w:val="26"/>
        </w:rPr>
      </w:pPr>
      <w:r w:rsidRPr="00C30602">
        <w:rPr>
          <w:bCs/>
          <w:sz w:val="26"/>
          <w:szCs w:val="26"/>
        </w:rPr>
        <w:t xml:space="preserve">3. Thời gian thực hiện gói thầu: </w:t>
      </w:r>
      <w:r w:rsidRPr="00C30602">
        <w:rPr>
          <w:bCs/>
          <w:color w:val="EE0000"/>
          <w:sz w:val="26"/>
          <w:szCs w:val="26"/>
        </w:rPr>
        <w:t>120 ngày.</w:t>
      </w:r>
    </w:p>
    <w:p w14:paraId="0A5C4944" w14:textId="77777777" w:rsidR="00C30602" w:rsidRPr="00C30602" w:rsidRDefault="00C30602" w:rsidP="00C30602">
      <w:pPr>
        <w:widowControl w:val="0"/>
        <w:spacing w:before="40" w:after="40"/>
        <w:rPr>
          <w:bCs/>
          <w:sz w:val="26"/>
          <w:szCs w:val="26"/>
        </w:rPr>
      </w:pPr>
      <w:r w:rsidRPr="00C30602">
        <w:rPr>
          <w:bCs/>
          <w:sz w:val="26"/>
          <w:szCs w:val="26"/>
        </w:rPr>
        <w:t>4. Nguồn vốn: Chi phí sản xuất</w:t>
      </w:r>
    </w:p>
    <w:p w14:paraId="11736B81" w14:textId="77777777" w:rsidR="00C30602" w:rsidRPr="00C30602" w:rsidRDefault="00C30602" w:rsidP="00C30602">
      <w:pPr>
        <w:widowControl w:val="0"/>
        <w:spacing w:before="40" w:after="40"/>
        <w:rPr>
          <w:bCs/>
          <w:sz w:val="26"/>
          <w:szCs w:val="26"/>
        </w:rPr>
      </w:pPr>
      <w:r w:rsidRPr="00C30602">
        <w:rPr>
          <w:bCs/>
          <w:sz w:val="26"/>
          <w:szCs w:val="26"/>
        </w:rPr>
        <w:t xml:space="preserve">5. Mục tiêu, quy mô gói thầu: </w:t>
      </w:r>
      <w:r w:rsidRPr="00C30602">
        <w:rPr>
          <w:color w:val="000000"/>
          <w:spacing w:val="2"/>
          <w:sz w:val="26"/>
          <w:szCs w:val="26"/>
        </w:rPr>
        <w:t>Sửa chữa thay module truyền thông rơ le F90 pha A MBA AT1 hư hỏng bằng module truyền thông có thông số tương đương; Cấu hình lại module truyền thông rơ le F90 pha A MBA AT1, cấu hình lại hệ thống máy tính điều khiển</w:t>
      </w:r>
      <w:r w:rsidRPr="00C30602">
        <w:rPr>
          <w:bCs/>
          <w:sz w:val="26"/>
          <w:szCs w:val="26"/>
        </w:rPr>
        <w:t>.</w:t>
      </w:r>
    </w:p>
    <w:p w14:paraId="13EFF760" w14:textId="77777777" w:rsidR="00C30602" w:rsidRPr="00C30602" w:rsidRDefault="00C30602" w:rsidP="00C30602">
      <w:pPr>
        <w:widowControl w:val="0"/>
        <w:spacing w:before="40" w:after="40"/>
        <w:rPr>
          <w:b/>
          <w:sz w:val="26"/>
          <w:szCs w:val="26"/>
        </w:rPr>
      </w:pPr>
      <w:r w:rsidRPr="00C30602">
        <w:rPr>
          <w:b/>
          <w:sz w:val="26"/>
          <w:szCs w:val="26"/>
        </w:rPr>
        <w:t xml:space="preserve">II. PHẠM VI CUNG CẤP </w:t>
      </w:r>
    </w:p>
    <w:p w14:paraId="77F1EA99" w14:textId="77777777" w:rsidR="00C30602" w:rsidRPr="00C30602" w:rsidRDefault="00C30602" w:rsidP="00C30602">
      <w:pPr>
        <w:widowControl w:val="0"/>
        <w:spacing w:before="120" w:after="120" w:line="264" w:lineRule="auto"/>
        <w:ind w:firstLine="709"/>
        <w:rPr>
          <w:b/>
          <w:iCs/>
          <w:sz w:val="26"/>
          <w:szCs w:val="26"/>
        </w:rPr>
      </w:pPr>
      <w:r w:rsidRPr="00C30602">
        <w:rPr>
          <w:b/>
          <w:iCs/>
          <w:sz w:val="26"/>
          <w:szCs w:val="26"/>
        </w:rPr>
        <w:t>A. phạm vi cung cấp</w:t>
      </w:r>
    </w:p>
    <w:p w14:paraId="16C1EFCA" w14:textId="77777777" w:rsidR="00C30602" w:rsidRPr="00C30602" w:rsidRDefault="00C30602" w:rsidP="00C30602">
      <w:pPr>
        <w:widowControl w:val="0"/>
        <w:spacing w:before="60" w:after="60"/>
        <w:ind w:firstLine="709"/>
        <w:rPr>
          <w:bCs/>
          <w:sz w:val="26"/>
          <w:szCs w:val="26"/>
        </w:rPr>
      </w:pPr>
      <w:r w:rsidRPr="00C30602">
        <w:rPr>
          <w:bCs/>
          <w:sz w:val="26"/>
          <w:szCs w:val="26"/>
        </w:rPr>
        <w:t>Theo Mẫu số 01A - Phạm vi cung cấp hàng hoá - Chương IV. Biểu mẫu mời thầu</w:t>
      </w:r>
    </w:p>
    <w:p w14:paraId="2918C3C5" w14:textId="77777777" w:rsidR="00C30602" w:rsidRPr="00C30602" w:rsidRDefault="00C30602" w:rsidP="00C30602">
      <w:pPr>
        <w:spacing w:before="60" w:after="60"/>
        <w:ind w:right="45" w:firstLine="284"/>
        <w:rPr>
          <w:b/>
          <w:sz w:val="26"/>
          <w:szCs w:val="26"/>
        </w:rPr>
      </w:pPr>
      <w:r w:rsidRPr="00C30602">
        <w:rPr>
          <w:b/>
          <w:i/>
          <w:iCs/>
          <w:sz w:val="26"/>
          <w:szCs w:val="26"/>
        </w:rPr>
        <w:t>* Các nội dung lưu ý:</w:t>
      </w:r>
    </w:p>
    <w:p w14:paraId="361B1690" w14:textId="77777777" w:rsidR="00C30602" w:rsidRPr="00C30602" w:rsidRDefault="00C30602" w:rsidP="00C30602">
      <w:pPr>
        <w:pStyle w:val="ListParagraph"/>
        <w:spacing w:before="60" w:after="60"/>
        <w:ind w:left="0" w:right="43" w:firstLine="284"/>
        <w:rPr>
          <w:rFonts w:ascii="Times New Roman" w:hAnsi="Times New Roman" w:cs="Times New Roman"/>
          <w:bCs/>
          <w:sz w:val="26"/>
          <w:szCs w:val="26"/>
        </w:rPr>
      </w:pPr>
      <w:r w:rsidRPr="00C30602">
        <w:rPr>
          <w:rFonts w:ascii="Times New Roman" w:hAnsi="Times New Roman" w:cs="Times New Roman"/>
          <w:bCs/>
          <w:sz w:val="26"/>
          <w:szCs w:val="26"/>
        </w:rPr>
        <w:t>- Phạm vi cung cấp hàng hóa quy định tại Mẫu số 01A E-HSMT phải bao gồm đầy đủ các chi phí làm thủ tục nhập khẩu, tiếp nhận, lưu kho, lưu bãi, bảo quản, bảo dưỡng; chi phí vận chuyển, các chi phí cần thiết khác để giao hàng, hạ hàng đến vị trí tập kết hàng hóa theo yêu cầu của chủ đầu tư và đáp ứng các nội dung yêu cầu khác trong Chương V - Yêu cầu về kỹ thuật.</w:t>
      </w:r>
    </w:p>
    <w:p w14:paraId="483D5C6B" w14:textId="77777777" w:rsidR="00C30602" w:rsidRPr="00C30602" w:rsidRDefault="00C30602" w:rsidP="00C30602">
      <w:pPr>
        <w:pStyle w:val="ListParagraph"/>
        <w:spacing w:before="60" w:after="60"/>
        <w:ind w:left="0" w:right="43" w:firstLine="284"/>
        <w:rPr>
          <w:rFonts w:ascii="Times New Roman" w:hAnsi="Times New Roman" w:cs="Times New Roman"/>
          <w:bCs/>
          <w:sz w:val="26"/>
          <w:szCs w:val="26"/>
          <w:highlight w:val="yellow"/>
        </w:rPr>
      </w:pPr>
      <w:r w:rsidRPr="00C30602">
        <w:rPr>
          <w:rFonts w:ascii="Times New Roman" w:hAnsi="Times New Roman" w:cs="Times New Roman"/>
          <w:bCs/>
          <w:sz w:val="26"/>
          <w:szCs w:val="26"/>
          <w:highlight w:val="yellow"/>
        </w:rPr>
        <w:t>- Nhà thầu phải cấp CO, CQ, (bản gốc hoặc bản sao công chứng) do cơ quan có thẩm quyền cấp đối với hàng hóa được nhập khẩu hoặc biên bản chứng chỉ xuất xưởng đối với hàng hóa sản xuất trong nước để chứng minh sự đáp ứng của hàng hóa đối với các tiêu chuẩn đánh giá quy định tại chương III - Tiêu chuẩn đánh giá E-HSDT và yêu cầu tại chương V.E-HSMT. Việc không cung cấp được đầy đủ thông tin sẽ dẫn tới E-HSDT không đáp ứng yêu cầu của E-HSMT.</w:t>
      </w:r>
    </w:p>
    <w:p w14:paraId="750F40FF" w14:textId="77777777" w:rsidR="00C30602" w:rsidRPr="00C30602" w:rsidRDefault="00C30602" w:rsidP="00C30602">
      <w:pPr>
        <w:pStyle w:val="ListParagraph"/>
        <w:spacing w:before="60" w:after="60"/>
        <w:ind w:left="0" w:right="43" w:firstLine="284"/>
        <w:rPr>
          <w:rFonts w:ascii="Times New Roman" w:hAnsi="Times New Roman" w:cs="Times New Roman"/>
          <w:bCs/>
          <w:sz w:val="26"/>
          <w:szCs w:val="26"/>
          <w:highlight w:val="yellow"/>
        </w:rPr>
      </w:pPr>
      <w:r w:rsidRPr="00C30602">
        <w:rPr>
          <w:rFonts w:ascii="Times New Roman" w:hAnsi="Times New Roman" w:cs="Times New Roman"/>
          <w:bCs/>
          <w:sz w:val="26"/>
          <w:szCs w:val="26"/>
          <w:highlight w:val="yellow"/>
        </w:rPr>
        <w:t xml:space="preserve">- Xuất xứ của hàng hoá: </w:t>
      </w:r>
    </w:p>
    <w:p w14:paraId="653D6574" w14:textId="77777777" w:rsidR="00C30602" w:rsidRPr="00C30602" w:rsidRDefault="00C30602" w:rsidP="00C30602">
      <w:pPr>
        <w:pStyle w:val="ListParagraph"/>
        <w:spacing w:before="60" w:after="60"/>
        <w:ind w:left="0" w:right="43" w:firstLine="284"/>
        <w:rPr>
          <w:rFonts w:ascii="Times New Roman" w:hAnsi="Times New Roman" w:cs="Times New Roman"/>
          <w:bCs/>
          <w:sz w:val="26"/>
          <w:szCs w:val="26"/>
        </w:rPr>
      </w:pPr>
      <w:r w:rsidRPr="00C30602">
        <w:rPr>
          <w:rFonts w:ascii="Times New Roman" w:hAnsi="Times New Roman" w:cs="Times New Roman"/>
          <w:bCs/>
          <w:sz w:val="26"/>
          <w:szCs w:val="26"/>
          <w:highlight w:val="yellow"/>
        </w:rPr>
        <w:t>+ Nếu hàng hoá có nguồn gốc từ nước ngoài: Nhà thầu phải cung cấp giấy chứng nhận xuất xứ (CO) do phòng Thương mại và công nghiệp hoặc cơ quan chức năng có thẩm quyền của nước xuất khẩu cấp hoặc chứng chỉ chất lượng (CQ) của nhà chế tạo, tờ khai hàng hoá nhập khẩu, chứng từ đã nộp thuế nhập khẩu trước khi giao hàng và các tài liệu khác yêu cầu trong điều kiện cụ thể của hợp đồng;</w:t>
      </w:r>
      <w:r w:rsidRPr="00C30602">
        <w:rPr>
          <w:rFonts w:ascii="Times New Roman" w:hAnsi="Times New Roman" w:cs="Times New Roman"/>
          <w:bCs/>
          <w:sz w:val="26"/>
          <w:szCs w:val="26"/>
        </w:rPr>
        <w:t xml:space="preserve"> </w:t>
      </w:r>
    </w:p>
    <w:p w14:paraId="7F6A05DA" w14:textId="77777777" w:rsidR="00C30602" w:rsidRPr="00C30602" w:rsidRDefault="00C30602" w:rsidP="00C30602">
      <w:pPr>
        <w:pStyle w:val="ListParagraph"/>
        <w:spacing w:before="60" w:after="60"/>
        <w:ind w:left="0" w:right="43" w:firstLine="284"/>
        <w:rPr>
          <w:rFonts w:ascii="Times New Roman" w:hAnsi="Times New Roman" w:cs="Times New Roman"/>
          <w:bCs/>
          <w:sz w:val="26"/>
          <w:szCs w:val="26"/>
        </w:rPr>
      </w:pPr>
      <w:r w:rsidRPr="00C30602">
        <w:rPr>
          <w:rFonts w:ascii="Times New Roman" w:hAnsi="Times New Roman" w:cs="Times New Roman"/>
          <w:bCs/>
          <w:sz w:val="26"/>
          <w:szCs w:val="26"/>
          <w:highlight w:val="yellow"/>
        </w:rPr>
        <w:t>+ Nếu hàng hóa có nguồn gốc trong nước: Nhà thầu phải cung cấp giấy xuất xưởng của hàng hóa hoặc giấy tờ khác tương đương trước khi giao hàng và các tài liệu khác yêu cầu trong điều kiện cụ thể của hợp đồng.</w:t>
      </w:r>
    </w:p>
    <w:p w14:paraId="216F7FEC" w14:textId="77777777" w:rsidR="00C30602" w:rsidRPr="00C30602" w:rsidRDefault="00C30602" w:rsidP="00C30602">
      <w:pPr>
        <w:pStyle w:val="ListParagraph"/>
        <w:spacing w:before="60" w:after="60"/>
        <w:ind w:left="0" w:right="43" w:firstLine="284"/>
        <w:rPr>
          <w:rFonts w:ascii="Times New Roman" w:hAnsi="Times New Roman" w:cs="Times New Roman"/>
          <w:bCs/>
          <w:sz w:val="26"/>
          <w:szCs w:val="26"/>
        </w:rPr>
      </w:pPr>
      <w:r w:rsidRPr="00C30602">
        <w:rPr>
          <w:rFonts w:ascii="Times New Roman" w:hAnsi="Times New Roman" w:cs="Times New Roman"/>
          <w:bCs/>
          <w:sz w:val="26"/>
          <w:szCs w:val="26"/>
        </w:rPr>
        <w:t>- Giá dự thầu bao gồm phạm vi cung cấp hàng hóa tại Mẫu số 01A, các dịch vụ liên quan tại Mẫu số 01B Chương IV của E-HSMT (nếu có) và các nội dung yêu cầu tại Chương V của E-HSMT.</w:t>
      </w:r>
    </w:p>
    <w:p w14:paraId="4D8B40CC" w14:textId="77777777" w:rsidR="00C30602" w:rsidRPr="00C30602" w:rsidRDefault="00C30602" w:rsidP="00C30602">
      <w:pPr>
        <w:pStyle w:val="ListParagraph"/>
        <w:spacing w:before="60" w:after="60"/>
        <w:ind w:left="0" w:right="43" w:firstLine="284"/>
        <w:rPr>
          <w:rFonts w:ascii="Times New Roman" w:hAnsi="Times New Roman" w:cs="Times New Roman"/>
          <w:bCs/>
          <w:sz w:val="26"/>
          <w:szCs w:val="26"/>
        </w:rPr>
      </w:pPr>
      <w:r w:rsidRPr="00C30602">
        <w:rPr>
          <w:rFonts w:ascii="Times New Roman" w:hAnsi="Times New Roman" w:cs="Times New Roman"/>
          <w:bCs/>
          <w:sz w:val="26"/>
          <w:szCs w:val="26"/>
        </w:rPr>
        <w:lastRenderedPageBreak/>
        <w:t>- Nhà thầu có trách nhiệm cung cấp các phụ kiện kèm theo thiết bị để đảm bảo thiết bị được lắp đặt, ghép nối phù hợp với các thiết bị hiện hữu của chủ đầu tư.</w:t>
      </w:r>
    </w:p>
    <w:p w14:paraId="7241B78F" w14:textId="77777777" w:rsidR="00C30602" w:rsidRPr="00C30602" w:rsidRDefault="00C30602" w:rsidP="00C30602">
      <w:pPr>
        <w:pStyle w:val="ListParagraph"/>
        <w:spacing w:before="60" w:after="60"/>
        <w:ind w:left="0" w:right="43" w:firstLine="284"/>
        <w:rPr>
          <w:rFonts w:ascii="Times New Roman" w:hAnsi="Times New Roman" w:cs="Times New Roman"/>
          <w:bCs/>
          <w:i/>
          <w:iCs/>
          <w:sz w:val="26"/>
          <w:szCs w:val="26"/>
        </w:rPr>
      </w:pPr>
      <w:r w:rsidRPr="00C30602">
        <w:rPr>
          <w:rFonts w:ascii="Times New Roman" w:hAnsi="Times New Roman" w:cs="Times New Roman"/>
          <w:bCs/>
          <w:i/>
          <w:iCs/>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5E2BE6E7" w14:textId="77777777" w:rsidR="00C30602" w:rsidRPr="00C30602" w:rsidRDefault="00C30602" w:rsidP="00C30602">
      <w:pPr>
        <w:pStyle w:val="ListParagraph"/>
        <w:spacing w:before="60" w:after="60"/>
        <w:ind w:left="0" w:right="43" w:firstLine="284"/>
        <w:rPr>
          <w:rFonts w:ascii="Times New Roman" w:hAnsi="Times New Roman" w:cs="Times New Roman"/>
          <w:bCs/>
          <w:i/>
          <w:iCs/>
          <w:spacing w:val="4"/>
          <w:sz w:val="26"/>
          <w:szCs w:val="26"/>
        </w:rPr>
      </w:pPr>
      <w:r w:rsidRPr="00C30602">
        <w:rPr>
          <w:rFonts w:ascii="Times New Roman" w:hAnsi="Times New Roman" w:cs="Times New Roman"/>
          <w:bCs/>
          <w:i/>
          <w:iCs/>
          <w:spacing w:val="4"/>
          <w:sz w:val="26"/>
          <w:szCs w:val="26"/>
        </w:rPr>
        <w:t xml:space="preserve">- Thuế VAT trong dự toán gói thầu duyệt là 10%. Việc đánh giá xếp hạng các E-HSDT và so sánh với dự toán gói thầu sẽ được tính theo mặt bằng thuế VAT 10%. </w:t>
      </w:r>
    </w:p>
    <w:p w14:paraId="554612CB" w14:textId="77777777" w:rsidR="00C30602" w:rsidRPr="00C30602" w:rsidRDefault="00C30602" w:rsidP="00C30602">
      <w:pPr>
        <w:pStyle w:val="ListParagraph"/>
        <w:spacing w:before="60" w:after="60"/>
        <w:ind w:left="0" w:right="43" w:firstLine="284"/>
        <w:rPr>
          <w:rFonts w:ascii="Times New Roman" w:hAnsi="Times New Roman" w:cs="Times New Roman"/>
          <w:bCs/>
          <w:i/>
          <w:iCs/>
          <w:sz w:val="26"/>
          <w:szCs w:val="26"/>
        </w:rPr>
      </w:pPr>
      <w:r w:rsidRPr="00C30602">
        <w:rPr>
          <w:rFonts w:ascii="Times New Roman" w:hAnsi="Times New Roman" w:cs="Times New Roman"/>
          <w:bCs/>
          <w:i/>
          <w:iCs/>
          <w:sz w:val="26"/>
          <w:szCs w:val="26"/>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7C4BDEA4" w14:textId="77777777" w:rsidR="00C30602" w:rsidRPr="00C30602" w:rsidRDefault="00C30602" w:rsidP="00C30602">
      <w:pPr>
        <w:widowControl w:val="0"/>
        <w:spacing w:line="288" w:lineRule="auto"/>
        <w:ind w:firstLine="567"/>
        <w:rPr>
          <w:b/>
          <w:bCs/>
          <w:i/>
          <w:iCs/>
          <w:sz w:val="26"/>
          <w:szCs w:val="26"/>
        </w:rPr>
      </w:pPr>
      <w:r w:rsidRPr="00C30602">
        <w:rPr>
          <w:b/>
          <w:iCs/>
          <w:sz w:val="26"/>
          <w:szCs w:val="26"/>
        </w:rPr>
        <w:t xml:space="preserve">B. </w:t>
      </w:r>
      <w:r w:rsidRPr="00C30602">
        <w:rPr>
          <w:b/>
          <w:bCs/>
          <w:i/>
          <w:iCs/>
          <w:sz w:val="26"/>
          <w:szCs w:val="26"/>
        </w:rPr>
        <w:t>Yêu cầu về kỹ thuật</w:t>
      </w:r>
    </w:p>
    <w:p w14:paraId="05A9452C" w14:textId="77777777" w:rsidR="00C30602" w:rsidRPr="00C30602" w:rsidRDefault="00C30602" w:rsidP="00C30602">
      <w:pPr>
        <w:widowControl w:val="0"/>
        <w:spacing w:line="288" w:lineRule="auto"/>
        <w:ind w:firstLine="567"/>
        <w:rPr>
          <w:b/>
          <w:bCs/>
          <w:i/>
          <w:spacing w:val="-2"/>
          <w:sz w:val="26"/>
          <w:szCs w:val="26"/>
        </w:rPr>
      </w:pPr>
      <w:r w:rsidRPr="00C30602">
        <w:rPr>
          <w:b/>
          <w:bCs/>
          <w:i/>
          <w:spacing w:val="-2"/>
          <w:sz w:val="26"/>
          <w:szCs w:val="26"/>
        </w:rPr>
        <w:t xml:space="preserve">a) Yêu cầu về kỹ thuật:   </w:t>
      </w:r>
    </w:p>
    <w:p w14:paraId="49CF6BBF" w14:textId="77777777" w:rsidR="00C30602" w:rsidRPr="00C30602" w:rsidRDefault="00C30602" w:rsidP="00C30602">
      <w:pPr>
        <w:pStyle w:val="SectionVIHeader"/>
        <w:widowControl w:val="0"/>
        <w:spacing w:before="0" w:after="0" w:line="288" w:lineRule="auto"/>
        <w:ind w:firstLine="567"/>
        <w:jc w:val="both"/>
        <w:rPr>
          <w:sz w:val="26"/>
          <w:szCs w:val="26"/>
        </w:rPr>
      </w:pPr>
      <w:r w:rsidRPr="00C30602">
        <w:rPr>
          <w:i/>
          <w:spacing w:val="-2"/>
          <w:sz w:val="26"/>
          <w:szCs w:val="26"/>
        </w:rPr>
        <w:t>a.1. Yêu cầu chung</w:t>
      </w:r>
    </w:p>
    <w:p w14:paraId="35655228" w14:textId="77777777" w:rsidR="00C30602" w:rsidRPr="00C30602" w:rsidRDefault="00C30602" w:rsidP="00C30602">
      <w:pPr>
        <w:pStyle w:val="ListParagraph"/>
        <w:spacing w:line="288" w:lineRule="auto"/>
        <w:ind w:left="0" w:firstLine="567"/>
        <w:rPr>
          <w:rFonts w:ascii="Times New Roman" w:hAnsi="Times New Roman" w:cs="Times New Roman"/>
          <w:bCs/>
          <w:sz w:val="26"/>
          <w:szCs w:val="26"/>
        </w:rPr>
      </w:pPr>
      <w:r w:rsidRPr="00C30602">
        <w:rPr>
          <w:rFonts w:ascii="Times New Roman" w:hAnsi="Times New Roman" w:cs="Times New Roman"/>
          <w:bCs/>
          <w:sz w:val="26"/>
          <w:szCs w:val="26"/>
        </w:rPr>
        <w:t>- Hàng hóa mới 100% chưa qua sử dụng, có xuất xứ rõ ràng, hợp pháp, đảm bảo chất lượng, đầy đủ phụ kiện kèm theo theo tiêu chuẩn của nhà sản xuất và được sản xuất từ năm 2024 trở lại đây.</w:t>
      </w:r>
    </w:p>
    <w:p w14:paraId="0B0DA539" w14:textId="77777777" w:rsidR="00C30602" w:rsidRPr="00C30602" w:rsidRDefault="00C30602" w:rsidP="00C30602">
      <w:pPr>
        <w:pStyle w:val="ListParagraph"/>
        <w:spacing w:line="288" w:lineRule="auto"/>
        <w:ind w:left="0" w:firstLine="567"/>
        <w:rPr>
          <w:rFonts w:ascii="Times New Roman" w:hAnsi="Times New Roman" w:cs="Times New Roman"/>
          <w:bCs/>
          <w:sz w:val="26"/>
          <w:szCs w:val="26"/>
        </w:rPr>
      </w:pPr>
      <w:r w:rsidRPr="00C30602">
        <w:rPr>
          <w:rFonts w:ascii="Times New Roman" w:hAnsi="Times New Roman" w:cs="Times New Roman"/>
          <w:bCs/>
          <w:sz w:val="26"/>
          <w:szCs w:val="26"/>
          <w:highlight w:val="yellow"/>
        </w:rPr>
        <w:t>- Nhà thầu phải cấp CO, CQ, Test Reports (bản gốc hoặc bản sao công chứng) do cơ quan có thẩm quyền cấp đối với hàng hóa được nhập khẩu và giấy chứng nhận thử nghiệm xuất xưởng cho lô hàng của nhà sản xuất khi giao hàng.</w:t>
      </w:r>
      <w:r w:rsidRPr="00C30602">
        <w:rPr>
          <w:rFonts w:ascii="Times New Roman" w:hAnsi="Times New Roman" w:cs="Times New Roman"/>
          <w:bCs/>
          <w:sz w:val="26"/>
          <w:szCs w:val="26"/>
        </w:rPr>
        <w:t xml:space="preserve"> </w:t>
      </w:r>
    </w:p>
    <w:p w14:paraId="25882345" w14:textId="77777777" w:rsidR="00C30602" w:rsidRPr="00C30602" w:rsidRDefault="00C30602" w:rsidP="00C30602">
      <w:pPr>
        <w:pStyle w:val="ListParagraph"/>
        <w:spacing w:line="288" w:lineRule="auto"/>
        <w:ind w:left="0" w:firstLine="567"/>
        <w:rPr>
          <w:rFonts w:ascii="Times New Roman" w:hAnsi="Times New Roman" w:cs="Times New Roman"/>
          <w:bCs/>
          <w:sz w:val="26"/>
          <w:szCs w:val="26"/>
        </w:rPr>
      </w:pPr>
      <w:r w:rsidRPr="00C30602">
        <w:rPr>
          <w:rFonts w:ascii="Times New Roman" w:hAnsi="Times New Roman" w:cs="Times New Roman"/>
          <w:bCs/>
          <w:sz w:val="26"/>
          <w:szCs w:val="26"/>
        </w:rPr>
        <w:t>- Hàng hóa mà nhà thầu chào trong E-HSDT phải có đầy đủ hồ sơ tài liệu chứng minh sự phù hợp của hàng hóa theo yêu cầu kỹ thuật chi tiết mục a.2 dưới đây. Trong E-HSDT của mình, nhà thầu phải nêu cụ thể nhãn hiệu, hãng sản xuất và xuất xứ của hàng hóa chào hàng mà không được gửi kèm theo cụm từ “hoặc tương đương”.</w:t>
      </w:r>
    </w:p>
    <w:p w14:paraId="72BDE44E" w14:textId="77777777" w:rsidR="00C30602" w:rsidRPr="00C30602" w:rsidRDefault="00C30602" w:rsidP="00C30602">
      <w:pPr>
        <w:pStyle w:val="ListParagraph"/>
        <w:spacing w:line="288" w:lineRule="auto"/>
        <w:ind w:left="0" w:firstLine="567"/>
        <w:rPr>
          <w:rFonts w:ascii="Times New Roman" w:hAnsi="Times New Roman" w:cs="Times New Roman"/>
          <w:bCs/>
          <w:sz w:val="26"/>
          <w:szCs w:val="26"/>
        </w:rPr>
      </w:pPr>
      <w:r w:rsidRPr="00C30602">
        <w:rPr>
          <w:rFonts w:ascii="Times New Roman" w:hAnsi="Times New Roman" w:cs="Times New Roman"/>
          <w:bCs/>
          <w:sz w:val="26"/>
          <w:szCs w:val="26"/>
        </w:rPr>
        <w:tab/>
        <w:t>- Khi giao hàng, nhà thầu phải cung cấp cho bên mua thông tin nguồn gốc xuất xứ, của hàng hoá đã giao.</w:t>
      </w:r>
    </w:p>
    <w:p w14:paraId="79EC8728" w14:textId="77777777" w:rsidR="00C30602" w:rsidRPr="00C30602" w:rsidRDefault="00C30602" w:rsidP="00C30602">
      <w:pPr>
        <w:pStyle w:val="ListParagraph"/>
        <w:spacing w:line="288" w:lineRule="auto"/>
        <w:ind w:left="0" w:firstLine="567"/>
        <w:rPr>
          <w:rFonts w:ascii="Times New Roman" w:hAnsi="Times New Roman" w:cs="Times New Roman"/>
          <w:bCs/>
          <w:sz w:val="26"/>
          <w:szCs w:val="26"/>
        </w:rPr>
      </w:pPr>
      <w:r w:rsidRPr="00C30602">
        <w:rPr>
          <w:rFonts w:ascii="Times New Roman" w:hAnsi="Times New Roman" w:cs="Times New Roman"/>
          <w:bCs/>
          <w:sz w:val="26"/>
          <w:szCs w:val="26"/>
        </w:rPr>
        <w:tab/>
        <w:t>- Hàng hóa được bảo hành ≥24 tháng kể từ ngày ký biên bản nghiệm thu bàn giao đưa vào sử dụng.</w:t>
      </w:r>
    </w:p>
    <w:p w14:paraId="020A0F6F" w14:textId="77777777" w:rsidR="00C30602" w:rsidRPr="00C30602" w:rsidRDefault="00C30602" w:rsidP="00C30602">
      <w:pPr>
        <w:spacing w:line="288" w:lineRule="auto"/>
        <w:ind w:firstLine="567"/>
        <w:rPr>
          <w:b/>
          <w:bCs/>
          <w:sz w:val="26"/>
          <w:szCs w:val="26"/>
          <w:lang w:val="pl-PL"/>
        </w:rPr>
      </w:pPr>
      <w:r w:rsidRPr="00C30602">
        <w:rPr>
          <w:b/>
          <w:bCs/>
          <w:i/>
          <w:spacing w:val="-2"/>
          <w:sz w:val="26"/>
          <w:szCs w:val="26"/>
        </w:rPr>
        <w:t>a.2. Yêu cầu kỹ thuật cụ thể</w:t>
      </w:r>
      <w:r w:rsidRPr="00C30602">
        <w:rPr>
          <w:b/>
          <w:bCs/>
          <w:sz w:val="26"/>
          <w:szCs w:val="26"/>
          <w:lang w:val="pl-PL"/>
        </w:rPr>
        <w:t>:</w:t>
      </w:r>
    </w:p>
    <w:p w14:paraId="56FEB937" w14:textId="77777777" w:rsidR="00C30602" w:rsidRPr="00C30602" w:rsidRDefault="00C30602" w:rsidP="00C30602">
      <w:pPr>
        <w:pStyle w:val="SectionVIHeader"/>
        <w:widowControl w:val="0"/>
        <w:spacing w:before="0" w:after="0" w:line="288" w:lineRule="auto"/>
        <w:ind w:firstLine="567"/>
        <w:jc w:val="both"/>
        <w:rPr>
          <w:i/>
          <w:spacing w:val="-2"/>
          <w:sz w:val="26"/>
          <w:szCs w:val="26"/>
          <w:lang w:val="pl-PL"/>
        </w:rPr>
      </w:pPr>
      <w:r w:rsidRPr="00C30602">
        <w:rPr>
          <w:i/>
          <w:spacing w:val="-2"/>
          <w:sz w:val="26"/>
          <w:szCs w:val="26"/>
          <w:lang w:val="pl-PL"/>
        </w:rPr>
        <w:t>Bảng dữ liệu</w:t>
      </w:r>
    </w:p>
    <w:p w14:paraId="05144D0D" w14:textId="77777777" w:rsidR="00C30602" w:rsidRPr="00C30602" w:rsidRDefault="00C30602" w:rsidP="00C30602">
      <w:pPr>
        <w:spacing w:line="288" w:lineRule="auto"/>
        <w:ind w:firstLine="567"/>
        <w:rPr>
          <w:sz w:val="26"/>
          <w:szCs w:val="26"/>
          <w:lang w:val="pl-PL"/>
        </w:rPr>
      </w:pPr>
      <w:r w:rsidRPr="00C30602">
        <w:rPr>
          <w:sz w:val="26"/>
          <w:szCs w:val="26"/>
          <w:lang w:val="pl-PL"/>
        </w:rPr>
        <w:t>- Dữ liệu trong cột "Yêu cầu" của các bảng dưới dây được xem cùng với mô tả trong Mục điều khoản về mặt kỹ thuật và các yêu cầu mà nhà cung cấp phải thực hiện.</w:t>
      </w:r>
    </w:p>
    <w:p w14:paraId="76DC9C93" w14:textId="77777777" w:rsidR="00C30602" w:rsidRPr="00C30602" w:rsidRDefault="00C30602" w:rsidP="00C30602">
      <w:pPr>
        <w:spacing w:line="288" w:lineRule="auto"/>
        <w:ind w:firstLine="567"/>
        <w:rPr>
          <w:sz w:val="26"/>
          <w:szCs w:val="26"/>
          <w:lang w:val="pl-PL"/>
        </w:rPr>
      </w:pPr>
      <w:r w:rsidRPr="00C30602">
        <w:rPr>
          <w:sz w:val="26"/>
          <w:szCs w:val="26"/>
          <w:lang w:val="pl-PL"/>
        </w:rPr>
        <w:t xml:space="preserve">- Nhà thầu điền đầy đủ vào cột "Đáp ứng". </w:t>
      </w:r>
      <w:bookmarkStart w:id="0" w:name="_Hlk136098217"/>
    </w:p>
    <w:p w14:paraId="086F9DBB" w14:textId="77777777" w:rsidR="00C30602" w:rsidRPr="00C30602" w:rsidRDefault="00C30602" w:rsidP="00C30602">
      <w:pPr>
        <w:pStyle w:val="SectionVIHeader"/>
        <w:widowControl w:val="0"/>
        <w:spacing w:before="0" w:after="0" w:line="288" w:lineRule="auto"/>
        <w:ind w:firstLine="567"/>
        <w:jc w:val="both"/>
        <w:rPr>
          <w:b w:val="0"/>
          <w:sz w:val="26"/>
          <w:szCs w:val="26"/>
          <w:lang w:val="pl-PL"/>
        </w:rPr>
      </w:pPr>
      <w:r w:rsidRPr="00C30602">
        <w:rPr>
          <w:b w:val="0"/>
          <w:sz w:val="26"/>
          <w:szCs w:val="26"/>
          <w:lang w:val="pl-PL"/>
        </w:rPr>
        <w:t>- Nếu khoảng trống trong cột "Đáp ứng" không đủ để điền thông tin, Nhà thầu bổ sung bảng thông tin sẽ đính kèm vào cuối phần này. Bảng thông tin bổ sung phải chứa các thông tin và dữ liệu cụ thể. Các tờ rơi,... đều không được công nhận và có thể bị đánh giá là thiếu thông tin</w:t>
      </w:r>
      <w:bookmarkEnd w:id="0"/>
      <w:r w:rsidRPr="00C30602">
        <w:rPr>
          <w:b w:val="0"/>
          <w:sz w:val="26"/>
          <w:szCs w:val="26"/>
          <w:lang w:val="pl-PL"/>
        </w:rPr>
        <w:t>:</w:t>
      </w:r>
    </w:p>
    <w:p w14:paraId="3D02B8D2" w14:textId="77777777" w:rsidR="00C30602" w:rsidRPr="00C30602" w:rsidRDefault="00C30602" w:rsidP="00C30602">
      <w:pPr>
        <w:widowControl w:val="0"/>
        <w:spacing w:before="40" w:after="40"/>
        <w:rPr>
          <w:b/>
          <w:sz w:val="26"/>
          <w:szCs w:val="26"/>
          <w:lang w:val="pl-P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436"/>
        <w:gridCol w:w="3402"/>
        <w:gridCol w:w="1843"/>
      </w:tblGrid>
      <w:tr w:rsidR="00C30602" w:rsidRPr="00C30602" w14:paraId="78EB982F" w14:textId="77777777" w:rsidTr="001B13AB">
        <w:trPr>
          <w:trHeight w:val="765"/>
          <w:tblHeader/>
        </w:trPr>
        <w:tc>
          <w:tcPr>
            <w:tcW w:w="670" w:type="dxa"/>
            <w:vAlign w:val="center"/>
            <w:hideMark/>
          </w:tcPr>
          <w:p w14:paraId="2C79185F" w14:textId="77777777" w:rsidR="00C30602" w:rsidRPr="00C30602" w:rsidRDefault="00C30602" w:rsidP="001B13AB">
            <w:pPr>
              <w:spacing w:before="40" w:after="40"/>
              <w:jc w:val="center"/>
              <w:rPr>
                <w:b/>
                <w:bCs/>
                <w:sz w:val="26"/>
                <w:szCs w:val="26"/>
              </w:rPr>
            </w:pPr>
            <w:r w:rsidRPr="00C30602">
              <w:rPr>
                <w:b/>
                <w:bCs/>
                <w:sz w:val="26"/>
                <w:szCs w:val="26"/>
              </w:rPr>
              <w:lastRenderedPageBreak/>
              <w:t>TT</w:t>
            </w:r>
          </w:p>
        </w:tc>
        <w:tc>
          <w:tcPr>
            <w:tcW w:w="3436" w:type="dxa"/>
            <w:vAlign w:val="center"/>
            <w:hideMark/>
          </w:tcPr>
          <w:p w14:paraId="3CA8C450" w14:textId="77777777" w:rsidR="00C30602" w:rsidRPr="00C30602" w:rsidRDefault="00C30602" w:rsidP="001B13AB">
            <w:pPr>
              <w:spacing w:before="40" w:after="40"/>
              <w:jc w:val="center"/>
              <w:rPr>
                <w:b/>
                <w:bCs/>
                <w:sz w:val="26"/>
                <w:szCs w:val="26"/>
              </w:rPr>
            </w:pPr>
            <w:r w:rsidRPr="00C30602">
              <w:rPr>
                <w:b/>
                <w:bCs/>
                <w:sz w:val="26"/>
                <w:szCs w:val="26"/>
              </w:rPr>
              <w:t>Tên VTTB</w:t>
            </w:r>
          </w:p>
        </w:tc>
        <w:tc>
          <w:tcPr>
            <w:tcW w:w="3402" w:type="dxa"/>
            <w:vAlign w:val="center"/>
            <w:hideMark/>
          </w:tcPr>
          <w:p w14:paraId="317FF5B3" w14:textId="77777777" w:rsidR="00C30602" w:rsidRPr="00C30602" w:rsidRDefault="00C30602" w:rsidP="001B13AB">
            <w:pPr>
              <w:spacing w:before="40" w:after="40"/>
              <w:jc w:val="center"/>
              <w:rPr>
                <w:b/>
                <w:bCs/>
                <w:sz w:val="26"/>
                <w:szCs w:val="26"/>
              </w:rPr>
            </w:pPr>
            <w:r w:rsidRPr="00C30602">
              <w:rPr>
                <w:b/>
                <w:bCs/>
                <w:sz w:val="26"/>
                <w:szCs w:val="26"/>
              </w:rPr>
              <w:t>Yêu cầu</w:t>
            </w:r>
          </w:p>
        </w:tc>
        <w:tc>
          <w:tcPr>
            <w:tcW w:w="1843" w:type="dxa"/>
            <w:vAlign w:val="center"/>
            <w:hideMark/>
          </w:tcPr>
          <w:p w14:paraId="15019631" w14:textId="77777777" w:rsidR="00C30602" w:rsidRPr="00C30602" w:rsidRDefault="00C30602" w:rsidP="001B13AB">
            <w:pPr>
              <w:spacing w:before="40" w:after="40"/>
              <w:jc w:val="center"/>
              <w:rPr>
                <w:b/>
                <w:bCs/>
                <w:sz w:val="26"/>
                <w:szCs w:val="26"/>
              </w:rPr>
            </w:pPr>
            <w:r w:rsidRPr="00C30602">
              <w:rPr>
                <w:b/>
                <w:bCs/>
                <w:sz w:val="26"/>
                <w:szCs w:val="26"/>
              </w:rPr>
              <w:t>Nhà thầu đáp ứng</w:t>
            </w:r>
          </w:p>
        </w:tc>
      </w:tr>
      <w:tr w:rsidR="00C30602" w:rsidRPr="00C30602" w14:paraId="69FFBE81" w14:textId="77777777" w:rsidTr="001B13AB">
        <w:trPr>
          <w:trHeight w:val="779"/>
        </w:trPr>
        <w:tc>
          <w:tcPr>
            <w:tcW w:w="670" w:type="dxa"/>
            <w:noWrap/>
            <w:vAlign w:val="center"/>
            <w:hideMark/>
          </w:tcPr>
          <w:p w14:paraId="013A40BC" w14:textId="77777777" w:rsidR="00C30602" w:rsidRPr="00C30602" w:rsidRDefault="00C30602" w:rsidP="001B13AB">
            <w:pPr>
              <w:spacing w:before="40" w:after="40"/>
              <w:jc w:val="center"/>
              <w:rPr>
                <w:sz w:val="26"/>
                <w:szCs w:val="26"/>
              </w:rPr>
            </w:pPr>
            <w:r w:rsidRPr="00C30602">
              <w:rPr>
                <w:sz w:val="26"/>
                <w:szCs w:val="26"/>
              </w:rPr>
              <w:t>1</w:t>
            </w:r>
          </w:p>
        </w:tc>
        <w:tc>
          <w:tcPr>
            <w:tcW w:w="3436" w:type="dxa"/>
            <w:vAlign w:val="center"/>
            <w:hideMark/>
          </w:tcPr>
          <w:p w14:paraId="32D210F0" w14:textId="77777777" w:rsidR="00C30602" w:rsidRPr="00C30602" w:rsidRDefault="00C30602" w:rsidP="001B13AB">
            <w:pPr>
              <w:spacing w:before="40" w:after="40"/>
              <w:rPr>
                <w:sz w:val="26"/>
                <w:szCs w:val="26"/>
              </w:rPr>
            </w:pPr>
            <w:r w:rsidRPr="00C30602">
              <w:rPr>
                <w:sz w:val="26"/>
                <w:szCs w:val="26"/>
              </w:rPr>
              <w:t>Module truyền thông rơ le F90</w:t>
            </w:r>
          </w:p>
        </w:tc>
        <w:tc>
          <w:tcPr>
            <w:tcW w:w="3402" w:type="dxa"/>
            <w:vAlign w:val="center"/>
          </w:tcPr>
          <w:p w14:paraId="3FE09A36" w14:textId="77777777" w:rsidR="00C30602" w:rsidRPr="00C30602" w:rsidRDefault="00C30602" w:rsidP="001B13AB">
            <w:pPr>
              <w:spacing w:before="40" w:after="40"/>
              <w:jc w:val="center"/>
              <w:rPr>
                <w:sz w:val="26"/>
                <w:szCs w:val="26"/>
              </w:rPr>
            </w:pPr>
          </w:p>
        </w:tc>
        <w:tc>
          <w:tcPr>
            <w:tcW w:w="1843" w:type="dxa"/>
            <w:vAlign w:val="center"/>
          </w:tcPr>
          <w:p w14:paraId="2688D27D" w14:textId="77777777" w:rsidR="00C30602" w:rsidRPr="00C30602" w:rsidRDefault="00C30602" w:rsidP="001B13AB">
            <w:pPr>
              <w:spacing w:before="40" w:after="40"/>
              <w:jc w:val="center"/>
              <w:rPr>
                <w:sz w:val="26"/>
                <w:szCs w:val="26"/>
              </w:rPr>
            </w:pPr>
          </w:p>
        </w:tc>
      </w:tr>
      <w:tr w:rsidR="00C30602" w:rsidRPr="00C30602" w14:paraId="4E206D24" w14:textId="77777777" w:rsidTr="001B13AB">
        <w:trPr>
          <w:trHeight w:val="779"/>
        </w:trPr>
        <w:tc>
          <w:tcPr>
            <w:tcW w:w="670" w:type="dxa"/>
            <w:noWrap/>
            <w:vAlign w:val="center"/>
          </w:tcPr>
          <w:p w14:paraId="133C4471" w14:textId="77777777" w:rsidR="00C30602" w:rsidRPr="00C30602" w:rsidRDefault="00C30602" w:rsidP="001B13AB">
            <w:pPr>
              <w:spacing w:before="40" w:after="40"/>
              <w:jc w:val="center"/>
              <w:rPr>
                <w:sz w:val="26"/>
                <w:szCs w:val="26"/>
              </w:rPr>
            </w:pPr>
          </w:p>
        </w:tc>
        <w:tc>
          <w:tcPr>
            <w:tcW w:w="3436" w:type="dxa"/>
            <w:vAlign w:val="center"/>
          </w:tcPr>
          <w:p w14:paraId="0A1A53E8" w14:textId="77777777" w:rsidR="00C30602" w:rsidRPr="00C30602" w:rsidRDefault="00C30602" w:rsidP="001B13AB">
            <w:pPr>
              <w:spacing w:before="40" w:after="40"/>
              <w:jc w:val="left"/>
              <w:rPr>
                <w:sz w:val="26"/>
                <w:szCs w:val="26"/>
              </w:rPr>
            </w:pPr>
            <w:r w:rsidRPr="00C30602">
              <w:rPr>
                <w:sz w:val="26"/>
                <w:szCs w:val="26"/>
              </w:rPr>
              <w:t>Hãng sản xuất/ Nước sản xuất</w:t>
            </w:r>
          </w:p>
        </w:tc>
        <w:tc>
          <w:tcPr>
            <w:tcW w:w="3402" w:type="dxa"/>
            <w:vAlign w:val="center"/>
          </w:tcPr>
          <w:p w14:paraId="2F11AF3E" w14:textId="77777777" w:rsidR="00C30602" w:rsidRPr="00C30602" w:rsidRDefault="00C30602" w:rsidP="001B13AB">
            <w:pPr>
              <w:spacing w:before="40" w:after="40"/>
              <w:jc w:val="center"/>
              <w:rPr>
                <w:sz w:val="26"/>
                <w:szCs w:val="26"/>
              </w:rPr>
            </w:pPr>
            <w:r w:rsidRPr="00C30602">
              <w:rPr>
                <w:sz w:val="26"/>
                <w:szCs w:val="26"/>
              </w:rPr>
              <w:t>Ghi rõ</w:t>
            </w:r>
          </w:p>
        </w:tc>
        <w:tc>
          <w:tcPr>
            <w:tcW w:w="1843" w:type="dxa"/>
            <w:vAlign w:val="center"/>
          </w:tcPr>
          <w:p w14:paraId="547CADB2" w14:textId="77777777" w:rsidR="00C30602" w:rsidRPr="00C30602" w:rsidRDefault="00C30602" w:rsidP="001B13AB">
            <w:pPr>
              <w:spacing w:before="40" w:after="40"/>
              <w:jc w:val="center"/>
              <w:rPr>
                <w:sz w:val="26"/>
                <w:szCs w:val="26"/>
              </w:rPr>
            </w:pPr>
          </w:p>
        </w:tc>
      </w:tr>
      <w:tr w:rsidR="00C30602" w:rsidRPr="00C30602" w14:paraId="1AD8AC68" w14:textId="77777777" w:rsidTr="001B13AB">
        <w:trPr>
          <w:trHeight w:val="779"/>
        </w:trPr>
        <w:tc>
          <w:tcPr>
            <w:tcW w:w="670" w:type="dxa"/>
            <w:noWrap/>
            <w:vAlign w:val="center"/>
          </w:tcPr>
          <w:p w14:paraId="4D07D1FF" w14:textId="77777777" w:rsidR="00C30602" w:rsidRPr="00C30602" w:rsidRDefault="00C30602" w:rsidP="001B13AB">
            <w:pPr>
              <w:spacing w:before="40" w:after="40"/>
              <w:jc w:val="center"/>
              <w:rPr>
                <w:sz w:val="26"/>
                <w:szCs w:val="26"/>
              </w:rPr>
            </w:pPr>
          </w:p>
        </w:tc>
        <w:tc>
          <w:tcPr>
            <w:tcW w:w="3436" w:type="dxa"/>
            <w:vAlign w:val="center"/>
          </w:tcPr>
          <w:p w14:paraId="40100E43" w14:textId="77777777" w:rsidR="00C30602" w:rsidRPr="00C30602" w:rsidRDefault="00C30602" w:rsidP="001B13AB">
            <w:pPr>
              <w:spacing w:before="40" w:after="40"/>
              <w:rPr>
                <w:sz w:val="26"/>
                <w:szCs w:val="26"/>
              </w:rPr>
            </w:pPr>
            <w:r w:rsidRPr="00C30602">
              <w:rPr>
                <w:sz w:val="26"/>
                <w:szCs w:val="26"/>
              </w:rPr>
              <w:t>Yêu cầu kỹ thuật</w:t>
            </w:r>
          </w:p>
        </w:tc>
        <w:tc>
          <w:tcPr>
            <w:tcW w:w="3402" w:type="dxa"/>
            <w:vAlign w:val="center"/>
          </w:tcPr>
          <w:p w14:paraId="42FFE606" w14:textId="77777777" w:rsidR="00C30602" w:rsidRPr="00C30602" w:rsidRDefault="00C30602" w:rsidP="001B13AB">
            <w:pPr>
              <w:spacing w:before="40" w:after="40"/>
              <w:jc w:val="center"/>
              <w:rPr>
                <w:sz w:val="26"/>
                <w:szCs w:val="26"/>
              </w:rPr>
            </w:pPr>
            <w:r w:rsidRPr="00C30602">
              <w:rPr>
                <w:color w:val="EE0000"/>
                <w:sz w:val="26"/>
                <w:szCs w:val="26"/>
              </w:rPr>
              <w:t>Module truyền thông phù hợp với rơ le REG-PED, hãng A-EBERLE</w:t>
            </w:r>
          </w:p>
        </w:tc>
        <w:tc>
          <w:tcPr>
            <w:tcW w:w="1843" w:type="dxa"/>
            <w:vAlign w:val="center"/>
          </w:tcPr>
          <w:p w14:paraId="6E284B2B" w14:textId="77777777" w:rsidR="00C30602" w:rsidRPr="00C30602" w:rsidRDefault="00C30602" w:rsidP="001B13AB">
            <w:pPr>
              <w:spacing w:before="40" w:after="40"/>
              <w:jc w:val="center"/>
              <w:rPr>
                <w:sz w:val="26"/>
                <w:szCs w:val="26"/>
              </w:rPr>
            </w:pPr>
          </w:p>
        </w:tc>
      </w:tr>
      <w:tr w:rsidR="00C30602" w:rsidRPr="00C30602" w14:paraId="6CAB30DD" w14:textId="77777777" w:rsidTr="001B13AB">
        <w:trPr>
          <w:trHeight w:val="779"/>
        </w:trPr>
        <w:tc>
          <w:tcPr>
            <w:tcW w:w="670" w:type="dxa"/>
            <w:noWrap/>
            <w:vAlign w:val="center"/>
          </w:tcPr>
          <w:p w14:paraId="055AC7F5" w14:textId="77777777" w:rsidR="00C30602" w:rsidRPr="00C30602" w:rsidRDefault="00C30602" w:rsidP="001B13AB">
            <w:pPr>
              <w:spacing w:before="40" w:after="40"/>
              <w:jc w:val="center"/>
              <w:rPr>
                <w:sz w:val="26"/>
                <w:szCs w:val="26"/>
              </w:rPr>
            </w:pPr>
          </w:p>
        </w:tc>
        <w:tc>
          <w:tcPr>
            <w:tcW w:w="3436" w:type="dxa"/>
            <w:vAlign w:val="center"/>
          </w:tcPr>
          <w:p w14:paraId="06B5C1FF" w14:textId="77777777" w:rsidR="00C30602" w:rsidRPr="00C30602" w:rsidRDefault="00C30602" w:rsidP="001B13AB">
            <w:pPr>
              <w:spacing w:before="40" w:after="40"/>
              <w:rPr>
                <w:sz w:val="26"/>
                <w:szCs w:val="26"/>
              </w:rPr>
            </w:pPr>
            <w:r w:rsidRPr="00C30602">
              <w:rPr>
                <w:sz w:val="26"/>
                <w:szCs w:val="26"/>
              </w:rPr>
              <w:t>Nguồn điện</w:t>
            </w:r>
          </w:p>
        </w:tc>
        <w:tc>
          <w:tcPr>
            <w:tcW w:w="3402" w:type="dxa"/>
            <w:vAlign w:val="center"/>
          </w:tcPr>
          <w:p w14:paraId="05E00BC3" w14:textId="77777777" w:rsidR="00C30602" w:rsidRPr="00C30602" w:rsidRDefault="00C30602" w:rsidP="001B13AB">
            <w:pPr>
              <w:spacing w:before="40" w:after="40"/>
              <w:jc w:val="center"/>
              <w:rPr>
                <w:sz w:val="26"/>
                <w:szCs w:val="26"/>
              </w:rPr>
            </w:pPr>
            <w:r w:rsidRPr="00C30602">
              <w:rPr>
                <w:sz w:val="26"/>
                <w:szCs w:val="26"/>
              </w:rPr>
              <w:t>AC 100V..240V/DC 100V..300V</w:t>
            </w:r>
          </w:p>
        </w:tc>
        <w:tc>
          <w:tcPr>
            <w:tcW w:w="1843" w:type="dxa"/>
            <w:vAlign w:val="center"/>
          </w:tcPr>
          <w:p w14:paraId="7F2FED2F" w14:textId="77777777" w:rsidR="00C30602" w:rsidRPr="00C30602" w:rsidRDefault="00C30602" w:rsidP="001B13AB">
            <w:pPr>
              <w:spacing w:before="40" w:after="40"/>
              <w:jc w:val="center"/>
              <w:rPr>
                <w:sz w:val="26"/>
                <w:szCs w:val="26"/>
              </w:rPr>
            </w:pPr>
          </w:p>
        </w:tc>
      </w:tr>
      <w:tr w:rsidR="00C30602" w:rsidRPr="00C30602" w14:paraId="510228A1" w14:textId="77777777" w:rsidTr="001B13AB">
        <w:trPr>
          <w:trHeight w:val="779"/>
        </w:trPr>
        <w:tc>
          <w:tcPr>
            <w:tcW w:w="670" w:type="dxa"/>
            <w:noWrap/>
            <w:vAlign w:val="center"/>
          </w:tcPr>
          <w:p w14:paraId="7E7E73CF" w14:textId="77777777" w:rsidR="00C30602" w:rsidRPr="00C30602" w:rsidRDefault="00C30602" w:rsidP="001B13AB">
            <w:pPr>
              <w:spacing w:before="40" w:after="40"/>
              <w:jc w:val="center"/>
              <w:rPr>
                <w:sz w:val="26"/>
                <w:szCs w:val="26"/>
              </w:rPr>
            </w:pPr>
          </w:p>
        </w:tc>
        <w:tc>
          <w:tcPr>
            <w:tcW w:w="3436" w:type="dxa"/>
            <w:vAlign w:val="center"/>
          </w:tcPr>
          <w:p w14:paraId="542DD132" w14:textId="77777777" w:rsidR="00C30602" w:rsidRPr="00C30602" w:rsidRDefault="00C30602" w:rsidP="001B13AB">
            <w:pPr>
              <w:spacing w:before="40" w:after="40"/>
              <w:rPr>
                <w:sz w:val="26"/>
                <w:szCs w:val="26"/>
              </w:rPr>
            </w:pPr>
            <w:r w:rsidRPr="00C30602">
              <w:rPr>
                <w:sz w:val="26"/>
                <w:szCs w:val="26"/>
              </w:rPr>
              <w:t>Tiêu chuẩn</w:t>
            </w:r>
          </w:p>
        </w:tc>
        <w:tc>
          <w:tcPr>
            <w:tcW w:w="3402" w:type="dxa"/>
            <w:vAlign w:val="center"/>
          </w:tcPr>
          <w:p w14:paraId="7CBF54E2" w14:textId="77777777" w:rsidR="00C30602" w:rsidRPr="00C30602" w:rsidRDefault="00C30602" w:rsidP="001B13AB">
            <w:pPr>
              <w:spacing w:before="40" w:after="40"/>
              <w:jc w:val="center"/>
              <w:rPr>
                <w:sz w:val="26"/>
                <w:szCs w:val="26"/>
              </w:rPr>
            </w:pPr>
            <w:r w:rsidRPr="00C30602">
              <w:rPr>
                <w:sz w:val="26"/>
                <w:szCs w:val="26"/>
              </w:rPr>
              <w:t>IEC 61850</w:t>
            </w:r>
          </w:p>
        </w:tc>
        <w:tc>
          <w:tcPr>
            <w:tcW w:w="1843" w:type="dxa"/>
            <w:vAlign w:val="center"/>
          </w:tcPr>
          <w:p w14:paraId="53286D9E" w14:textId="77777777" w:rsidR="00C30602" w:rsidRPr="00C30602" w:rsidRDefault="00C30602" w:rsidP="001B13AB">
            <w:pPr>
              <w:spacing w:before="40" w:after="40"/>
              <w:jc w:val="center"/>
              <w:rPr>
                <w:sz w:val="26"/>
                <w:szCs w:val="26"/>
              </w:rPr>
            </w:pPr>
          </w:p>
        </w:tc>
      </w:tr>
      <w:tr w:rsidR="00C30602" w:rsidRPr="00C30602" w14:paraId="7F33DF12" w14:textId="77777777" w:rsidTr="001B13AB">
        <w:trPr>
          <w:trHeight w:val="779"/>
        </w:trPr>
        <w:tc>
          <w:tcPr>
            <w:tcW w:w="670" w:type="dxa"/>
            <w:noWrap/>
            <w:vAlign w:val="center"/>
          </w:tcPr>
          <w:p w14:paraId="5ADD8759" w14:textId="77777777" w:rsidR="00C30602" w:rsidRPr="00C30602" w:rsidRDefault="00C30602" w:rsidP="001B13AB">
            <w:pPr>
              <w:spacing w:before="40" w:after="40"/>
              <w:jc w:val="center"/>
              <w:rPr>
                <w:sz w:val="26"/>
                <w:szCs w:val="26"/>
              </w:rPr>
            </w:pPr>
          </w:p>
        </w:tc>
        <w:tc>
          <w:tcPr>
            <w:tcW w:w="3436" w:type="dxa"/>
            <w:vAlign w:val="center"/>
          </w:tcPr>
          <w:p w14:paraId="7F9E3985" w14:textId="77777777" w:rsidR="00C30602" w:rsidRPr="00C30602" w:rsidRDefault="00C30602" w:rsidP="001B13AB">
            <w:pPr>
              <w:spacing w:before="40" w:after="40"/>
              <w:rPr>
                <w:sz w:val="26"/>
                <w:szCs w:val="26"/>
              </w:rPr>
            </w:pPr>
            <w:r w:rsidRPr="00C30602">
              <w:rPr>
                <w:bCs/>
                <w:sz w:val="26"/>
                <w:szCs w:val="26"/>
                <w:lang w:val="sv-SE"/>
              </w:rPr>
              <w:t>Nhà thầu cấp hàng bao gồm cả</w:t>
            </w:r>
            <w:r w:rsidRPr="00C30602">
              <w:rPr>
                <w:color w:val="000000"/>
                <w:sz w:val="26"/>
                <w:szCs w:val="26"/>
              </w:rPr>
              <w:t xml:space="preserve"> dịch vụ cấu hình module truyền thông rơ le F90 pha A MBA AT1 và cấu hình lại hệ thống máy tính điều khiển</w:t>
            </w:r>
          </w:p>
        </w:tc>
        <w:tc>
          <w:tcPr>
            <w:tcW w:w="3402" w:type="dxa"/>
            <w:vAlign w:val="center"/>
          </w:tcPr>
          <w:p w14:paraId="74119B80" w14:textId="77777777" w:rsidR="00C30602" w:rsidRPr="00C30602" w:rsidRDefault="00C30602" w:rsidP="001B13AB">
            <w:pPr>
              <w:spacing w:before="40" w:after="40"/>
              <w:jc w:val="center"/>
              <w:rPr>
                <w:sz w:val="26"/>
                <w:szCs w:val="26"/>
              </w:rPr>
            </w:pPr>
            <w:r w:rsidRPr="00C30602">
              <w:rPr>
                <w:sz w:val="26"/>
                <w:szCs w:val="26"/>
              </w:rPr>
              <w:t>Yêu cầu</w:t>
            </w:r>
          </w:p>
        </w:tc>
        <w:tc>
          <w:tcPr>
            <w:tcW w:w="1843" w:type="dxa"/>
            <w:vAlign w:val="center"/>
          </w:tcPr>
          <w:p w14:paraId="628764D3" w14:textId="77777777" w:rsidR="00C30602" w:rsidRPr="00C30602" w:rsidRDefault="00C30602" w:rsidP="001B13AB">
            <w:pPr>
              <w:spacing w:before="40" w:after="40"/>
              <w:jc w:val="center"/>
              <w:rPr>
                <w:sz w:val="26"/>
                <w:szCs w:val="26"/>
              </w:rPr>
            </w:pPr>
          </w:p>
        </w:tc>
      </w:tr>
    </w:tbl>
    <w:p w14:paraId="0401AF60" w14:textId="77777777" w:rsidR="00C30602" w:rsidRPr="00C30602" w:rsidRDefault="00C30602" w:rsidP="00C30602">
      <w:pPr>
        <w:spacing w:line="288" w:lineRule="auto"/>
        <w:ind w:firstLine="567"/>
        <w:rPr>
          <w:sz w:val="26"/>
          <w:szCs w:val="26"/>
          <w:lang w:val="pl-PL"/>
        </w:rPr>
      </w:pPr>
    </w:p>
    <w:p w14:paraId="4FB1B6D6" w14:textId="77777777" w:rsidR="00C30602" w:rsidRPr="00C30602" w:rsidRDefault="00C30602" w:rsidP="00C30602">
      <w:pPr>
        <w:spacing w:line="288" w:lineRule="auto"/>
        <w:ind w:firstLine="567"/>
        <w:rPr>
          <w:b/>
          <w:bCs/>
          <w:i/>
          <w:spacing w:val="-2"/>
          <w:sz w:val="26"/>
          <w:szCs w:val="26"/>
          <w:lang w:val="pl-PL"/>
        </w:rPr>
      </w:pPr>
      <w:r w:rsidRPr="00C30602">
        <w:rPr>
          <w:b/>
          <w:bCs/>
          <w:i/>
          <w:spacing w:val="-2"/>
          <w:sz w:val="26"/>
          <w:szCs w:val="26"/>
          <w:lang w:val="pl-PL"/>
        </w:rPr>
        <w:t>a.3. Yêu cầu đối với phần thi công cấu hình:</w:t>
      </w:r>
    </w:p>
    <w:p w14:paraId="6FC01C16" w14:textId="77777777" w:rsidR="00C30602" w:rsidRPr="00C30602" w:rsidRDefault="00C30602" w:rsidP="00C30602">
      <w:pPr>
        <w:spacing w:line="288" w:lineRule="auto"/>
        <w:ind w:firstLine="567"/>
        <w:rPr>
          <w:sz w:val="26"/>
          <w:szCs w:val="26"/>
          <w:lang w:val="pl-PL"/>
        </w:rPr>
      </w:pPr>
      <w:r w:rsidRPr="00C30602">
        <w:rPr>
          <w:sz w:val="26"/>
          <w:szCs w:val="26"/>
          <w:lang w:val="pl-PL"/>
        </w:rPr>
        <w:t>- Công tác cấu hình phải đảm bảo an toàn thông tin theo các quy định hiện hành của Nhà nước và của Nghành.</w:t>
      </w:r>
    </w:p>
    <w:p w14:paraId="38026ADC" w14:textId="77777777" w:rsidR="00C30602" w:rsidRPr="00C30602" w:rsidRDefault="00C30602" w:rsidP="00C30602">
      <w:pPr>
        <w:spacing w:line="288" w:lineRule="auto"/>
        <w:ind w:firstLine="567"/>
        <w:rPr>
          <w:sz w:val="26"/>
          <w:szCs w:val="26"/>
          <w:lang w:val="pl-PL"/>
        </w:rPr>
      </w:pPr>
      <w:r w:rsidRPr="00C30602">
        <w:rPr>
          <w:sz w:val="26"/>
          <w:szCs w:val="26"/>
          <w:lang w:val="pl-PL"/>
        </w:rPr>
        <w:t>- Cấu hình IP theo IP đã được quy hoạch của TBA 500KV Lai Châu.</w:t>
      </w:r>
    </w:p>
    <w:p w14:paraId="4FCA3EEE" w14:textId="77777777" w:rsidR="00C30602" w:rsidRPr="00C30602" w:rsidRDefault="00C30602" w:rsidP="00C30602">
      <w:pPr>
        <w:spacing w:line="288" w:lineRule="auto"/>
        <w:ind w:firstLine="567"/>
        <w:rPr>
          <w:sz w:val="26"/>
          <w:szCs w:val="26"/>
          <w:lang w:val="pl-PL"/>
        </w:rPr>
      </w:pPr>
      <w:r w:rsidRPr="00C30602">
        <w:rPr>
          <w:sz w:val="26"/>
          <w:szCs w:val="26"/>
          <w:lang w:val="pl-PL"/>
        </w:rPr>
        <w:t xml:space="preserve">- Sau khi cấu hình thiết bị phải kết nối tốt và được nghiệm thu đủ điều kiện </w:t>
      </w:r>
    </w:p>
    <w:p w14:paraId="1CDD1577" w14:textId="77777777" w:rsidR="00C30602" w:rsidRPr="00C30602" w:rsidRDefault="00C30602" w:rsidP="00C30602">
      <w:pPr>
        <w:pStyle w:val="SectionVIHeader"/>
        <w:spacing w:after="120" w:line="264" w:lineRule="auto"/>
        <w:ind w:firstLine="709"/>
        <w:jc w:val="left"/>
        <w:rPr>
          <w:sz w:val="26"/>
          <w:szCs w:val="26"/>
          <w:lang w:val="pl-PL"/>
        </w:rPr>
      </w:pPr>
      <w:r w:rsidRPr="00C30602">
        <w:rPr>
          <w:sz w:val="26"/>
          <w:szCs w:val="26"/>
          <w:lang w:val="pl-PL"/>
        </w:rPr>
        <w:t>Mục 2. Bản vẽ</w:t>
      </w:r>
    </w:p>
    <w:p w14:paraId="688D4A5F" w14:textId="05DD8142" w:rsidR="00C30602" w:rsidRPr="00C30602" w:rsidRDefault="00C30602" w:rsidP="00C30602">
      <w:pPr>
        <w:spacing w:before="120" w:after="120" w:line="264" w:lineRule="auto"/>
        <w:ind w:firstLine="709"/>
        <w:rPr>
          <w:i/>
          <w:iCs/>
          <w:spacing w:val="-4"/>
          <w:sz w:val="26"/>
          <w:szCs w:val="26"/>
          <w:lang w:val="pl-PL"/>
        </w:rPr>
      </w:pPr>
      <w:r w:rsidRPr="00C30602">
        <w:rPr>
          <w:sz w:val="26"/>
          <w:szCs w:val="26"/>
          <w:lang w:val="pl-PL"/>
        </w:rPr>
        <w:t>Không có bản vẽ</w:t>
      </w:r>
      <w:r w:rsidRPr="00C30602">
        <w:rPr>
          <w:spacing w:val="-4"/>
          <w:sz w:val="26"/>
          <w:szCs w:val="26"/>
          <w:lang w:val="pl-PL"/>
        </w:rPr>
        <w:t xml:space="preserve"> </w:t>
      </w:r>
    </w:p>
    <w:p w14:paraId="0D7AA88F" w14:textId="77777777" w:rsidR="00C30602" w:rsidRPr="00C30602" w:rsidRDefault="00C30602" w:rsidP="00C30602">
      <w:pPr>
        <w:pStyle w:val="SectionVIHeader"/>
        <w:widowControl w:val="0"/>
        <w:spacing w:after="120" w:line="264" w:lineRule="auto"/>
        <w:ind w:firstLine="709"/>
        <w:jc w:val="left"/>
        <w:rPr>
          <w:sz w:val="26"/>
          <w:szCs w:val="26"/>
        </w:rPr>
      </w:pPr>
      <w:r w:rsidRPr="00C30602">
        <w:rPr>
          <w:sz w:val="26"/>
          <w:szCs w:val="26"/>
        </w:rPr>
        <w:t>Mục 3. Kiểm tra và thử nghiệm</w:t>
      </w:r>
    </w:p>
    <w:p w14:paraId="1A548553" w14:textId="2AD29FFC" w:rsidR="008827AF" w:rsidRPr="00C30602" w:rsidRDefault="00C30602" w:rsidP="00C30602">
      <w:r w:rsidRPr="00C30602">
        <w:rPr>
          <w:sz w:val="26"/>
          <w:szCs w:val="26"/>
        </w:rPr>
        <w:t xml:space="preserve">Các kiểm tra và thử nghiệm cần tiến hành gồm có: </w:t>
      </w:r>
      <w:r w:rsidRPr="008F56B4">
        <w:rPr>
          <w:sz w:val="26"/>
          <w:szCs w:val="26"/>
        </w:rPr>
        <w:t>Theo E-HSMT.</w:t>
      </w:r>
    </w:p>
    <w:sectPr w:rsidR="008827AF" w:rsidRPr="00C3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02"/>
    <w:rsid w:val="005308C6"/>
    <w:rsid w:val="006C6B2F"/>
    <w:rsid w:val="0082361A"/>
    <w:rsid w:val="008827AF"/>
    <w:rsid w:val="0091001A"/>
    <w:rsid w:val="00C30602"/>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68B2"/>
  <w15:chartTrackingRefBased/>
  <w15:docId w15:val="{C0DC7BA7-F0D0-45B8-894B-A1793624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02"/>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C3060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3060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30602"/>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30602"/>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C30602"/>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C3060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C30602"/>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C30602"/>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C30602"/>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602"/>
    <w:rPr>
      <w:rFonts w:eastAsiaTheme="majorEastAsia" w:cstheme="majorBidi"/>
      <w:color w:val="272727" w:themeColor="text1" w:themeTint="D8"/>
    </w:rPr>
  </w:style>
  <w:style w:type="paragraph" w:styleId="Title">
    <w:name w:val="Title"/>
    <w:basedOn w:val="Normal"/>
    <w:next w:val="Normal"/>
    <w:link w:val="TitleChar"/>
    <w:uiPriority w:val="10"/>
    <w:qFormat/>
    <w:rsid w:val="00C30602"/>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30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3060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C30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60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C3060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C30602"/>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C30602"/>
    <w:rPr>
      <w:i/>
      <w:iCs/>
      <w:color w:val="0F4761" w:themeColor="accent1" w:themeShade="BF"/>
    </w:rPr>
  </w:style>
  <w:style w:type="paragraph" w:styleId="IntenseQuote">
    <w:name w:val="Intense Quote"/>
    <w:basedOn w:val="Normal"/>
    <w:next w:val="Normal"/>
    <w:link w:val="IntenseQuoteChar"/>
    <w:uiPriority w:val="30"/>
    <w:qFormat/>
    <w:rsid w:val="00C3060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C30602"/>
    <w:rPr>
      <w:i/>
      <w:iCs/>
      <w:color w:val="0F4761" w:themeColor="accent1" w:themeShade="BF"/>
    </w:rPr>
  </w:style>
  <w:style w:type="character" w:styleId="IntenseReference">
    <w:name w:val="Intense Reference"/>
    <w:basedOn w:val="DefaultParagraphFont"/>
    <w:uiPriority w:val="32"/>
    <w:qFormat/>
    <w:rsid w:val="00C30602"/>
    <w:rPr>
      <w:b/>
      <w:bCs/>
      <w:smallCaps/>
      <w:color w:val="0F4761" w:themeColor="accent1" w:themeShade="BF"/>
      <w:spacing w:val="5"/>
    </w:rPr>
  </w:style>
  <w:style w:type="paragraph" w:customStyle="1" w:styleId="titulo">
    <w:name w:val="titulo"/>
    <w:basedOn w:val="Heading5"/>
    <w:rsid w:val="00C30602"/>
    <w:pPr>
      <w:keepNext w:val="0"/>
      <w:keepLines w:val="0"/>
      <w:spacing w:before="0" w:after="240" w:line="240" w:lineRule="auto"/>
      <w:jc w:val="center"/>
    </w:pPr>
    <w:rPr>
      <w:rFonts w:ascii="Times New Roman Bold" w:eastAsia="Times New Roman" w:hAnsi="Times New Roman Bold" w:cs="Times New Roman"/>
      <w:b/>
      <w:color w:val="auto"/>
      <w:kern w:val="0"/>
      <w:sz w:val="24"/>
      <w:szCs w:val="20"/>
      <w:lang w:val="en-US"/>
      <w14:ligatures w14:val="none"/>
    </w:rPr>
  </w:style>
  <w:style w:type="paragraph" w:customStyle="1" w:styleId="SectionVIHeader">
    <w:name w:val="Section VI. Header"/>
    <w:basedOn w:val="Normal"/>
    <w:rsid w:val="00C3060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30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2026-02-26T15:57:00Z</dcterms:created>
  <dcterms:modified xsi:type="dcterms:W3CDTF">2026-02-26T15:59:00Z</dcterms:modified>
</cp:coreProperties>
</file>