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3C7" w:rsidRPr="003F1FAB" w:rsidRDefault="00F753C7" w:rsidP="00F753C7">
      <w:pPr>
        <w:rPr>
          <w:sz w:val="28"/>
          <w:szCs w:val="28"/>
        </w:rPr>
      </w:pPr>
      <w:bookmarkStart w:id="0" w:name="_GoBack"/>
      <w:bookmarkEnd w:id="0"/>
      <w:r w:rsidRPr="003F1FAB">
        <w:rPr>
          <w:sz w:val="28"/>
          <w:szCs w:val="28"/>
        </w:rPr>
        <w:t>Các tiêu chuẩn đánh giá về kỹ thuật được thực hiện theo tiêu chí “đạt”/“không đạt”, bao gồm các nội dung dưới đây:</w:t>
      </w:r>
    </w:p>
    <w:p w:rsidR="00F753C7" w:rsidRDefault="00F753C7" w:rsidP="00F753C7"/>
    <w:tbl>
      <w:tblPr>
        <w:tblStyle w:val="TableGrid"/>
        <w:tblW w:w="9352" w:type="dxa"/>
        <w:tblLook w:val="04A0" w:firstRow="1" w:lastRow="0" w:firstColumn="1" w:lastColumn="0" w:noHBand="0" w:noVBand="1"/>
      </w:tblPr>
      <w:tblGrid>
        <w:gridCol w:w="846"/>
        <w:gridCol w:w="2694"/>
        <w:gridCol w:w="4394"/>
        <w:gridCol w:w="1418"/>
      </w:tblGrid>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TT</w:t>
            </w:r>
          </w:p>
        </w:tc>
        <w:tc>
          <w:tcPr>
            <w:tcW w:w="2694"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Nội dung yêu cầu</w:t>
            </w:r>
          </w:p>
        </w:tc>
        <w:tc>
          <w:tcPr>
            <w:tcW w:w="5812" w:type="dxa"/>
            <w:gridSpan w:val="2"/>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Mức độ đáp ứng</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1</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Phạm vi cung cấp, chủng loại, số lượng</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 xml:space="preserve">Phạm vi, số lượng, chủng loại cung cấp </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Đáp ứng yêu cầu của E-HSMT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Không đáp ứng yêu cầu của E-HSMT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2</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Đặc tính kỹ thuật của hàng hóa, nguồn gốc xuất xứ của hàng hóa</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2.1</w:t>
            </w: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Tính hợp lệ của hàng hóa</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 Các hàng hóa chào thầu phải nêu rõ tên, ký mã hiệu, hãng sản xuất, xuất xứ, thông số kỹ thuật.</w:t>
            </w:r>
          </w:p>
          <w:p w:rsidR="00F753C7" w:rsidRPr="00F0467C" w:rsidRDefault="00F753C7" w:rsidP="00847F69">
            <w:pPr>
              <w:rPr>
                <w:rFonts w:ascii="Times New Roman" w:hAnsi="Times New Roman"/>
                <w:sz w:val="28"/>
                <w:szCs w:val="28"/>
              </w:rPr>
            </w:pPr>
            <w:r w:rsidRPr="00F0467C">
              <w:rPr>
                <w:rFonts w:ascii="Times New Roman" w:hAnsi="Times New Roman"/>
                <w:sz w:val="28"/>
                <w:szCs w:val="28"/>
              </w:rPr>
              <w:t>- Có đầy đủ tài liệu chứng minh hàng hóa cung cấp đáp ứng yêu cầu về đặc tính kỹ thuật theo yêu cầu của hồ sơ mời thầu</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 xml:space="preserve">- Một trong các hàng hóa chào thầu không nêu rõ tên, ký mã hiệu, hãng sản xuất, xuất xứ, thông số kỹ thuật </w:t>
            </w:r>
          </w:p>
          <w:p w:rsidR="00F753C7" w:rsidRPr="00F0467C" w:rsidRDefault="00F753C7" w:rsidP="00847F69">
            <w:pPr>
              <w:rPr>
                <w:rFonts w:ascii="Times New Roman" w:hAnsi="Times New Roman"/>
                <w:sz w:val="28"/>
                <w:szCs w:val="28"/>
              </w:rPr>
            </w:pPr>
            <w:r w:rsidRPr="00F0467C">
              <w:rPr>
                <w:rFonts w:ascii="Times New Roman" w:hAnsi="Times New Roman"/>
                <w:sz w:val="28"/>
                <w:szCs w:val="28"/>
              </w:rPr>
              <w:t>Hoặc</w:t>
            </w:r>
          </w:p>
          <w:p w:rsidR="00F753C7" w:rsidRPr="00F0467C" w:rsidRDefault="00F753C7" w:rsidP="00847F69">
            <w:pPr>
              <w:rPr>
                <w:rFonts w:ascii="Times New Roman" w:hAnsi="Times New Roman"/>
                <w:sz w:val="28"/>
                <w:szCs w:val="28"/>
              </w:rPr>
            </w:pPr>
            <w:r w:rsidRPr="00F0467C">
              <w:rPr>
                <w:rFonts w:ascii="Times New Roman" w:hAnsi="Times New Roman"/>
                <w:sz w:val="28"/>
                <w:szCs w:val="28"/>
              </w:rPr>
              <w:t>- Không có đầy đủ tài liệu chứng minh hàng hóa cung cấp đáp ứng yêu cầu về đặc tính kỹ thuật theo yêu cầu của hồ sơ mời thầu.</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Không đạt</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2.2</w:t>
            </w: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Đặc tính, thông số kỹ thuật của hàng hóa, tiêu chuẩn sản xuất, tiêu chuẩn chế tạo và công nghệ.</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Tất cả hàng hóa chào thầu có đặc tính và thông số kỹ thuật, tiêu chuẩn sản xuất, tiêu chuẩn chất lượng đáp ứng yêu cầu tại Mục 1 Chương V. Yêu cầu kỹ thuật của E-HSMT.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Một trong các hàng hóa chào thầu có đặc tính và thông số kỹ thuật, tiêu chuẩn sản xuất, tiêu chuẩn chất lượng không đáp ứng các yêu cầu tại Mục 1 Chương V của E-HSMT.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3</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Giải pháp kỹ thuật, biện pháp tổ chức cung cấp, lắp đặt hàng hóa</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 xml:space="preserve">Tính hợp lý và hiệu quả kinh tế của các giải pháp kỹ thuật, biện pháp tổ chức </w:t>
            </w:r>
            <w:r w:rsidRPr="00F0467C">
              <w:rPr>
                <w:rFonts w:ascii="Times New Roman" w:hAnsi="Times New Roman"/>
                <w:sz w:val="28"/>
                <w:szCs w:val="28"/>
              </w:rPr>
              <w:lastRenderedPageBreak/>
              <w:t>cung cấp, lắp đặt hàng hóa</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lastRenderedPageBreak/>
              <w:t>Có thuyết minh các giải pháp kỹ thuật, biện pháp tổ chức cung cấp, vận chuyển, bảo quản hàng hóa hợp lý và hiệu quả kinh tế.</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Không có giải pháp kỹ thuật, biện pháp tổ chức cung cấp, lắp đặt hàng hóa hợp lý</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lastRenderedPageBreak/>
              <w:t>4</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Tiến độ cung cấp hàng hóa</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Bảng tiến độ cung cấp hàng hóa hợp lý, khả thi phù hợp với đề xuất kỹ thuật và đáp ứng yêu cầu của E-HSMT</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Có bảng tiến độ cung cấp hàng hóa hợp lý, khả thi phù hợp với đề xuất kỹ thuật và đáp ứng yêu cầu của E-HSMT.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Không có bảng tiến độ cung cấp hàng hóa hợp lý, khả thi phù hợp với đề xuất kỹ thuật và đáp ứng yêu cầu của E-HSMT.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5</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Bảo hành</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Bảo hành</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Đáp ứng yêu cầu về thời gian bảo hành theo quy định tại Chương V. YÊU CẦU VỀ KỸ THUẬT</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 xml:space="preserve">Không đáp ứng yêu cầu về thời gian bảo hành theo quy định tại Chương V. YÊU CẦU VỀ KỸ THUẬT </w:t>
            </w:r>
          </w:p>
        </w:tc>
        <w:tc>
          <w:tcPr>
            <w:tcW w:w="1418"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t>6</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Uy tín của nhà thầu</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Uy tín của nhà thầu thông qua việc tham dự thầu (có quyết định trúng thầu nhưng không tiến hành hoàn thiện, ký kết hợp đồng) và thực hiện các hợp đồng tương tự trước đó</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 xml:space="preserve">Nhà thầu độc lập hoặc tất cả các thành viên liên danh (trong trường hợp nhà thầu liên danh) có cam kết và không vi phạm nội dung sau: </w:t>
            </w:r>
          </w:p>
          <w:p w:rsidR="00F753C7" w:rsidRPr="00F0467C" w:rsidRDefault="00F753C7" w:rsidP="00847F69">
            <w:pPr>
              <w:rPr>
                <w:rFonts w:ascii="Times New Roman" w:hAnsi="Times New Roman"/>
                <w:sz w:val="28"/>
                <w:szCs w:val="28"/>
              </w:rPr>
            </w:pPr>
            <w:r w:rsidRPr="00F0467C">
              <w:rPr>
                <w:rFonts w:ascii="Times New Roman" w:hAnsi="Times New Roman"/>
                <w:sz w:val="28"/>
                <w:szCs w:val="28"/>
              </w:rPr>
              <w:t xml:space="preserve">- </w:t>
            </w:r>
            <w:r>
              <w:rPr>
                <w:rFonts w:ascii="Times New Roman" w:hAnsi="Times New Roman"/>
                <w:sz w:val="28"/>
                <w:szCs w:val="28"/>
              </w:rPr>
              <w:t>C</w:t>
            </w:r>
            <w:r w:rsidRPr="00F0467C">
              <w:rPr>
                <w:rFonts w:ascii="Times New Roman" w:hAnsi="Times New Roman"/>
                <w:sz w:val="28"/>
                <w:szCs w:val="28"/>
              </w:rPr>
              <w:t>ó quyết định trúng thầu nhưng không tiến hành hoàn thiện, ký kết hợp đồng; và Không có hợp đồng tương tự nào không hoàn thành do lỗi của nhà thầu; và Không đang trong thời gian bị cấm tham dự thầu bởi cơ quan, tổ chức và các vi phạm khác theo quy định tại Điều 19 và Điều 20 của Nghị định số 214/2025/NĐ-CP, chất lượng hàng hóa tương tự được công khai theo quy định tại Điều 20 của Nghị định số 214/2025/NĐ-CP</w:t>
            </w:r>
          </w:p>
        </w:tc>
        <w:tc>
          <w:tcPr>
            <w:tcW w:w="1418" w:type="dxa"/>
          </w:tcPr>
          <w:p w:rsidR="00F753C7" w:rsidRPr="00F0467C" w:rsidRDefault="00F753C7" w:rsidP="00847F69">
            <w:pPr>
              <w:jc w:val="center"/>
              <w:rPr>
                <w:rFonts w:ascii="Times New Roman" w:hAnsi="Times New Roman"/>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Nhà thầu độc lập hoặc tối thiểu 01 thành viên liên danh (trong trường hợp nhà thầu liên danh) không có cam kết hoặc đã vi phạm một trong các nội dung sau:</w:t>
            </w:r>
          </w:p>
          <w:p w:rsidR="00F753C7" w:rsidRPr="00F0467C" w:rsidRDefault="00F753C7" w:rsidP="00847F69">
            <w:pPr>
              <w:rPr>
                <w:rFonts w:ascii="Times New Roman" w:hAnsi="Times New Roman"/>
                <w:sz w:val="28"/>
                <w:szCs w:val="28"/>
              </w:rPr>
            </w:pPr>
            <w:r w:rsidRPr="00F0467C">
              <w:rPr>
                <w:rFonts w:ascii="Times New Roman" w:hAnsi="Times New Roman"/>
                <w:sz w:val="28"/>
                <w:szCs w:val="28"/>
              </w:rPr>
              <w:lastRenderedPageBreak/>
              <w:t xml:space="preserve">- </w:t>
            </w:r>
            <w:r>
              <w:rPr>
                <w:rFonts w:ascii="Times New Roman" w:hAnsi="Times New Roman"/>
                <w:sz w:val="28"/>
                <w:szCs w:val="28"/>
              </w:rPr>
              <w:t>C</w:t>
            </w:r>
            <w:r w:rsidRPr="00F0467C">
              <w:rPr>
                <w:rFonts w:ascii="Times New Roman" w:hAnsi="Times New Roman"/>
                <w:sz w:val="28"/>
                <w:szCs w:val="28"/>
              </w:rPr>
              <w:t>ó quyết định trúng thầu nhưng không tiến hành hoàn thiện, ký kết hợp đồng; và Không có hợp đồng tương tự nào không hoàn thành do lỗi của nhà thầu; và Không đang trong thời gian bị cấm tham dự thầu bởi cơ quan, tổ chức và các vi phạm khác theo quy định tại Điều 19 và Điều 20 của Nghị định số 214/2025/NĐ-CP, chất lượng hàng hóa tương tự được công khai theo quy định tại Điều 20 của Nghị định số 214/2025/NĐ-CP</w:t>
            </w:r>
          </w:p>
        </w:tc>
        <w:tc>
          <w:tcPr>
            <w:tcW w:w="1418" w:type="dxa"/>
          </w:tcPr>
          <w:p w:rsidR="00F753C7" w:rsidRPr="00F0467C" w:rsidRDefault="00F753C7" w:rsidP="00847F69">
            <w:pPr>
              <w:jc w:val="center"/>
              <w:rPr>
                <w:rFonts w:ascii="Times New Roman" w:hAnsi="Times New Roman"/>
                <w:sz w:val="28"/>
                <w:szCs w:val="28"/>
              </w:rPr>
            </w:pPr>
            <w:r w:rsidRPr="00F0467C">
              <w:rPr>
                <w:rFonts w:ascii="Times New Roman" w:hAnsi="Times New Roman"/>
                <w:b/>
                <w:bCs/>
                <w:sz w:val="28"/>
                <w:szCs w:val="28"/>
              </w:rPr>
              <w:lastRenderedPageBreak/>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r w:rsidRPr="00F0467C">
              <w:rPr>
                <w:rFonts w:ascii="Times New Roman" w:hAnsi="Times New Roman"/>
                <w:b/>
                <w:bCs/>
                <w:sz w:val="28"/>
                <w:szCs w:val="28"/>
              </w:rPr>
              <w:lastRenderedPageBreak/>
              <w:t>7</w:t>
            </w:r>
          </w:p>
        </w:tc>
        <w:tc>
          <w:tcPr>
            <w:tcW w:w="8506" w:type="dxa"/>
            <w:gridSpan w:val="3"/>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Các yếu tó về thời gian thực hiện, đào tạo, chuyển giao công nghệ</w:t>
            </w:r>
          </w:p>
        </w:tc>
      </w:tr>
      <w:tr w:rsidR="00F753C7" w:rsidRPr="00F0467C" w:rsidTr="00847F69">
        <w:tc>
          <w:tcPr>
            <w:tcW w:w="846" w:type="dxa"/>
            <w:vMerge w:val="restart"/>
          </w:tcPr>
          <w:p w:rsidR="00F753C7" w:rsidRPr="00F0467C" w:rsidRDefault="00F753C7" w:rsidP="00847F69">
            <w:pPr>
              <w:jc w:val="center"/>
              <w:rPr>
                <w:rFonts w:ascii="Times New Roman" w:hAnsi="Times New Roman"/>
                <w:b/>
                <w:bCs/>
                <w:sz w:val="28"/>
                <w:szCs w:val="28"/>
              </w:rPr>
            </w:pPr>
          </w:p>
        </w:tc>
        <w:tc>
          <w:tcPr>
            <w:tcW w:w="2694" w:type="dxa"/>
            <w:vMerge w:val="restart"/>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Thời gian thực hiện, đào tạo chuyển giao công nghệ hợp lý, khả thi phù hợp với đề xuất về tiến độ cung cấp</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Có thời gian thực hiện, đào tạo chuyển giao công nghệ hợp lý, khả thi phù hợp với đề xuất về tiến độ cung cấp.</w:t>
            </w:r>
          </w:p>
        </w:tc>
        <w:tc>
          <w:tcPr>
            <w:tcW w:w="1418" w:type="dxa"/>
          </w:tcPr>
          <w:p w:rsidR="00F753C7" w:rsidRPr="00F0467C" w:rsidRDefault="00F753C7" w:rsidP="00847F69">
            <w:pPr>
              <w:jc w:val="center"/>
              <w:rPr>
                <w:rFonts w:ascii="Times New Roman" w:hAnsi="Times New Roman"/>
                <w:sz w:val="28"/>
                <w:szCs w:val="28"/>
              </w:rPr>
            </w:pPr>
            <w:r w:rsidRPr="00F0467C">
              <w:rPr>
                <w:rFonts w:ascii="Times New Roman" w:hAnsi="Times New Roman"/>
                <w:b/>
                <w:bCs/>
                <w:sz w:val="28"/>
                <w:szCs w:val="28"/>
              </w:rPr>
              <w:t>Đạt</w:t>
            </w:r>
          </w:p>
        </w:tc>
      </w:tr>
      <w:tr w:rsidR="00F753C7" w:rsidRPr="00F0467C" w:rsidTr="00847F69">
        <w:tc>
          <w:tcPr>
            <w:tcW w:w="846" w:type="dxa"/>
            <w:vMerge/>
          </w:tcPr>
          <w:p w:rsidR="00F753C7" w:rsidRPr="00F0467C" w:rsidRDefault="00F753C7" w:rsidP="00847F69">
            <w:pPr>
              <w:jc w:val="center"/>
              <w:rPr>
                <w:rFonts w:ascii="Times New Roman" w:hAnsi="Times New Roman"/>
                <w:b/>
                <w:bCs/>
                <w:sz w:val="28"/>
                <w:szCs w:val="28"/>
              </w:rPr>
            </w:pPr>
          </w:p>
        </w:tc>
        <w:tc>
          <w:tcPr>
            <w:tcW w:w="2694" w:type="dxa"/>
            <w:vMerge/>
          </w:tcPr>
          <w:p w:rsidR="00F753C7" w:rsidRPr="00F0467C" w:rsidRDefault="00F753C7" w:rsidP="00847F69">
            <w:pPr>
              <w:rPr>
                <w:rFonts w:ascii="Times New Roman" w:hAnsi="Times New Roman"/>
                <w:sz w:val="28"/>
                <w:szCs w:val="28"/>
              </w:rPr>
            </w:pP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Thời gian thực hiện, đào tạo chuyển giao công nghệ không hợp lý, khả thi không phù hợp với đề xuất về tiến độ cung cấp.</w:t>
            </w:r>
          </w:p>
        </w:tc>
        <w:tc>
          <w:tcPr>
            <w:tcW w:w="1418" w:type="dxa"/>
          </w:tcPr>
          <w:p w:rsidR="00F753C7" w:rsidRPr="00F0467C" w:rsidRDefault="00F753C7" w:rsidP="00847F69">
            <w:pPr>
              <w:jc w:val="center"/>
              <w:rPr>
                <w:rFonts w:ascii="Times New Roman" w:hAnsi="Times New Roman"/>
                <w:sz w:val="28"/>
                <w:szCs w:val="28"/>
              </w:rPr>
            </w:pPr>
            <w:r w:rsidRPr="00F0467C">
              <w:rPr>
                <w:rFonts w:ascii="Times New Roman" w:hAnsi="Times New Roman"/>
                <w:b/>
                <w:bCs/>
                <w:sz w:val="28"/>
                <w:szCs w:val="28"/>
              </w:rPr>
              <w:t>Không đạt</w:t>
            </w:r>
          </w:p>
        </w:tc>
      </w:tr>
      <w:tr w:rsidR="00F753C7" w:rsidRPr="00F0467C" w:rsidTr="00847F69">
        <w:tc>
          <w:tcPr>
            <w:tcW w:w="846" w:type="dxa"/>
          </w:tcPr>
          <w:p w:rsidR="00F753C7" w:rsidRPr="00F0467C" w:rsidRDefault="00F753C7" w:rsidP="00847F69">
            <w:pPr>
              <w:jc w:val="center"/>
              <w:rPr>
                <w:rFonts w:ascii="Times New Roman" w:hAnsi="Times New Roman"/>
                <w:b/>
                <w:bCs/>
                <w:sz w:val="28"/>
                <w:szCs w:val="28"/>
              </w:rPr>
            </w:pPr>
          </w:p>
        </w:tc>
        <w:tc>
          <w:tcPr>
            <w:tcW w:w="2694" w:type="dxa"/>
          </w:tcPr>
          <w:p w:rsidR="00F753C7" w:rsidRPr="00F0467C" w:rsidRDefault="00F753C7" w:rsidP="00847F69">
            <w:pPr>
              <w:rPr>
                <w:rFonts w:ascii="Times New Roman" w:hAnsi="Times New Roman"/>
                <w:b/>
                <w:bCs/>
                <w:sz w:val="28"/>
                <w:szCs w:val="28"/>
              </w:rPr>
            </w:pPr>
            <w:r w:rsidRPr="00F0467C">
              <w:rPr>
                <w:rFonts w:ascii="Times New Roman" w:hAnsi="Times New Roman"/>
                <w:b/>
                <w:bCs/>
                <w:sz w:val="28"/>
                <w:szCs w:val="28"/>
              </w:rPr>
              <w:t>Kết luận</w:t>
            </w:r>
          </w:p>
        </w:tc>
        <w:tc>
          <w:tcPr>
            <w:tcW w:w="4394" w:type="dxa"/>
          </w:tcPr>
          <w:p w:rsidR="00F753C7" w:rsidRPr="00F0467C" w:rsidRDefault="00F753C7" w:rsidP="00847F69">
            <w:pPr>
              <w:rPr>
                <w:rFonts w:ascii="Times New Roman" w:hAnsi="Times New Roman"/>
                <w:sz w:val="28"/>
                <w:szCs w:val="28"/>
              </w:rPr>
            </w:pPr>
            <w:r w:rsidRPr="00F0467C">
              <w:rPr>
                <w:rFonts w:ascii="Times New Roman" w:hAnsi="Times New Roman"/>
                <w:sz w:val="28"/>
                <w:szCs w:val="28"/>
              </w:rPr>
              <w:t>E-HSDT được đánh giá là đáp ứng yêu cầu về kỹ thuật khi có tất cả các tiêu chí tổng quát đều được đánh giá là đạt.</w:t>
            </w:r>
          </w:p>
        </w:tc>
        <w:tc>
          <w:tcPr>
            <w:tcW w:w="1418" w:type="dxa"/>
          </w:tcPr>
          <w:p w:rsidR="00F753C7" w:rsidRPr="00F0467C" w:rsidRDefault="00F753C7" w:rsidP="00847F69">
            <w:pPr>
              <w:rPr>
                <w:rFonts w:ascii="Times New Roman" w:hAnsi="Times New Roman"/>
                <w:sz w:val="28"/>
                <w:szCs w:val="28"/>
              </w:rPr>
            </w:pPr>
          </w:p>
        </w:tc>
      </w:tr>
    </w:tbl>
    <w:p w:rsidR="00F753C7" w:rsidRPr="00F0467C" w:rsidRDefault="00F753C7" w:rsidP="00F753C7"/>
    <w:p w:rsidR="00F753C7" w:rsidRPr="00F753C7" w:rsidRDefault="00F753C7" w:rsidP="00F753C7"/>
    <w:sectPr w:rsidR="00F753C7" w:rsidRPr="00F753C7" w:rsidSect="005B1F8E">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C7" w:rsidRDefault="00F753C7" w:rsidP="00F753C7">
      <w:r>
        <w:separator/>
      </w:r>
    </w:p>
  </w:endnote>
  <w:endnote w:type="continuationSeparator" w:id="0">
    <w:p w:rsidR="00F753C7" w:rsidRDefault="00F753C7" w:rsidP="00F7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C7" w:rsidRDefault="00F753C7" w:rsidP="00F753C7">
      <w:r>
        <w:separator/>
      </w:r>
    </w:p>
  </w:footnote>
  <w:footnote w:type="continuationSeparator" w:id="0">
    <w:p w:rsidR="00F753C7" w:rsidRDefault="00F753C7" w:rsidP="00F7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3C"/>
    <w:rsid w:val="00144E2A"/>
    <w:rsid w:val="001F2A36"/>
    <w:rsid w:val="004A76B3"/>
    <w:rsid w:val="005B1F8E"/>
    <w:rsid w:val="008C1C2A"/>
    <w:rsid w:val="00EB443C"/>
    <w:rsid w:val="00F0467C"/>
    <w:rsid w:val="00F7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FC19"/>
  <w15:chartTrackingRefBased/>
  <w15:docId w15:val="{533D6F02-280D-4413-B787-94D352D2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7C"/>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67C"/>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3C7"/>
    <w:pPr>
      <w:tabs>
        <w:tab w:val="center" w:pos="4680"/>
        <w:tab w:val="right" w:pos="9360"/>
      </w:tabs>
    </w:pPr>
  </w:style>
  <w:style w:type="character" w:customStyle="1" w:styleId="HeaderChar">
    <w:name w:val="Header Char"/>
    <w:basedOn w:val="DefaultParagraphFont"/>
    <w:link w:val="Header"/>
    <w:uiPriority w:val="99"/>
    <w:rsid w:val="00F753C7"/>
    <w:rPr>
      <w:rFonts w:eastAsia="Times New Roman" w:cs="Times New Roman"/>
      <w:sz w:val="24"/>
      <w:szCs w:val="20"/>
    </w:rPr>
  </w:style>
  <w:style w:type="paragraph" w:styleId="Footer">
    <w:name w:val="footer"/>
    <w:basedOn w:val="Normal"/>
    <w:link w:val="FooterChar"/>
    <w:uiPriority w:val="99"/>
    <w:unhideWhenUsed/>
    <w:rsid w:val="00F753C7"/>
    <w:pPr>
      <w:tabs>
        <w:tab w:val="center" w:pos="4680"/>
        <w:tab w:val="right" w:pos="9360"/>
      </w:tabs>
    </w:pPr>
  </w:style>
  <w:style w:type="character" w:customStyle="1" w:styleId="FooterChar">
    <w:name w:val="Footer Char"/>
    <w:basedOn w:val="DefaultParagraphFont"/>
    <w:link w:val="Footer"/>
    <w:uiPriority w:val="99"/>
    <w:rsid w:val="00F753C7"/>
    <w:rPr>
      <w:rFonts w:eastAsia="Times New Roman" w:cs="Times New Roman"/>
      <w:sz w:val="24"/>
      <w:szCs w:val="20"/>
    </w:rPr>
  </w:style>
  <w:style w:type="paragraph" w:styleId="TOC1">
    <w:name w:val="toc 1"/>
    <w:basedOn w:val="Normal"/>
    <w:next w:val="Normal"/>
    <w:autoRedefine/>
    <w:uiPriority w:val="39"/>
    <w:qFormat/>
    <w:rsid w:val="00F753C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2026-02-26T02:19:00Z</dcterms:created>
  <dcterms:modified xsi:type="dcterms:W3CDTF">2026-02-26T08:10:00Z</dcterms:modified>
</cp:coreProperties>
</file>