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17C" w:rsidRPr="00640D50" w:rsidRDefault="002B417C" w:rsidP="002B417C">
      <w:pPr>
        <w:spacing w:before="120" w:after="120"/>
        <w:ind w:firstLine="709"/>
        <w:outlineLvl w:val="1"/>
        <w:rPr>
          <w:rFonts w:eastAsia="MS Mincho"/>
          <w:b/>
          <w:szCs w:val="24"/>
          <w:lang w:val="vi-VN" w:eastAsia="vi-VN"/>
        </w:rPr>
      </w:pPr>
      <w:r w:rsidRPr="00640D50">
        <w:rPr>
          <w:b/>
          <w:bCs/>
          <w:sz w:val="28"/>
          <w:szCs w:val="28"/>
          <w:lang w:val="vi-VN"/>
        </w:rPr>
        <w:t xml:space="preserve">Mục </w:t>
      </w:r>
      <w:r w:rsidRPr="00640D50">
        <w:rPr>
          <w:b/>
          <w:bCs/>
          <w:sz w:val="28"/>
          <w:szCs w:val="28"/>
          <w:lang w:val="pl-PL"/>
        </w:rPr>
        <w:t>3</w:t>
      </w:r>
      <w:r w:rsidRPr="00640D50">
        <w:rPr>
          <w:b/>
          <w:bCs/>
          <w:sz w:val="28"/>
          <w:szCs w:val="28"/>
          <w:lang w:val="vi-VN"/>
        </w:rPr>
        <w:t>. Tiêu chuẩn đánh giá về kỹ thuật</w:t>
      </w:r>
      <w:r w:rsidRPr="00640D50">
        <w:rPr>
          <w:rFonts w:eastAsia="MS Mincho"/>
          <w:b/>
          <w:szCs w:val="24"/>
          <w:lang w:val="vi-VN" w:eastAsia="vi-VN"/>
        </w:rPr>
        <w:t xml:space="preserve"> </w:t>
      </w:r>
    </w:p>
    <w:p w:rsidR="002B417C" w:rsidRDefault="002B417C" w:rsidP="002B417C">
      <w:pPr>
        <w:spacing w:before="120" w:after="120"/>
        <w:ind w:firstLine="709"/>
        <w:rPr>
          <w:spacing w:val="2"/>
          <w:sz w:val="28"/>
          <w:szCs w:val="28"/>
        </w:rPr>
      </w:pPr>
      <w:bookmarkStart w:id="0" w:name="_Hlk99723051"/>
      <w:r w:rsidRPr="00640D50">
        <w:rPr>
          <w:spacing w:val="2"/>
          <w:sz w:val="28"/>
          <w:szCs w:val="28"/>
          <w:lang w:val="vi-VN"/>
        </w:rPr>
        <w:t>Sử dụng tiêu chí đạt/không đạt.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967"/>
        <w:gridCol w:w="2266"/>
        <w:gridCol w:w="2526"/>
      </w:tblGrid>
      <w:tr w:rsidR="002B417C" w:rsidTr="00656A79">
        <w:trPr>
          <w:cantSplit/>
          <w:tblHeader/>
        </w:trPr>
        <w:tc>
          <w:tcPr>
            <w:tcW w:w="563" w:type="dxa"/>
            <w:vMerge w:val="restart"/>
            <w:vAlign w:val="center"/>
          </w:tcPr>
          <w:p w:rsidR="002B417C" w:rsidRPr="00C15388" w:rsidRDefault="002B417C" w:rsidP="00656A79">
            <w:pPr>
              <w:spacing w:line="320" w:lineRule="exact"/>
              <w:jc w:val="center"/>
              <w:rPr>
                <w:b/>
                <w:bCs/>
                <w:sz w:val="26"/>
                <w:szCs w:val="26"/>
              </w:rPr>
            </w:pPr>
            <w:r w:rsidRPr="00C15388">
              <w:rPr>
                <w:b/>
                <w:bCs/>
                <w:sz w:val="26"/>
                <w:szCs w:val="26"/>
              </w:rPr>
              <w:t>TT</w:t>
            </w:r>
          </w:p>
        </w:tc>
        <w:tc>
          <w:tcPr>
            <w:tcW w:w="3967" w:type="dxa"/>
            <w:vMerge w:val="restart"/>
            <w:vAlign w:val="center"/>
          </w:tcPr>
          <w:p w:rsidR="002B417C" w:rsidRPr="00C15388" w:rsidRDefault="002B417C" w:rsidP="00656A79">
            <w:pPr>
              <w:spacing w:line="320" w:lineRule="exact"/>
              <w:jc w:val="center"/>
              <w:rPr>
                <w:b/>
                <w:bCs/>
                <w:sz w:val="26"/>
                <w:szCs w:val="26"/>
              </w:rPr>
            </w:pPr>
            <w:r w:rsidRPr="00C15388">
              <w:rPr>
                <w:b/>
                <w:bCs/>
                <w:sz w:val="26"/>
                <w:szCs w:val="26"/>
              </w:rPr>
              <w:t>Nội dung tiêu chuẩn</w:t>
            </w:r>
          </w:p>
        </w:tc>
        <w:tc>
          <w:tcPr>
            <w:tcW w:w="4792" w:type="dxa"/>
            <w:gridSpan w:val="2"/>
          </w:tcPr>
          <w:p w:rsidR="002B417C" w:rsidRPr="00C15388" w:rsidRDefault="002B417C" w:rsidP="00656A79">
            <w:pPr>
              <w:spacing w:line="320" w:lineRule="exact"/>
              <w:jc w:val="center"/>
              <w:rPr>
                <w:b/>
                <w:bCs/>
                <w:sz w:val="26"/>
                <w:szCs w:val="26"/>
              </w:rPr>
            </w:pPr>
            <w:r w:rsidRPr="00C15388">
              <w:rPr>
                <w:b/>
                <w:bCs/>
                <w:sz w:val="26"/>
                <w:szCs w:val="26"/>
              </w:rPr>
              <w:t>Mức đánh giá theo yêu cầu của E-HSMT</w:t>
            </w:r>
          </w:p>
        </w:tc>
      </w:tr>
      <w:tr w:rsidR="002B417C" w:rsidTr="00656A79">
        <w:trPr>
          <w:cantSplit/>
          <w:tblHeader/>
        </w:trPr>
        <w:tc>
          <w:tcPr>
            <w:tcW w:w="563" w:type="dxa"/>
            <w:vMerge/>
          </w:tcPr>
          <w:p w:rsidR="002B417C" w:rsidRPr="00C15388" w:rsidRDefault="002B417C" w:rsidP="00656A79">
            <w:pPr>
              <w:spacing w:line="320" w:lineRule="exact"/>
              <w:jc w:val="center"/>
              <w:rPr>
                <w:b/>
                <w:bCs/>
                <w:sz w:val="26"/>
                <w:szCs w:val="26"/>
              </w:rPr>
            </w:pPr>
          </w:p>
        </w:tc>
        <w:tc>
          <w:tcPr>
            <w:tcW w:w="3967" w:type="dxa"/>
            <w:vMerge/>
          </w:tcPr>
          <w:p w:rsidR="002B417C" w:rsidRPr="00C15388" w:rsidRDefault="002B417C" w:rsidP="00656A79">
            <w:pPr>
              <w:spacing w:line="320" w:lineRule="exact"/>
              <w:jc w:val="center"/>
              <w:rPr>
                <w:b/>
                <w:bCs/>
                <w:sz w:val="26"/>
                <w:szCs w:val="26"/>
              </w:rPr>
            </w:pPr>
          </w:p>
        </w:tc>
        <w:tc>
          <w:tcPr>
            <w:tcW w:w="2266" w:type="dxa"/>
            <w:vAlign w:val="center"/>
          </w:tcPr>
          <w:p w:rsidR="002B417C" w:rsidRPr="00C15388" w:rsidRDefault="002B417C" w:rsidP="00656A79">
            <w:pPr>
              <w:spacing w:line="320" w:lineRule="exact"/>
              <w:jc w:val="center"/>
              <w:rPr>
                <w:b/>
                <w:bCs/>
                <w:sz w:val="26"/>
                <w:szCs w:val="26"/>
              </w:rPr>
            </w:pPr>
            <w:r w:rsidRPr="00C15388">
              <w:rPr>
                <w:b/>
                <w:bCs/>
                <w:sz w:val="26"/>
                <w:szCs w:val="26"/>
              </w:rPr>
              <w:t>Mức đánh giá đạt</w:t>
            </w:r>
          </w:p>
        </w:tc>
        <w:tc>
          <w:tcPr>
            <w:tcW w:w="2526" w:type="dxa"/>
          </w:tcPr>
          <w:p w:rsidR="002B417C" w:rsidRPr="00C15388" w:rsidRDefault="002B417C" w:rsidP="00656A79">
            <w:pPr>
              <w:tabs>
                <w:tab w:val="left" w:pos="851"/>
              </w:tabs>
              <w:spacing w:before="60" w:after="60"/>
              <w:jc w:val="center"/>
              <w:rPr>
                <w:spacing w:val="2"/>
                <w:sz w:val="28"/>
                <w:szCs w:val="28"/>
              </w:rPr>
            </w:pPr>
            <w:r w:rsidRPr="00C15388">
              <w:rPr>
                <w:b/>
                <w:bCs/>
                <w:sz w:val="26"/>
                <w:szCs w:val="26"/>
              </w:rPr>
              <w:t>Mức đánh giá không đạt</w:t>
            </w:r>
          </w:p>
        </w:tc>
      </w:tr>
      <w:tr w:rsidR="002B417C" w:rsidTr="00656A79">
        <w:trPr>
          <w:cantSplit/>
          <w:tblHeader/>
        </w:trPr>
        <w:tc>
          <w:tcPr>
            <w:tcW w:w="563" w:type="dxa"/>
          </w:tcPr>
          <w:p w:rsidR="002B417C" w:rsidRPr="00C15388" w:rsidRDefault="002B417C" w:rsidP="00656A79">
            <w:pPr>
              <w:tabs>
                <w:tab w:val="left" w:pos="851"/>
              </w:tabs>
              <w:spacing w:before="60" w:after="60"/>
              <w:jc w:val="center"/>
              <w:rPr>
                <w:i/>
                <w:iCs/>
                <w:spacing w:val="2"/>
                <w:sz w:val="22"/>
                <w:szCs w:val="22"/>
              </w:rPr>
            </w:pPr>
            <w:r w:rsidRPr="00C15388">
              <w:rPr>
                <w:i/>
                <w:iCs/>
                <w:spacing w:val="2"/>
                <w:sz w:val="22"/>
                <w:szCs w:val="22"/>
              </w:rPr>
              <w:t>1</w:t>
            </w:r>
          </w:p>
        </w:tc>
        <w:tc>
          <w:tcPr>
            <w:tcW w:w="3967" w:type="dxa"/>
          </w:tcPr>
          <w:p w:rsidR="002B417C" w:rsidRPr="00C15388" w:rsidRDefault="002B417C" w:rsidP="00656A79">
            <w:pPr>
              <w:tabs>
                <w:tab w:val="left" w:pos="851"/>
              </w:tabs>
              <w:spacing w:before="60" w:after="60"/>
              <w:jc w:val="center"/>
              <w:rPr>
                <w:i/>
                <w:iCs/>
                <w:spacing w:val="2"/>
                <w:sz w:val="22"/>
                <w:szCs w:val="22"/>
              </w:rPr>
            </w:pPr>
            <w:r w:rsidRPr="00C15388">
              <w:rPr>
                <w:i/>
                <w:iCs/>
                <w:spacing w:val="2"/>
                <w:sz w:val="22"/>
                <w:szCs w:val="22"/>
              </w:rPr>
              <w:t>2</w:t>
            </w:r>
          </w:p>
        </w:tc>
        <w:tc>
          <w:tcPr>
            <w:tcW w:w="2266" w:type="dxa"/>
          </w:tcPr>
          <w:p w:rsidR="002B417C" w:rsidRPr="00C15388" w:rsidRDefault="002B417C" w:rsidP="00656A79">
            <w:pPr>
              <w:tabs>
                <w:tab w:val="left" w:pos="851"/>
              </w:tabs>
              <w:spacing w:before="60" w:after="60"/>
              <w:jc w:val="center"/>
              <w:rPr>
                <w:i/>
                <w:iCs/>
                <w:spacing w:val="2"/>
                <w:sz w:val="22"/>
                <w:szCs w:val="22"/>
              </w:rPr>
            </w:pPr>
            <w:r w:rsidRPr="00C15388">
              <w:rPr>
                <w:i/>
                <w:iCs/>
                <w:spacing w:val="2"/>
                <w:sz w:val="22"/>
                <w:szCs w:val="22"/>
              </w:rPr>
              <w:t>3</w:t>
            </w:r>
          </w:p>
        </w:tc>
        <w:tc>
          <w:tcPr>
            <w:tcW w:w="2526" w:type="dxa"/>
          </w:tcPr>
          <w:p w:rsidR="002B417C" w:rsidRPr="00C15388" w:rsidRDefault="002B417C" w:rsidP="00656A79">
            <w:pPr>
              <w:tabs>
                <w:tab w:val="left" w:pos="851"/>
              </w:tabs>
              <w:spacing w:before="60" w:after="60"/>
              <w:jc w:val="center"/>
              <w:rPr>
                <w:i/>
                <w:iCs/>
                <w:spacing w:val="2"/>
                <w:sz w:val="22"/>
                <w:szCs w:val="22"/>
              </w:rPr>
            </w:pPr>
            <w:r w:rsidRPr="00C15388">
              <w:rPr>
                <w:i/>
                <w:iCs/>
                <w:spacing w:val="2"/>
                <w:sz w:val="22"/>
                <w:szCs w:val="22"/>
              </w:rPr>
              <w:t>4</w:t>
            </w:r>
          </w:p>
        </w:tc>
      </w:tr>
      <w:tr w:rsidR="002B417C" w:rsidRPr="00A04456" w:rsidTr="00656A79">
        <w:trPr>
          <w:trHeight w:val="1114"/>
        </w:trPr>
        <w:tc>
          <w:tcPr>
            <w:tcW w:w="563" w:type="dxa"/>
            <w:vAlign w:val="center"/>
          </w:tcPr>
          <w:p w:rsidR="002B417C" w:rsidRPr="00C15388" w:rsidRDefault="002B417C" w:rsidP="00656A79">
            <w:pPr>
              <w:jc w:val="center"/>
              <w:rPr>
                <w:rFonts w:eastAsia="Courier New"/>
                <w:color w:val="C00000"/>
                <w:sz w:val="26"/>
                <w:szCs w:val="26"/>
              </w:rPr>
            </w:pPr>
            <w:r w:rsidRPr="00C15388">
              <w:rPr>
                <w:rFonts w:eastAsia="Courier New"/>
                <w:color w:val="C00000"/>
                <w:sz w:val="26"/>
                <w:szCs w:val="26"/>
              </w:rPr>
              <w:t>1</w:t>
            </w:r>
          </w:p>
        </w:tc>
        <w:tc>
          <w:tcPr>
            <w:tcW w:w="3967" w:type="dxa"/>
            <w:vAlign w:val="center"/>
          </w:tcPr>
          <w:p w:rsidR="002B417C" w:rsidRPr="00C15388" w:rsidRDefault="002B417C" w:rsidP="00656A79">
            <w:pPr>
              <w:pStyle w:val="BodyText"/>
              <w:tabs>
                <w:tab w:val="left" w:pos="829"/>
              </w:tabs>
              <w:spacing w:after="120"/>
              <w:jc w:val="left"/>
              <w:rPr>
                <w:rFonts w:eastAsia="Courier New"/>
                <w:sz w:val="26"/>
                <w:szCs w:val="26"/>
                <w:lang w:eastAsia="vi-VN"/>
              </w:rPr>
            </w:pPr>
            <w:r w:rsidRPr="000922D7">
              <w:rPr>
                <w:rStyle w:val="BodyTextChar1"/>
              </w:rPr>
              <w:t>Tính hợp lý và khả thi của giải pháp kỹ thuật, biện pháp tổ chức cung cấp dịch vụ, trong đó phải đáp ứng được tất cả các yêu cầu sau:</w:t>
            </w:r>
          </w:p>
        </w:tc>
        <w:tc>
          <w:tcPr>
            <w:tcW w:w="2266" w:type="dxa"/>
            <w:vAlign w:val="center"/>
          </w:tcPr>
          <w:p w:rsidR="002B417C" w:rsidRPr="00C15388" w:rsidRDefault="002B417C" w:rsidP="00656A79">
            <w:pPr>
              <w:jc w:val="left"/>
              <w:rPr>
                <w:rFonts w:eastAsia="Courier New"/>
                <w:sz w:val="26"/>
                <w:szCs w:val="26"/>
              </w:rPr>
            </w:pPr>
          </w:p>
        </w:tc>
        <w:tc>
          <w:tcPr>
            <w:tcW w:w="2526" w:type="dxa"/>
            <w:vAlign w:val="center"/>
          </w:tcPr>
          <w:p w:rsidR="002B417C" w:rsidRPr="00C15388" w:rsidRDefault="002B417C" w:rsidP="00656A79">
            <w:pPr>
              <w:jc w:val="left"/>
              <w:rPr>
                <w:rFonts w:eastAsia="Courier New"/>
                <w:sz w:val="26"/>
                <w:szCs w:val="26"/>
              </w:rPr>
            </w:pPr>
          </w:p>
        </w:tc>
      </w:tr>
      <w:tr w:rsidR="002B417C" w:rsidRPr="00A04456" w:rsidTr="00656A79">
        <w:tc>
          <w:tcPr>
            <w:tcW w:w="563" w:type="dxa"/>
            <w:vAlign w:val="center"/>
          </w:tcPr>
          <w:p w:rsidR="002B417C" w:rsidRPr="00C15388" w:rsidRDefault="002B417C" w:rsidP="00656A79">
            <w:pPr>
              <w:jc w:val="center"/>
              <w:rPr>
                <w:rFonts w:eastAsia="Courier New"/>
                <w:color w:val="C00000"/>
                <w:sz w:val="26"/>
                <w:szCs w:val="26"/>
              </w:rPr>
            </w:pPr>
            <w:r w:rsidRPr="00C15388">
              <w:rPr>
                <w:rFonts w:eastAsia="Courier New"/>
                <w:color w:val="C00000"/>
                <w:sz w:val="26"/>
                <w:szCs w:val="26"/>
              </w:rPr>
              <w:t>1.1</w:t>
            </w:r>
          </w:p>
        </w:tc>
        <w:tc>
          <w:tcPr>
            <w:tcW w:w="3967" w:type="dxa"/>
            <w:vAlign w:val="center"/>
          </w:tcPr>
          <w:p w:rsidR="002B417C" w:rsidRPr="007A41F7" w:rsidRDefault="002B417C" w:rsidP="00656A79">
            <w:pPr>
              <w:jc w:val="left"/>
              <w:rPr>
                <w:rStyle w:val="BodyTextChar1"/>
              </w:rPr>
            </w:pPr>
            <w:r w:rsidRPr="000922D7">
              <w:rPr>
                <w:rStyle w:val="BodyTextChar1"/>
              </w:rPr>
              <w:t>Đáp ứng các thông số kỹ thuật theo yêu cầu của E-HSMT và đảm bảo tính tương thích, đồng bộ với hệ th</w:t>
            </w:r>
            <w:r w:rsidRPr="007A41F7">
              <w:rPr>
                <w:rStyle w:val="BodyTextChar1"/>
              </w:rPr>
              <w:t>ống</w:t>
            </w:r>
            <w:r w:rsidRPr="000922D7">
              <w:rPr>
                <w:rStyle w:val="BodyTextChar1"/>
              </w:rPr>
              <w:t xml:space="preserve"> cung cấp điện của chủ đầu tư</w:t>
            </w:r>
            <w:r>
              <w:rPr>
                <w:rStyle w:val="BodyTextChar1"/>
              </w:rPr>
              <w:t xml:space="preserve">, máy phát điện </w:t>
            </w:r>
            <w:r w:rsidRPr="007A41F7">
              <w:rPr>
                <w:rStyle w:val="BodyTextChar1"/>
              </w:rPr>
              <w:t>Diesel</w:t>
            </w:r>
            <w:r>
              <w:rPr>
                <w:rStyle w:val="BodyTextChar1"/>
              </w:rPr>
              <w:t xml:space="preserve"> có năm sản xuất </w:t>
            </w:r>
            <w:r w:rsidRPr="007A41F7">
              <w:rPr>
                <w:rStyle w:val="BodyTextChar1"/>
              </w:rPr>
              <w:t>hoặc lắp ráp năm 201</w:t>
            </w:r>
            <w:r>
              <w:rPr>
                <w:rStyle w:val="BodyTextChar1"/>
              </w:rPr>
              <w:t>6</w:t>
            </w:r>
            <w:r w:rsidRPr="007A41F7">
              <w:rPr>
                <w:rStyle w:val="BodyTextChar1"/>
              </w:rPr>
              <w:t>÷202</w:t>
            </w:r>
            <w:r>
              <w:rPr>
                <w:rStyle w:val="BodyTextChar1"/>
              </w:rPr>
              <w:t>5</w:t>
            </w:r>
            <w:r w:rsidRPr="007A41F7">
              <w:rPr>
                <w:rStyle w:val="BodyTextChar1"/>
              </w:rPr>
              <w:t xml:space="preserve"> (đối với máy phát điện lắp ráp động cơ và đầu phát sản xuất năm 201</w:t>
            </w:r>
            <w:r>
              <w:rPr>
                <w:rStyle w:val="BodyTextChar1"/>
              </w:rPr>
              <w:t>6</w:t>
            </w:r>
            <w:r w:rsidRPr="007A41F7">
              <w:rPr>
                <w:rStyle w:val="BodyTextChar1"/>
              </w:rPr>
              <w:t>÷202</w:t>
            </w:r>
            <w:r>
              <w:rPr>
                <w:rStyle w:val="BodyTextChar1"/>
              </w:rPr>
              <w:t>5</w:t>
            </w:r>
            <w:r w:rsidRPr="007A41F7">
              <w:rPr>
                <w:rStyle w:val="BodyTextChar1"/>
              </w:rPr>
              <w:t>).</w:t>
            </w:r>
            <w:r>
              <w:rPr>
                <w:rStyle w:val="BodyTextChar1"/>
              </w:rPr>
              <w:t xml:space="preserve"> </w:t>
            </w:r>
          </w:p>
        </w:tc>
        <w:tc>
          <w:tcPr>
            <w:tcW w:w="2266" w:type="dxa"/>
            <w:vAlign w:val="center"/>
          </w:tcPr>
          <w:p w:rsidR="002B417C" w:rsidRPr="00C15388" w:rsidRDefault="002B417C" w:rsidP="00656A79">
            <w:pPr>
              <w:jc w:val="left"/>
              <w:rPr>
                <w:rFonts w:eastAsia="Courier New"/>
                <w:sz w:val="26"/>
                <w:szCs w:val="26"/>
              </w:rPr>
            </w:pPr>
            <w:r w:rsidRPr="00C15388">
              <w:rPr>
                <w:rFonts w:eastAsia="Courier New"/>
                <w:sz w:val="26"/>
                <w:szCs w:val="26"/>
              </w:rPr>
              <w:t>Được đánh giá là đảm bảo các thông số kỹ thuật của E-HSMT và đảm tính tương thích, đồng bộ với hệ thống cung cấp điện hiện có của Chủ đầu tư; Nhà thầu có hồ sơ chứng minh và cam kết bằng văn bản về năm sản xuất hoặc lắp ráp của máy phát điện.</w:t>
            </w:r>
          </w:p>
        </w:tc>
        <w:tc>
          <w:tcPr>
            <w:tcW w:w="2526" w:type="dxa"/>
            <w:vAlign w:val="center"/>
          </w:tcPr>
          <w:p w:rsidR="002B417C" w:rsidRPr="00C15388" w:rsidRDefault="002B417C" w:rsidP="00656A79">
            <w:pPr>
              <w:jc w:val="left"/>
              <w:rPr>
                <w:rFonts w:eastAsia="Courier New"/>
                <w:sz w:val="26"/>
                <w:szCs w:val="26"/>
              </w:rPr>
            </w:pPr>
            <w:r w:rsidRPr="00C15388">
              <w:rPr>
                <w:rFonts w:eastAsia="Courier New"/>
                <w:sz w:val="26"/>
                <w:szCs w:val="26"/>
              </w:rPr>
              <w:t>Không đáp ứng các thông số kỹ thuật hoặc không tương thích, đồng bộ với hệ thống cung cấp điện hiện có của Chủ đầu tư; Nhà thầu không có hồ sơ chứng minh và cam kết bằng văn bản về năm sản xuất hoặc lắp ráp của máy phát điện.</w:t>
            </w:r>
          </w:p>
        </w:tc>
      </w:tr>
      <w:tr w:rsidR="002B417C" w:rsidRPr="00A04456" w:rsidTr="00656A79">
        <w:tc>
          <w:tcPr>
            <w:tcW w:w="563" w:type="dxa"/>
            <w:vAlign w:val="center"/>
          </w:tcPr>
          <w:p w:rsidR="002B417C" w:rsidRPr="00C15388" w:rsidRDefault="002B417C" w:rsidP="00656A79">
            <w:pPr>
              <w:jc w:val="center"/>
              <w:rPr>
                <w:rFonts w:eastAsia="Courier New"/>
                <w:color w:val="C00000"/>
                <w:sz w:val="26"/>
                <w:szCs w:val="26"/>
              </w:rPr>
            </w:pPr>
            <w:r w:rsidRPr="00C15388">
              <w:rPr>
                <w:rFonts w:eastAsia="Courier New"/>
                <w:color w:val="C00000"/>
                <w:sz w:val="26"/>
                <w:szCs w:val="26"/>
              </w:rPr>
              <w:t>1.2</w:t>
            </w:r>
          </w:p>
        </w:tc>
        <w:tc>
          <w:tcPr>
            <w:tcW w:w="3967" w:type="dxa"/>
            <w:vAlign w:val="center"/>
          </w:tcPr>
          <w:p w:rsidR="002B417C" w:rsidRPr="000922D7" w:rsidRDefault="002B417C" w:rsidP="00656A79">
            <w:pPr>
              <w:jc w:val="left"/>
              <w:rPr>
                <w:rStyle w:val="BodyTextChar1"/>
              </w:rPr>
            </w:pPr>
            <w:r>
              <w:rPr>
                <w:rStyle w:val="BodyTextChar1"/>
              </w:rPr>
              <w:t>Cam kết tự bố trí phương tiện, thiết bị nhân lực thực hiện việc vận chuyển lắp đặt đấu nối chạy thử tại khai trường Khe Chàm Công ty than Hạ Long – TKV. Bố trí cán bộ kỹ thuật hướng dẫn vận hành sử dung cho CBCNV của bên chủ đầu tư.</w:t>
            </w:r>
          </w:p>
        </w:tc>
        <w:tc>
          <w:tcPr>
            <w:tcW w:w="2266" w:type="dxa"/>
            <w:vAlign w:val="center"/>
          </w:tcPr>
          <w:p w:rsidR="002B417C" w:rsidRPr="00C15388" w:rsidRDefault="002B417C" w:rsidP="00656A79">
            <w:pPr>
              <w:jc w:val="left"/>
              <w:rPr>
                <w:rFonts w:eastAsia="Courier New"/>
                <w:sz w:val="26"/>
                <w:szCs w:val="26"/>
              </w:rPr>
            </w:pPr>
            <w:r w:rsidRPr="00C15388">
              <w:rPr>
                <w:rFonts w:eastAsia="Courier New"/>
                <w:sz w:val="26"/>
                <w:szCs w:val="26"/>
              </w:rPr>
              <w:t>Có cam kết bằng văn bản</w:t>
            </w:r>
            <w:r w:rsidRPr="00C15388">
              <w:rPr>
                <w:rFonts w:eastAsia="Courier New"/>
                <w:szCs w:val="26"/>
              </w:rPr>
              <w:t xml:space="preserve"> </w:t>
            </w:r>
          </w:p>
        </w:tc>
        <w:tc>
          <w:tcPr>
            <w:tcW w:w="2526" w:type="dxa"/>
            <w:vAlign w:val="center"/>
          </w:tcPr>
          <w:p w:rsidR="002B417C" w:rsidRPr="00C15388" w:rsidRDefault="002B417C" w:rsidP="00656A79">
            <w:pPr>
              <w:jc w:val="left"/>
              <w:rPr>
                <w:rFonts w:eastAsia="Courier New"/>
                <w:sz w:val="26"/>
                <w:szCs w:val="26"/>
              </w:rPr>
            </w:pPr>
            <w:r w:rsidRPr="00C15388">
              <w:rPr>
                <w:rFonts w:eastAsia="Courier New"/>
                <w:sz w:val="26"/>
                <w:szCs w:val="26"/>
              </w:rPr>
              <w:t>Không đáp ứng yêu cầu trên</w:t>
            </w:r>
          </w:p>
        </w:tc>
      </w:tr>
      <w:tr w:rsidR="002B417C" w:rsidRPr="00A04456" w:rsidTr="00656A79">
        <w:tc>
          <w:tcPr>
            <w:tcW w:w="563" w:type="dxa"/>
            <w:vAlign w:val="center"/>
          </w:tcPr>
          <w:p w:rsidR="002B417C" w:rsidRPr="00C15388" w:rsidRDefault="002B417C" w:rsidP="00656A79">
            <w:pPr>
              <w:jc w:val="center"/>
              <w:rPr>
                <w:rFonts w:eastAsia="Courier New"/>
                <w:color w:val="C00000"/>
                <w:sz w:val="26"/>
                <w:szCs w:val="26"/>
              </w:rPr>
            </w:pPr>
            <w:r w:rsidRPr="00C15388">
              <w:rPr>
                <w:rFonts w:eastAsia="Courier New"/>
                <w:color w:val="C00000"/>
                <w:sz w:val="26"/>
                <w:szCs w:val="26"/>
              </w:rPr>
              <w:t>1.3</w:t>
            </w:r>
          </w:p>
        </w:tc>
        <w:tc>
          <w:tcPr>
            <w:tcW w:w="3967" w:type="dxa"/>
            <w:vAlign w:val="center"/>
          </w:tcPr>
          <w:p w:rsidR="002B417C" w:rsidRPr="00C15388" w:rsidRDefault="002B417C" w:rsidP="00656A79">
            <w:pPr>
              <w:jc w:val="left"/>
              <w:rPr>
                <w:rFonts w:eastAsia="Courier New"/>
                <w:sz w:val="26"/>
                <w:szCs w:val="26"/>
              </w:rPr>
            </w:pPr>
            <w:r w:rsidRPr="000922D7">
              <w:rPr>
                <w:rStyle w:val="BodyTextChar1"/>
              </w:rPr>
              <w:t>Mức độ đáp ứng đảm bảo chất lượng và phương pháp thực h</w:t>
            </w:r>
            <w:r w:rsidRPr="00C15388">
              <w:rPr>
                <w:rStyle w:val="BodyTextChar1"/>
                <w:lang w:val="vi-VN"/>
              </w:rPr>
              <w:t>iện</w:t>
            </w:r>
            <w:r w:rsidRPr="000922D7">
              <w:rPr>
                <w:rStyle w:val="BodyTextChar1"/>
              </w:rPr>
              <w:t xml:space="preserve"> dịch vụ nhằm duy trì hoạt động của thiết bị phù hợp với yêu cầu sử dụng thiết bị phục vụ sản xuất của Chủ đầu tư</w:t>
            </w:r>
            <w:r w:rsidRPr="00C15388">
              <w:rPr>
                <w:rFonts w:eastAsia="Courier New"/>
                <w:sz w:val="26"/>
                <w:szCs w:val="26"/>
              </w:rPr>
              <w:t>.</w:t>
            </w:r>
          </w:p>
        </w:tc>
        <w:tc>
          <w:tcPr>
            <w:tcW w:w="2266" w:type="dxa"/>
            <w:vAlign w:val="center"/>
          </w:tcPr>
          <w:p w:rsidR="002B417C" w:rsidRPr="00C15388" w:rsidRDefault="002B417C" w:rsidP="00656A79">
            <w:pPr>
              <w:jc w:val="left"/>
              <w:rPr>
                <w:rFonts w:eastAsia="Courier New"/>
                <w:sz w:val="26"/>
                <w:szCs w:val="26"/>
              </w:rPr>
            </w:pPr>
            <w:r w:rsidRPr="00C15388">
              <w:rPr>
                <w:rFonts w:eastAsia="Courier New"/>
                <w:sz w:val="26"/>
                <w:szCs w:val="26"/>
              </w:rPr>
              <w:t xml:space="preserve">Được đánh giá là phù hợp với phương án sử dụng thiết bị của Bên mời thầu </w:t>
            </w:r>
          </w:p>
        </w:tc>
        <w:tc>
          <w:tcPr>
            <w:tcW w:w="2526" w:type="dxa"/>
            <w:vAlign w:val="center"/>
          </w:tcPr>
          <w:p w:rsidR="002B417C" w:rsidRPr="00C15388" w:rsidRDefault="002B417C" w:rsidP="00656A79">
            <w:pPr>
              <w:jc w:val="left"/>
              <w:rPr>
                <w:rFonts w:eastAsia="Courier New"/>
                <w:sz w:val="26"/>
                <w:szCs w:val="26"/>
              </w:rPr>
            </w:pPr>
            <w:r w:rsidRPr="00C15388">
              <w:rPr>
                <w:rFonts w:eastAsia="Courier New"/>
                <w:sz w:val="26"/>
                <w:szCs w:val="26"/>
              </w:rPr>
              <w:t>Không đáp ứng, không phù hợp với phương án sử dụng thiết bị của Bên mời</w:t>
            </w:r>
          </w:p>
        </w:tc>
      </w:tr>
      <w:tr w:rsidR="002B417C" w:rsidRPr="00A04456" w:rsidTr="00656A79">
        <w:tc>
          <w:tcPr>
            <w:tcW w:w="563" w:type="dxa"/>
            <w:vAlign w:val="center"/>
          </w:tcPr>
          <w:p w:rsidR="002B417C" w:rsidRPr="00C15388" w:rsidRDefault="002B417C" w:rsidP="00656A79">
            <w:pPr>
              <w:jc w:val="center"/>
              <w:rPr>
                <w:rFonts w:eastAsia="Courier New"/>
                <w:color w:val="C00000"/>
                <w:sz w:val="26"/>
                <w:szCs w:val="26"/>
              </w:rPr>
            </w:pPr>
            <w:r w:rsidRPr="00C15388">
              <w:rPr>
                <w:rFonts w:eastAsia="Courier New"/>
                <w:color w:val="C00000"/>
                <w:sz w:val="26"/>
                <w:szCs w:val="26"/>
              </w:rPr>
              <w:t>1</w:t>
            </w:r>
            <w:r w:rsidRPr="00C15388">
              <w:rPr>
                <w:rFonts w:eastAsia="Courier New"/>
                <w:color w:val="C00000"/>
              </w:rPr>
              <w:t>.4</w:t>
            </w:r>
          </w:p>
        </w:tc>
        <w:tc>
          <w:tcPr>
            <w:tcW w:w="3967" w:type="dxa"/>
            <w:vAlign w:val="center"/>
          </w:tcPr>
          <w:p w:rsidR="002B417C" w:rsidRPr="000922D7" w:rsidRDefault="002B417C" w:rsidP="00656A79">
            <w:pPr>
              <w:jc w:val="left"/>
              <w:rPr>
                <w:rStyle w:val="BodyTextChar1"/>
              </w:rPr>
            </w:pPr>
            <w:r>
              <w:rPr>
                <w:rStyle w:val="BodyTextChar1"/>
              </w:rPr>
              <w:t xml:space="preserve">Bố trí cán bộ kỹ thuật kiểm tra bảo dưỡng thay thế phụ tùng sửa chữa thường xuyên đảm bảo thiết bị hoạt động bình thường trong thời gian </w:t>
            </w:r>
            <w:r>
              <w:rPr>
                <w:rStyle w:val="BodyTextChar1"/>
              </w:rPr>
              <w:lastRenderedPageBreak/>
              <w:t>thuê; Mọi chi phí bảo dưỡng thay thế phụ tùng do nhà thầu chịu.</w:t>
            </w:r>
          </w:p>
        </w:tc>
        <w:tc>
          <w:tcPr>
            <w:tcW w:w="2266" w:type="dxa"/>
            <w:vAlign w:val="center"/>
          </w:tcPr>
          <w:p w:rsidR="002B417C" w:rsidRPr="00C15388" w:rsidRDefault="002B417C" w:rsidP="00656A79">
            <w:pPr>
              <w:jc w:val="left"/>
              <w:rPr>
                <w:rFonts w:eastAsia="Courier New"/>
                <w:sz w:val="26"/>
                <w:szCs w:val="26"/>
              </w:rPr>
            </w:pPr>
            <w:r w:rsidRPr="00C15388">
              <w:rPr>
                <w:rFonts w:eastAsia="Courier New"/>
                <w:sz w:val="26"/>
                <w:szCs w:val="26"/>
              </w:rPr>
              <w:lastRenderedPageBreak/>
              <w:t>Có cam kết bằng văn bản</w:t>
            </w:r>
            <w:r w:rsidRPr="00C15388">
              <w:rPr>
                <w:rFonts w:eastAsia="Courier New"/>
                <w:szCs w:val="26"/>
              </w:rPr>
              <w:t xml:space="preserve"> </w:t>
            </w:r>
          </w:p>
        </w:tc>
        <w:tc>
          <w:tcPr>
            <w:tcW w:w="2526" w:type="dxa"/>
            <w:vAlign w:val="center"/>
          </w:tcPr>
          <w:p w:rsidR="002B417C" w:rsidRPr="00C15388" w:rsidRDefault="002B417C" w:rsidP="00656A79">
            <w:pPr>
              <w:jc w:val="left"/>
              <w:rPr>
                <w:rFonts w:eastAsia="Courier New"/>
                <w:sz w:val="26"/>
                <w:szCs w:val="26"/>
              </w:rPr>
            </w:pPr>
            <w:r w:rsidRPr="00C15388">
              <w:rPr>
                <w:rFonts w:eastAsia="Courier New"/>
                <w:sz w:val="26"/>
                <w:szCs w:val="26"/>
              </w:rPr>
              <w:t>Không đáp ứng yêu cầu trên</w:t>
            </w:r>
          </w:p>
        </w:tc>
      </w:tr>
      <w:tr w:rsidR="002B417C" w:rsidRPr="00A04456" w:rsidTr="00656A79">
        <w:tc>
          <w:tcPr>
            <w:tcW w:w="563" w:type="dxa"/>
            <w:vAlign w:val="center"/>
          </w:tcPr>
          <w:p w:rsidR="002B417C" w:rsidRPr="00C15388" w:rsidRDefault="002B417C" w:rsidP="00656A79">
            <w:pPr>
              <w:jc w:val="center"/>
              <w:rPr>
                <w:rFonts w:eastAsia="Courier New"/>
                <w:color w:val="C00000"/>
                <w:sz w:val="26"/>
                <w:szCs w:val="26"/>
              </w:rPr>
            </w:pPr>
            <w:r w:rsidRPr="00C15388">
              <w:rPr>
                <w:rFonts w:eastAsia="Courier New"/>
                <w:color w:val="C00000"/>
                <w:sz w:val="26"/>
                <w:szCs w:val="26"/>
              </w:rPr>
              <w:lastRenderedPageBreak/>
              <w:t>2</w:t>
            </w:r>
          </w:p>
        </w:tc>
        <w:tc>
          <w:tcPr>
            <w:tcW w:w="3967" w:type="dxa"/>
            <w:vAlign w:val="center"/>
          </w:tcPr>
          <w:p w:rsidR="002B417C" w:rsidRPr="000922D7" w:rsidRDefault="002B417C" w:rsidP="00656A79">
            <w:pPr>
              <w:jc w:val="left"/>
              <w:rPr>
                <w:rStyle w:val="BodyTextChar1"/>
              </w:rPr>
            </w:pPr>
            <w:r w:rsidRPr="000922D7">
              <w:rPr>
                <w:rStyle w:val="BodyTextChar1"/>
              </w:rPr>
              <w:t>Tiến độ thực hiện gói thầu đáp ứng yêu cầu của E-HSMT</w:t>
            </w:r>
          </w:p>
        </w:tc>
        <w:tc>
          <w:tcPr>
            <w:tcW w:w="2266" w:type="dxa"/>
            <w:vAlign w:val="center"/>
          </w:tcPr>
          <w:p w:rsidR="002B417C" w:rsidRPr="00C15388" w:rsidRDefault="002B417C" w:rsidP="00656A79">
            <w:pPr>
              <w:jc w:val="left"/>
              <w:rPr>
                <w:rFonts w:eastAsia="Courier New"/>
                <w:sz w:val="26"/>
                <w:szCs w:val="26"/>
              </w:rPr>
            </w:pPr>
            <w:r w:rsidRPr="00C15388">
              <w:rPr>
                <w:rFonts w:eastAsia="Courier New"/>
                <w:sz w:val="26"/>
                <w:szCs w:val="26"/>
              </w:rPr>
              <w:t>Thời gian cung cấp thiết bị và phương án duy trì hoạt động của thiết bị trong suốt quá trình thực hiện hợp đồng được đánh giá là khả thi.</w:t>
            </w:r>
          </w:p>
        </w:tc>
        <w:tc>
          <w:tcPr>
            <w:tcW w:w="2526" w:type="dxa"/>
            <w:vAlign w:val="center"/>
          </w:tcPr>
          <w:p w:rsidR="002B417C" w:rsidRPr="00C15388" w:rsidRDefault="002B417C" w:rsidP="00656A79">
            <w:pPr>
              <w:jc w:val="left"/>
              <w:rPr>
                <w:rFonts w:eastAsia="Courier New"/>
                <w:sz w:val="26"/>
                <w:szCs w:val="26"/>
              </w:rPr>
            </w:pPr>
            <w:r w:rsidRPr="00C15388">
              <w:rPr>
                <w:rFonts w:eastAsia="Courier New"/>
                <w:sz w:val="26"/>
                <w:szCs w:val="26"/>
              </w:rPr>
              <w:t>Thời gian cung cấp thiết bị không đảm bảo hoặc phương án duy trì hoạt động của thiết bị trong quá trình thực hiện hợp đồng được đánh giá là không khả thi.</w:t>
            </w:r>
          </w:p>
        </w:tc>
      </w:tr>
      <w:tr w:rsidR="002B417C" w:rsidRPr="00A04456" w:rsidTr="00656A79">
        <w:trPr>
          <w:trHeight w:val="1429"/>
        </w:trPr>
        <w:tc>
          <w:tcPr>
            <w:tcW w:w="563" w:type="dxa"/>
            <w:vAlign w:val="center"/>
          </w:tcPr>
          <w:p w:rsidR="002B417C" w:rsidRPr="00C15388" w:rsidRDefault="002B417C" w:rsidP="00656A79">
            <w:pPr>
              <w:jc w:val="center"/>
              <w:rPr>
                <w:rFonts w:eastAsia="Courier New"/>
                <w:color w:val="C00000"/>
                <w:sz w:val="26"/>
                <w:szCs w:val="26"/>
              </w:rPr>
            </w:pPr>
            <w:r w:rsidRPr="00C15388">
              <w:rPr>
                <w:rFonts w:eastAsia="Courier New"/>
                <w:color w:val="C00000"/>
                <w:sz w:val="26"/>
                <w:szCs w:val="26"/>
              </w:rPr>
              <w:t>3</w:t>
            </w:r>
          </w:p>
        </w:tc>
        <w:tc>
          <w:tcPr>
            <w:tcW w:w="3967" w:type="dxa"/>
            <w:vAlign w:val="center"/>
          </w:tcPr>
          <w:p w:rsidR="002B417C" w:rsidRPr="000922D7" w:rsidRDefault="002B417C" w:rsidP="00656A79">
            <w:pPr>
              <w:jc w:val="left"/>
              <w:rPr>
                <w:rStyle w:val="BodyTextChar1"/>
              </w:rPr>
            </w:pPr>
            <w:r w:rsidRPr="000922D7">
              <w:rPr>
                <w:rStyle w:val="BodyTextChar1"/>
              </w:rPr>
              <w:t>Thời gian nhà thầu lắp đặt xong tổ hợp máy phát điện</w:t>
            </w:r>
            <w:r w:rsidRPr="00C15388">
              <w:rPr>
                <w:rStyle w:val="BodyTextChar1"/>
                <w:lang w:val="vi-VN"/>
              </w:rPr>
              <w:t>, chạy thử không tải, có tải đảm bảo yêu cầu kỹ thuật</w:t>
            </w:r>
            <w:r w:rsidRPr="000922D7">
              <w:rPr>
                <w:rStyle w:val="BodyTextChar1"/>
              </w:rPr>
              <w:t xml:space="preserve"> và bàn giao cho chủ đầu tư sử dụng</w:t>
            </w:r>
          </w:p>
        </w:tc>
        <w:tc>
          <w:tcPr>
            <w:tcW w:w="2266" w:type="dxa"/>
            <w:vAlign w:val="center"/>
          </w:tcPr>
          <w:p w:rsidR="002B417C" w:rsidRPr="00534E96" w:rsidRDefault="002B417C" w:rsidP="00656A79">
            <w:pPr>
              <w:jc w:val="left"/>
              <w:rPr>
                <w:rFonts w:eastAsia="Courier New"/>
                <w:sz w:val="26"/>
                <w:szCs w:val="26"/>
              </w:rPr>
            </w:pPr>
            <w:r>
              <w:rPr>
                <w:rFonts w:eastAsia="Courier New"/>
                <w:sz w:val="26"/>
                <w:szCs w:val="26"/>
              </w:rPr>
              <w:t>Trong vòng 10 ngày kể từ ngày hợp đồng có hiệu lực</w:t>
            </w:r>
          </w:p>
        </w:tc>
        <w:tc>
          <w:tcPr>
            <w:tcW w:w="2526" w:type="dxa"/>
            <w:vAlign w:val="center"/>
          </w:tcPr>
          <w:p w:rsidR="002B417C" w:rsidRPr="00534E96" w:rsidRDefault="002B417C" w:rsidP="00656A79">
            <w:pPr>
              <w:jc w:val="left"/>
              <w:rPr>
                <w:rFonts w:eastAsia="Courier New"/>
                <w:sz w:val="26"/>
                <w:szCs w:val="26"/>
              </w:rPr>
            </w:pPr>
            <w:r>
              <w:rPr>
                <w:rFonts w:eastAsia="Courier New"/>
                <w:sz w:val="26"/>
                <w:szCs w:val="26"/>
              </w:rPr>
              <w:t>Trong vòng 10 ngày kể từ ngày hợp đồng có hiệu lực</w:t>
            </w:r>
          </w:p>
        </w:tc>
      </w:tr>
      <w:tr w:rsidR="002B417C" w:rsidRPr="00A04456" w:rsidTr="00656A79">
        <w:tc>
          <w:tcPr>
            <w:tcW w:w="563" w:type="dxa"/>
            <w:vAlign w:val="center"/>
          </w:tcPr>
          <w:p w:rsidR="002B417C" w:rsidRPr="00C15388" w:rsidRDefault="002B417C" w:rsidP="00656A79">
            <w:pPr>
              <w:jc w:val="center"/>
              <w:rPr>
                <w:rFonts w:eastAsia="Courier New"/>
                <w:color w:val="C00000"/>
                <w:sz w:val="26"/>
                <w:szCs w:val="26"/>
              </w:rPr>
            </w:pPr>
            <w:r w:rsidRPr="00C15388">
              <w:rPr>
                <w:rFonts w:eastAsia="Courier New"/>
                <w:color w:val="C00000"/>
                <w:sz w:val="26"/>
                <w:szCs w:val="26"/>
              </w:rPr>
              <w:t>4</w:t>
            </w:r>
          </w:p>
        </w:tc>
        <w:tc>
          <w:tcPr>
            <w:tcW w:w="3967" w:type="dxa"/>
            <w:vAlign w:val="center"/>
          </w:tcPr>
          <w:p w:rsidR="002B417C" w:rsidRPr="000922D7" w:rsidRDefault="002B417C" w:rsidP="00656A79">
            <w:pPr>
              <w:jc w:val="left"/>
              <w:rPr>
                <w:rStyle w:val="BodyTextChar1"/>
              </w:rPr>
            </w:pPr>
            <w:r w:rsidRPr="000922D7">
              <w:rPr>
                <w:rStyle w:val="BodyTextChar1"/>
              </w:rPr>
              <w:t>Kinh nghiệm và uy tín của nhà thầu thông qua việc thực hiện các hợp đồng tương tự trước đó</w:t>
            </w:r>
          </w:p>
        </w:tc>
        <w:tc>
          <w:tcPr>
            <w:tcW w:w="2266" w:type="dxa"/>
            <w:vAlign w:val="center"/>
          </w:tcPr>
          <w:p w:rsidR="002B417C" w:rsidRPr="00C15388" w:rsidRDefault="002B417C" w:rsidP="00656A79">
            <w:pPr>
              <w:jc w:val="left"/>
              <w:rPr>
                <w:rFonts w:eastAsia="Courier New"/>
                <w:sz w:val="26"/>
                <w:szCs w:val="26"/>
              </w:rPr>
            </w:pPr>
            <w:r w:rsidRPr="00C15388">
              <w:rPr>
                <w:rFonts w:eastAsia="Courier New"/>
                <w:sz w:val="26"/>
                <w:szCs w:val="26"/>
              </w:rPr>
              <w:t>Không có hợp đồng tương tự chậm tiến độ hoặc bỏ dở do lỗi của nhà thầu.</w:t>
            </w:r>
          </w:p>
        </w:tc>
        <w:tc>
          <w:tcPr>
            <w:tcW w:w="2526" w:type="dxa"/>
            <w:vAlign w:val="center"/>
          </w:tcPr>
          <w:p w:rsidR="002B417C" w:rsidRPr="00C15388" w:rsidRDefault="002B417C" w:rsidP="00656A79">
            <w:pPr>
              <w:jc w:val="left"/>
              <w:rPr>
                <w:rFonts w:eastAsia="Courier New"/>
                <w:sz w:val="26"/>
                <w:szCs w:val="26"/>
              </w:rPr>
            </w:pPr>
            <w:r w:rsidRPr="00C15388">
              <w:rPr>
                <w:rFonts w:eastAsia="Courier New"/>
                <w:sz w:val="26"/>
                <w:szCs w:val="26"/>
              </w:rPr>
              <w:t>Có hợp đồng tương tự chậm tiến độ hoặc bỏ dở do lỗi của nhà thầu</w:t>
            </w:r>
          </w:p>
        </w:tc>
      </w:tr>
      <w:tr w:rsidR="002B417C" w:rsidRPr="00A04456" w:rsidTr="00656A79">
        <w:tc>
          <w:tcPr>
            <w:tcW w:w="563" w:type="dxa"/>
            <w:vAlign w:val="center"/>
          </w:tcPr>
          <w:p w:rsidR="002B417C" w:rsidRPr="00C15388" w:rsidRDefault="002B417C" w:rsidP="00656A79">
            <w:pPr>
              <w:jc w:val="center"/>
              <w:rPr>
                <w:rFonts w:eastAsia="Courier New"/>
                <w:color w:val="C00000"/>
                <w:sz w:val="26"/>
                <w:szCs w:val="26"/>
              </w:rPr>
            </w:pPr>
            <w:r w:rsidRPr="00C15388">
              <w:rPr>
                <w:rFonts w:eastAsia="Courier New"/>
                <w:color w:val="C00000"/>
                <w:sz w:val="26"/>
                <w:szCs w:val="26"/>
              </w:rPr>
              <w:t>5</w:t>
            </w:r>
          </w:p>
        </w:tc>
        <w:tc>
          <w:tcPr>
            <w:tcW w:w="3967" w:type="dxa"/>
            <w:vAlign w:val="center"/>
          </w:tcPr>
          <w:p w:rsidR="002B417C" w:rsidRPr="000922D7" w:rsidRDefault="002B417C" w:rsidP="00656A79">
            <w:pPr>
              <w:spacing w:before="60" w:after="60"/>
              <w:rPr>
                <w:rStyle w:val="BodyTextChar1"/>
              </w:rPr>
            </w:pPr>
            <w:r w:rsidRPr="000922D7">
              <w:rPr>
                <w:rStyle w:val="BodyTextChar1"/>
              </w:rPr>
              <w:t>Thời gian nhà thầu có mặt phối hợp xử lý sự cố trong quá trình vận hành thiết bị</w:t>
            </w:r>
            <w:r w:rsidRPr="00C15388">
              <w:rPr>
                <w:bCs/>
                <w:spacing w:val="-8"/>
                <w:sz w:val="28"/>
                <w:szCs w:val="28"/>
              </w:rPr>
              <w:t xml:space="preserve"> </w:t>
            </w:r>
          </w:p>
        </w:tc>
        <w:tc>
          <w:tcPr>
            <w:tcW w:w="2266" w:type="dxa"/>
            <w:vAlign w:val="center"/>
          </w:tcPr>
          <w:p w:rsidR="002B417C" w:rsidRPr="00C15388" w:rsidRDefault="002B417C" w:rsidP="00656A79">
            <w:pPr>
              <w:spacing w:before="60" w:after="60"/>
              <w:rPr>
                <w:rFonts w:eastAsia="Courier New"/>
                <w:sz w:val="26"/>
                <w:szCs w:val="26"/>
              </w:rPr>
            </w:pPr>
            <w:r w:rsidRPr="00C15388">
              <w:rPr>
                <w:rFonts w:eastAsia="Courier New"/>
                <w:sz w:val="26"/>
                <w:szCs w:val="26"/>
              </w:rPr>
              <w:t>≤</w:t>
            </w:r>
            <w:r w:rsidRPr="00C15388">
              <w:rPr>
                <w:bCs/>
                <w:spacing w:val="-8"/>
                <w:sz w:val="28"/>
                <w:szCs w:val="28"/>
              </w:rPr>
              <w:t xml:space="preserve">12 giờ khi có thông báo của chủ đầu tư </w:t>
            </w:r>
          </w:p>
        </w:tc>
        <w:tc>
          <w:tcPr>
            <w:tcW w:w="2526" w:type="dxa"/>
            <w:vAlign w:val="center"/>
          </w:tcPr>
          <w:p w:rsidR="002B417C" w:rsidRPr="00C15388" w:rsidRDefault="002B417C" w:rsidP="00656A79">
            <w:pPr>
              <w:jc w:val="left"/>
              <w:rPr>
                <w:rFonts w:eastAsia="Courier New"/>
                <w:sz w:val="26"/>
                <w:szCs w:val="26"/>
              </w:rPr>
            </w:pPr>
            <w:r w:rsidRPr="00C15388">
              <w:rPr>
                <w:rFonts w:eastAsia="Courier New"/>
                <w:sz w:val="26"/>
                <w:szCs w:val="26"/>
              </w:rPr>
              <w:t>&gt;</w:t>
            </w:r>
            <w:r w:rsidRPr="00C15388">
              <w:rPr>
                <w:bCs/>
                <w:spacing w:val="-8"/>
                <w:sz w:val="28"/>
                <w:szCs w:val="28"/>
              </w:rPr>
              <w:t>12 giờ khi có thông báo của chủ đầu tư</w:t>
            </w:r>
          </w:p>
        </w:tc>
      </w:tr>
    </w:tbl>
    <w:p w:rsidR="002B417C" w:rsidRPr="00A04456" w:rsidRDefault="002B417C" w:rsidP="002B417C">
      <w:pPr>
        <w:autoSpaceDE w:val="0"/>
        <w:autoSpaceDN w:val="0"/>
        <w:adjustRightInd w:val="0"/>
        <w:spacing w:before="120"/>
        <w:ind w:firstLine="720"/>
        <w:rPr>
          <w:sz w:val="28"/>
          <w:szCs w:val="28"/>
          <w:lang w:val="es-ES"/>
        </w:rPr>
      </w:pPr>
      <w:r w:rsidRPr="00A04456">
        <w:rPr>
          <w:sz w:val="28"/>
          <w:szCs w:val="28"/>
          <w:lang w:val="es-ES"/>
        </w:rPr>
        <w:t>Nhà thầu được đánh giá là đạt yêu cầu kỹ thuật khi các tiêu chuẩn 1,2,3,4</w:t>
      </w:r>
      <w:r>
        <w:rPr>
          <w:sz w:val="28"/>
          <w:szCs w:val="28"/>
          <w:lang w:val="es-ES"/>
        </w:rPr>
        <w:t>,5</w:t>
      </w:r>
      <w:r w:rsidRPr="00A04456">
        <w:rPr>
          <w:sz w:val="28"/>
          <w:szCs w:val="28"/>
          <w:lang w:val="es-ES"/>
        </w:rPr>
        <w:t xml:space="preserve"> được xác định là đạt. Trường hợp Nhà thầu không đạt một trong các tiêu chuẩn 1,2,3,4</w:t>
      </w:r>
      <w:r>
        <w:rPr>
          <w:sz w:val="28"/>
          <w:szCs w:val="28"/>
          <w:lang w:val="es-ES"/>
        </w:rPr>
        <w:t xml:space="preserve">,5 </w:t>
      </w:r>
      <w:r w:rsidRPr="00A04456">
        <w:rPr>
          <w:sz w:val="28"/>
          <w:szCs w:val="28"/>
          <w:lang w:val="es-ES"/>
        </w:rPr>
        <w:t>thì được đánh giá là không đạt và không được xem xét, đánh giá các bước tiếp theo.</w:t>
      </w:r>
    </w:p>
    <w:p w:rsidR="00475B86" w:rsidRDefault="00475B86">
      <w:bookmarkStart w:id="1" w:name="_GoBack"/>
      <w:bookmarkEnd w:id="0"/>
      <w:bookmarkEnd w:id="1"/>
    </w:p>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7C"/>
    <w:rsid w:val="002B417C"/>
    <w:rsid w:val="00475B8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87CD7-5461-46B5-8DE9-CA811238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17C"/>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B417C"/>
    <w:pPr>
      <w:suppressAutoHyphens/>
      <w:ind w:right="-72"/>
    </w:pPr>
    <w:rPr>
      <w:spacing w:val="-4"/>
      <w:lang w:val="x-none" w:eastAsia="x-none"/>
    </w:rPr>
  </w:style>
  <w:style w:type="character" w:customStyle="1" w:styleId="BodyTextChar">
    <w:name w:val="Body Text Char"/>
    <w:basedOn w:val="DefaultParagraphFont"/>
    <w:link w:val="BodyText"/>
    <w:rsid w:val="002B417C"/>
    <w:rPr>
      <w:rFonts w:eastAsia="Times New Roman" w:cs="Times New Roman"/>
      <w:spacing w:val="-4"/>
      <w:szCs w:val="20"/>
      <w:lang w:val="x-none" w:eastAsia="x-none"/>
    </w:rPr>
  </w:style>
  <w:style w:type="character" w:customStyle="1" w:styleId="BodyTextChar1">
    <w:name w:val="Body Text Char1"/>
    <w:uiPriority w:val="99"/>
    <w:rsid w:val="002B417C"/>
    <w:rPr>
      <w:rFonts w:ascii="Times New Roman" w:hAnsi="Times New Roman" w:cs="Times New Roman"/>
      <w:color w:val="181A1C"/>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2026-02-10T02:59:00Z</dcterms:created>
  <dcterms:modified xsi:type="dcterms:W3CDTF">2026-02-10T02:59:00Z</dcterms:modified>
</cp:coreProperties>
</file>