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F6F" w:rsidRPr="00180F17" w:rsidRDefault="000A3F6F" w:rsidP="000A3F6F">
      <w:pPr>
        <w:jc w:val="center"/>
        <w:outlineLvl w:val="0"/>
        <w:rPr>
          <w:b/>
          <w:sz w:val="28"/>
          <w:szCs w:val="28"/>
          <w:lang w:val="nl-NL"/>
        </w:rPr>
      </w:pPr>
      <w:r w:rsidRPr="00180F17">
        <w:rPr>
          <w:b/>
          <w:sz w:val="28"/>
          <w:szCs w:val="28"/>
          <w:lang w:val="nl-NL"/>
        </w:rPr>
        <w:t>Phần 2. YÊU CẦU VỀ KỸ THUẬT</w:t>
      </w:r>
    </w:p>
    <w:p w:rsidR="000A3F6F" w:rsidRPr="00180F17" w:rsidRDefault="000A3F6F" w:rsidP="000A3F6F">
      <w:pPr>
        <w:widowControl w:val="0"/>
        <w:spacing w:before="120" w:after="120" w:line="264" w:lineRule="auto"/>
        <w:jc w:val="center"/>
        <w:outlineLvl w:val="1"/>
        <w:rPr>
          <w:sz w:val="28"/>
          <w:szCs w:val="28"/>
          <w:lang w:val="nl-NL"/>
        </w:rPr>
      </w:pPr>
      <w:r w:rsidRPr="00180F17">
        <w:rPr>
          <w:b/>
          <w:sz w:val="28"/>
          <w:szCs w:val="28"/>
          <w:lang w:val="nl-NL"/>
        </w:rPr>
        <w:t>Chương V. YÊU CẦU VỀ KỸ THUẬT</w:t>
      </w:r>
    </w:p>
    <w:p w:rsidR="000A3F6F" w:rsidRPr="00180F17" w:rsidRDefault="000A3F6F" w:rsidP="000A3F6F">
      <w:pPr>
        <w:pStyle w:val="Subtitle"/>
        <w:rPr>
          <w:sz w:val="20"/>
          <w:szCs w:val="32"/>
          <w:lang w:val="nl-NL"/>
        </w:rPr>
      </w:pPr>
    </w:p>
    <w:p w:rsidR="000A3F6F" w:rsidRPr="00180F17" w:rsidRDefault="000A3F6F" w:rsidP="000A3F6F">
      <w:pPr>
        <w:pStyle w:val="SectionVIHeader"/>
        <w:widowControl w:val="0"/>
        <w:spacing w:after="120" w:line="264" w:lineRule="auto"/>
        <w:ind w:firstLine="709"/>
        <w:jc w:val="both"/>
        <w:rPr>
          <w:sz w:val="28"/>
          <w:szCs w:val="28"/>
          <w:lang w:val="nl-NL"/>
        </w:rPr>
      </w:pPr>
      <w:r w:rsidRPr="00180F17">
        <w:rPr>
          <w:sz w:val="28"/>
          <w:szCs w:val="28"/>
          <w:lang w:val="nl-NL"/>
        </w:rPr>
        <w:t>Mục 1. Yêu cầu về kỹ thuật</w:t>
      </w:r>
    </w:p>
    <w:p w:rsidR="000A3F6F" w:rsidRPr="00180F17" w:rsidRDefault="000A3F6F" w:rsidP="000A3F6F">
      <w:pPr>
        <w:widowControl w:val="0"/>
        <w:spacing w:before="120" w:after="120" w:line="264" w:lineRule="auto"/>
        <w:ind w:firstLine="709"/>
        <w:rPr>
          <w:b/>
          <w:i/>
          <w:sz w:val="28"/>
          <w:szCs w:val="28"/>
          <w:lang w:val="nl-NL"/>
        </w:rPr>
      </w:pPr>
      <w:r w:rsidRPr="00180F17">
        <w:rPr>
          <w:b/>
          <w:i/>
          <w:sz w:val="28"/>
          <w:szCs w:val="28"/>
          <w:lang w:val="nl-NL"/>
        </w:rPr>
        <w:t>1.1. Giới thiệu chung về dự án/</w:t>
      </w:r>
      <w:r w:rsidRPr="00180F17">
        <w:rPr>
          <w:b/>
          <w:i/>
          <w:sz w:val="28"/>
          <w:szCs w:val="28"/>
        </w:rPr>
        <w:t>dự toán mua sắm</w:t>
      </w:r>
      <w:r w:rsidRPr="00180F17">
        <w:rPr>
          <w:b/>
          <w:i/>
          <w:sz w:val="28"/>
          <w:szCs w:val="28"/>
          <w:lang w:val="nl-NL"/>
        </w:rPr>
        <w:t>, gói thầu</w:t>
      </w:r>
    </w:p>
    <w:p w:rsidR="000A3F6F" w:rsidRPr="00330677" w:rsidRDefault="000A3F6F" w:rsidP="000A3F6F">
      <w:pPr>
        <w:widowControl w:val="0"/>
        <w:spacing w:before="120" w:after="120" w:line="264" w:lineRule="auto"/>
        <w:ind w:firstLine="709"/>
        <w:rPr>
          <w:sz w:val="28"/>
          <w:szCs w:val="28"/>
        </w:rPr>
      </w:pPr>
      <w:r w:rsidRPr="00330677">
        <w:rPr>
          <w:sz w:val="28"/>
          <w:szCs w:val="28"/>
        </w:rPr>
        <w:t xml:space="preserve">Tên gói thầu: Cơ sở dữ liệu </w:t>
      </w:r>
      <w:r>
        <w:rPr>
          <w:sz w:val="28"/>
          <w:szCs w:val="28"/>
        </w:rPr>
        <w:t>InCites</w:t>
      </w:r>
    </w:p>
    <w:p w:rsidR="000A3F6F" w:rsidRPr="00330677" w:rsidRDefault="000A3F6F" w:rsidP="000A3F6F">
      <w:pPr>
        <w:widowControl w:val="0"/>
        <w:spacing w:before="120" w:after="120" w:line="264" w:lineRule="auto"/>
        <w:ind w:firstLine="709"/>
        <w:rPr>
          <w:sz w:val="28"/>
          <w:szCs w:val="28"/>
        </w:rPr>
      </w:pPr>
      <w:r>
        <w:rPr>
          <w:sz w:val="28"/>
          <w:szCs w:val="28"/>
        </w:rPr>
        <w:t>Dự án/Dự toán mua sắm</w:t>
      </w:r>
      <w:r w:rsidRPr="00330677">
        <w:rPr>
          <w:sz w:val="28"/>
          <w:szCs w:val="28"/>
        </w:rPr>
        <w:t xml:space="preserve">: </w:t>
      </w:r>
      <w:r>
        <w:rPr>
          <w:sz w:val="28"/>
          <w:szCs w:val="28"/>
        </w:rPr>
        <w:t>“</w:t>
      </w:r>
      <w:r w:rsidRPr="00F56E07">
        <w:rPr>
          <w:sz w:val="28"/>
          <w:szCs w:val="28"/>
        </w:rPr>
        <w:t xml:space="preserve">Bổ sung và khai thác hiệu quả nguồn tin khoa học và công nghệ” </w:t>
      </w:r>
      <w:r w:rsidRPr="00A2447F">
        <w:rPr>
          <w:sz w:val="28"/>
          <w:szCs w:val="28"/>
        </w:rPr>
        <w:t>năm 20</w:t>
      </w:r>
      <w:r>
        <w:rPr>
          <w:sz w:val="28"/>
          <w:szCs w:val="28"/>
        </w:rPr>
        <w:t xml:space="preserve">26 </w:t>
      </w:r>
      <w:r w:rsidRPr="00330677">
        <w:rPr>
          <w:sz w:val="28"/>
          <w:szCs w:val="28"/>
        </w:rPr>
        <w:t xml:space="preserve">của </w:t>
      </w:r>
      <w:r w:rsidRPr="00A25328">
        <w:rPr>
          <w:sz w:val="28"/>
          <w:szCs w:val="28"/>
        </w:rPr>
        <w:t>Cục Thông tin, Thống kê</w:t>
      </w:r>
      <w:r>
        <w:rPr>
          <w:sz w:val="28"/>
          <w:szCs w:val="28"/>
        </w:rPr>
        <w:t>.</w:t>
      </w:r>
    </w:p>
    <w:p w:rsidR="000A3F6F" w:rsidRPr="00330677" w:rsidRDefault="000A3F6F" w:rsidP="000A3F6F">
      <w:pPr>
        <w:widowControl w:val="0"/>
        <w:spacing w:before="120" w:after="120" w:line="264" w:lineRule="auto"/>
        <w:ind w:firstLine="709"/>
        <w:rPr>
          <w:sz w:val="28"/>
          <w:szCs w:val="28"/>
        </w:rPr>
      </w:pPr>
      <w:r w:rsidRPr="00330677">
        <w:rPr>
          <w:sz w:val="28"/>
          <w:szCs w:val="28"/>
        </w:rPr>
        <w:t xml:space="preserve">Địa điểm thực hiện: </w:t>
      </w:r>
      <w:r w:rsidRPr="00911E7A">
        <w:rPr>
          <w:sz w:val="28"/>
          <w:szCs w:val="28"/>
        </w:rPr>
        <w:t>Cục Thông tin, Thống kê</w:t>
      </w:r>
      <w:r>
        <w:rPr>
          <w:sz w:val="28"/>
          <w:szCs w:val="28"/>
        </w:rPr>
        <w:t>, 24 Lý Thường Kiệt, Cửa Nam, Hà Nội.</w:t>
      </w:r>
    </w:p>
    <w:p w:rsidR="000A3F6F" w:rsidRPr="00330677" w:rsidRDefault="000A3F6F" w:rsidP="000A3F6F">
      <w:pPr>
        <w:widowControl w:val="0"/>
        <w:spacing w:before="120" w:after="120" w:line="264" w:lineRule="auto"/>
        <w:ind w:firstLine="709"/>
        <w:rPr>
          <w:sz w:val="28"/>
          <w:szCs w:val="28"/>
        </w:rPr>
      </w:pPr>
      <w:r w:rsidRPr="00330677">
        <w:rPr>
          <w:sz w:val="28"/>
          <w:szCs w:val="28"/>
        </w:rPr>
        <w:t xml:space="preserve">Yêu cầu cung cấp: </w:t>
      </w:r>
      <w:r>
        <w:rPr>
          <w:sz w:val="28"/>
          <w:szCs w:val="28"/>
        </w:rPr>
        <w:t>Q</w:t>
      </w:r>
      <w:r w:rsidRPr="00330677">
        <w:rPr>
          <w:sz w:val="28"/>
          <w:szCs w:val="28"/>
        </w:rPr>
        <w:t xml:space="preserve">uyền truy cập CSDL </w:t>
      </w:r>
      <w:r>
        <w:rPr>
          <w:sz w:val="28"/>
          <w:szCs w:val="28"/>
        </w:rPr>
        <w:t>InCites</w:t>
      </w:r>
      <w:r w:rsidRPr="00330677">
        <w:rPr>
          <w:sz w:val="28"/>
          <w:szCs w:val="28"/>
        </w:rPr>
        <w:t xml:space="preserve"> cho </w:t>
      </w:r>
      <w:r w:rsidRPr="00911E7A">
        <w:rPr>
          <w:sz w:val="28"/>
          <w:szCs w:val="28"/>
        </w:rPr>
        <w:t>Cục Thông tin, Thống kê</w:t>
      </w:r>
      <w:r>
        <w:rPr>
          <w:sz w:val="28"/>
          <w:szCs w:val="28"/>
        </w:rPr>
        <w:t>.</w:t>
      </w:r>
    </w:p>
    <w:p w:rsidR="000A3F6F" w:rsidRDefault="000A3F6F" w:rsidP="000A3F6F">
      <w:pPr>
        <w:widowControl w:val="0"/>
        <w:spacing w:before="120" w:after="120" w:line="264" w:lineRule="auto"/>
        <w:ind w:firstLine="709"/>
        <w:rPr>
          <w:sz w:val="28"/>
          <w:szCs w:val="28"/>
        </w:rPr>
      </w:pPr>
      <w:r>
        <w:rPr>
          <w:sz w:val="28"/>
          <w:szCs w:val="28"/>
        </w:rPr>
        <w:t>Thời gian cấp phép truy cập</w:t>
      </w:r>
      <w:r w:rsidRPr="00330677">
        <w:rPr>
          <w:sz w:val="28"/>
          <w:szCs w:val="28"/>
        </w:rPr>
        <w:t>: 12 tháng</w:t>
      </w:r>
    </w:p>
    <w:p w:rsidR="000A3F6F" w:rsidRPr="00180F17" w:rsidRDefault="000A3F6F" w:rsidP="000A3F6F">
      <w:pPr>
        <w:widowControl w:val="0"/>
        <w:spacing w:before="120" w:after="120" w:line="264" w:lineRule="auto"/>
        <w:ind w:firstLine="709"/>
        <w:rPr>
          <w:b/>
          <w:i/>
          <w:sz w:val="28"/>
          <w:szCs w:val="28"/>
          <w:lang w:val="nl-NL"/>
        </w:rPr>
      </w:pPr>
      <w:r w:rsidRPr="00180F17">
        <w:rPr>
          <w:b/>
          <w:i/>
          <w:sz w:val="28"/>
          <w:szCs w:val="28"/>
          <w:lang w:val="nl-NL"/>
        </w:rPr>
        <w:t>1.2. Yêu cầu về kỹ thuật</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0"/>
        <w:gridCol w:w="2011"/>
        <w:gridCol w:w="6144"/>
      </w:tblGrid>
      <w:tr w:rsidR="000A3F6F" w:rsidRPr="00AD7426" w:rsidTr="002D0F0C">
        <w:trPr>
          <w:trHeight w:val="899"/>
        </w:trPr>
        <w:tc>
          <w:tcPr>
            <w:tcW w:w="502" w:type="pct"/>
            <w:vAlign w:val="center"/>
          </w:tcPr>
          <w:p w:rsidR="000A3F6F" w:rsidRPr="00AD7426" w:rsidRDefault="000A3F6F" w:rsidP="002D0F0C">
            <w:pPr>
              <w:spacing w:before="60" w:after="60"/>
              <w:jc w:val="center"/>
              <w:rPr>
                <w:b/>
                <w:iCs/>
                <w:sz w:val="28"/>
                <w:szCs w:val="28"/>
              </w:rPr>
            </w:pPr>
            <w:r w:rsidRPr="00AD7426">
              <w:rPr>
                <w:b/>
                <w:iCs/>
                <w:sz w:val="28"/>
                <w:szCs w:val="28"/>
              </w:rPr>
              <w:t>Hạng mục số</w:t>
            </w:r>
          </w:p>
        </w:tc>
        <w:tc>
          <w:tcPr>
            <w:tcW w:w="1109" w:type="pct"/>
            <w:vAlign w:val="center"/>
          </w:tcPr>
          <w:p w:rsidR="000A3F6F" w:rsidRPr="00AD7426" w:rsidRDefault="000A3F6F" w:rsidP="002D0F0C">
            <w:pPr>
              <w:spacing w:before="60" w:after="60"/>
              <w:jc w:val="center"/>
              <w:rPr>
                <w:b/>
                <w:iCs/>
                <w:sz w:val="28"/>
                <w:szCs w:val="28"/>
              </w:rPr>
            </w:pPr>
            <w:r w:rsidRPr="00AD7426">
              <w:rPr>
                <w:b/>
                <w:iCs/>
                <w:sz w:val="28"/>
                <w:szCs w:val="28"/>
              </w:rPr>
              <w:t>Tên hàng hóa hoặc dịch vụ liên quan</w:t>
            </w:r>
          </w:p>
        </w:tc>
        <w:tc>
          <w:tcPr>
            <w:tcW w:w="3389" w:type="pct"/>
            <w:vAlign w:val="center"/>
          </w:tcPr>
          <w:p w:rsidR="000A3F6F" w:rsidRPr="00AD7426" w:rsidRDefault="000A3F6F" w:rsidP="002D0F0C">
            <w:pPr>
              <w:spacing w:before="60" w:after="60"/>
              <w:jc w:val="center"/>
              <w:rPr>
                <w:b/>
                <w:iCs/>
                <w:sz w:val="28"/>
                <w:szCs w:val="28"/>
              </w:rPr>
            </w:pPr>
            <w:r w:rsidRPr="00AD7426">
              <w:rPr>
                <w:b/>
                <w:iCs/>
                <w:sz w:val="28"/>
                <w:szCs w:val="28"/>
              </w:rPr>
              <w:t>Thông số kỹ thuật và các tiêu chuẩn</w:t>
            </w:r>
          </w:p>
        </w:tc>
      </w:tr>
      <w:tr w:rsidR="000A3F6F" w:rsidRPr="00FC5A3E" w:rsidTr="002D0F0C">
        <w:trPr>
          <w:trHeight w:val="918"/>
        </w:trPr>
        <w:tc>
          <w:tcPr>
            <w:tcW w:w="502" w:type="pct"/>
          </w:tcPr>
          <w:p w:rsidR="000A3F6F" w:rsidRPr="00AD7426" w:rsidRDefault="000A3F6F" w:rsidP="002D0F0C">
            <w:pPr>
              <w:jc w:val="center"/>
              <w:rPr>
                <w:sz w:val="28"/>
                <w:szCs w:val="28"/>
              </w:rPr>
            </w:pPr>
            <w:r w:rsidRPr="00AD7426">
              <w:rPr>
                <w:sz w:val="28"/>
                <w:szCs w:val="28"/>
              </w:rPr>
              <w:t>1</w:t>
            </w:r>
          </w:p>
        </w:tc>
        <w:tc>
          <w:tcPr>
            <w:tcW w:w="1109" w:type="pct"/>
          </w:tcPr>
          <w:p w:rsidR="000A3F6F" w:rsidRPr="00AD7426" w:rsidRDefault="000A3F6F" w:rsidP="002D0F0C">
            <w:pPr>
              <w:rPr>
                <w:sz w:val="28"/>
                <w:szCs w:val="28"/>
              </w:rPr>
            </w:pPr>
            <w:r w:rsidRPr="00881C84">
              <w:rPr>
                <w:sz w:val="28"/>
                <w:szCs w:val="28"/>
              </w:rPr>
              <w:t xml:space="preserve">Cơ sở dữ liệu </w:t>
            </w:r>
            <w:r>
              <w:rPr>
                <w:sz w:val="28"/>
                <w:szCs w:val="28"/>
              </w:rPr>
              <w:t>InCites</w:t>
            </w:r>
          </w:p>
        </w:tc>
        <w:tc>
          <w:tcPr>
            <w:tcW w:w="3389" w:type="pct"/>
          </w:tcPr>
          <w:p w:rsidR="000A3F6F" w:rsidRPr="00075599" w:rsidRDefault="000A3F6F" w:rsidP="002D0F0C">
            <w:pPr>
              <w:adjustRightInd w:val="0"/>
              <w:snapToGrid w:val="0"/>
              <w:rPr>
                <w:rFonts w:eastAsia="Batang"/>
                <w:sz w:val="28"/>
                <w:szCs w:val="28"/>
              </w:rPr>
            </w:pPr>
            <w:r w:rsidRPr="00075599">
              <w:rPr>
                <w:rFonts w:eastAsia="Batang"/>
                <w:sz w:val="28"/>
                <w:szCs w:val="28"/>
              </w:rPr>
              <w:t xml:space="preserve">Nhà xuất bản: </w:t>
            </w:r>
            <w:r w:rsidRPr="00D842B1">
              <w:rPr>
                <w:rFonts w:eastAsia="Batang"/>
                <w:sz w:val="28"/>
                <w:szCs w:val="28"/>
              </w:rPr>
              <w:t>Clarivate</w:t>
            </w:r>
            <w:r w:rsidRPr="00075599">
              <w:rPr>
                <w:rFonts w:eastAsia="Batang"/>
                <w:sz w:val="28"/>
                <w:szCs w:val="28"/>
              </w:rPr>
              <w:t xml:space="preserve"> Analytics</w:t>
            </w:r>
          </w:p>
          <w:p w:rsidR="000A3F6F" w:rsidRPr="00075599" w:rsidRDefault="000A3F6F" w:rsidP="002D0F0C">
            <w:pPr>
              <w:adjustRightInd w:val="0"/>
              <w:snapToGrid w:val="0"/>
              <w:rPr>
                <w:rFonts w:eastAsia="Batang"/>
                <w:sz w:val="28"/>
                <w:szCs w:val="28"/>
              </w:rPr>
            </w:pPr>
            <w:r w:rsidRPr="00075599">
              <w:rPr>
                <w:rFonts w:eastAsia="Batang"/>
                <w:sz w:val="28"/>
                <w:szCs w:val="28"/>
              </w:rPr>
              <w:t>Cơ sở dữ liệu phân tích và đánh giá hiệu suất nghiên cứu khoa học thông qua nguồn thông tin trích dẫn từ 50 triệu ấn phẩm bao gồm 12.700 tạp chí học thuật, 72.000 cuốn sách và 12.000 báo cáo hội nghị thường niên về khoa học và công nghệ</w:t>
            </w:r>
          </w:p>
          <w:p w:rsidR="000A3F6F" w:rsidRPr="00075599" w:rsidRDefault="000A3F6F" w:rsidP="002D0F0C">
            <w:pPr>
              <w:adjustRightInd w:val="0"/>
              <w:snapToGrid w:val="0"/>
              <w:rPr>
                <w:rFonts w:eastAsia="Batang"/>
                <w:sz w:val="28"/>
                <w:szCs w:val="28"/>
              </w:rPr>
            </w:pPr>
            <w:r w:rsidRPr="00075599">
              <w:rPr>
                <w:rFonts w:eastAsia="Batang"/>
                <w:sz w:val="28"/>
                <w:szCs w:val="28"/>
              </w:rPr>
              <w:t xml:space="preserve">- Thời gian cấp phép truy cập: 12 tháng </w:t>
            </w:r>
          </w:p>
          <w:p w:rsidR="000A3F6F" w:rsidRPr="00FC5A3E" w:rsidRDefault="000A3F6F" w:rsidP="002D0F0C">
            <w:pPr>
              <w:rPr>
                <w:sz w:val="28"/>
                <w:szCs w:val="28"/>
              </w:rPr>
            </w:pPr>
            <w:r w:rsidRPr="00075599">
              <w:rPr>
                <w:rFonts w:eastAsia="Batang"/>
                <w:sz w:val="28"/>
                <w:szCs w:val="28"/>
              </w:rPr>
              <w:t>- Hình thức cấp phép truy cập: thông qua dải IP tĩnh của Cục Thông tin, Thống kê, không giới hạn số lượng truy cập đồng thời.</w:t>
            </w:r>
          </w:p>
        </w:tc>
      </w:tr>
    </w:tbl>
    <w:p w:rsidR="000A3F6F" w:rsidRPr="00AD7426" w:rsidRDefault="000A3F6F" w:rsidP="000A3F6F">
      <w:pPr>
        <w:ind w:firstLine="720"/>
        <w:rPr>
          <w:b/>
          <w:sz w:val="28"/>
          <w:szCs w:val="28"/>
        </w:rPr>
      </w:pPr>
      <w:r w:rsidRPr="00AD7426">
        <w:rPr>
          <w:b/>
          <w:sz w:val="28"/>
          <w:szCs w:val="28"/>
        </w:rPr>
        <w:t>Bảng đáp ứng yêu cầu kỹ thuật cụ thể như sau:</w:t>
      </w:r>
    </w:p>
    <w:tbl>
      <w:tblPr>
        <w:tblpPr w:leftFromText="180" w:rightFromText="180" w:vertAnchor="text" w:tblpY="1"/>
        <w:tblOverlap w:val="never"/>
        <w:tblW w:w="9351" w:type="dxa"/>
        <w:tblLook w:val="04A0" w:firstRow="1" w:lastRow="0" w:firstColumn="1" w:lastColumn="0" w:noHBand="0" w:noVBand="1"/>
      </w:tblPr>
      <w:tblGrid>
        <w:gridCol w:w="746"/>
        <w:gridCol w:w="5770"/>
        <w:gridCol w:w="1593"/>
        <w:gridCol w:w="1242"/>
      </w:tblGrid>
      <w:tr w:rsidR="000A3F6F" w:rsidRPr="00247238" w:rsidTr="002D0F0C">
        <w:trPr>
          <w:trHeight w:val="379"/>
          <w:tblHeader/>
        </w:trPr>
        <w:tc>
          <w:tcPr>
            <w:tcW w:w="7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3F6F" w:rsidRPr="00FC5A3E" w:rsidRDefault="000A3F6F" w:rsidP="002D0F0C">
            <w:pPr>
              <w:jc w:val="center"/>
              <w:rPr>
                <w:b/>
                <w:bCs/>
                <w:sz w:val="28"/>
                <w:szCs w:val="28"/>
              </w:rPr>
            </w:pPr>
            <w:r w:rsidRPr="00FC5A3E">
              <w:rPr>
                <w:b/>
                <w:bCs/>
                <w:sz w:val="28"/>
                <w:szCs w:val="28"/>
              </w:rPr>
              <w:t>STT</w:t>
            </w:r>
          </w:p>
        </w:tc>
        <w:tc>
          <w:tcPr>
            <w:tcW w:w="57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3F6F" w:rsidRPr="00FC5A3E" w:rsidRDefault="000A3F6F" w:rsidP="002D0F0C">
            <w:pPr>
              <w:jc w:val="center"/>
              <w:rPr>
                <w:b/>
                <w:bCs/>
                <w:sz w:val="28"/>
                <w:szCs w:val="28"/>
              </w:rPr>
            </w:pPr>
            <w:r w:rsidRPr="00FC5A3E">
              <w:rPr>
                <w:b/>
                <w:bCs/>
                <w:sz w:val="28"/>
                <w:szCs w:val="28"/>
              </w:rPr>
              <w:t>Nội dung yêu cầu</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0A3F6F" w:rsidRPr="00FC5A3E" w:rsidRDefault="000A3F6F" w:rsidP="002D0F0C">
            <w:pPr>
              <w:jc w:val="center"/>
              <w:rPr>
                <w:b/>
                <w:bCs/>
                <w:sz w:val="28"/>
                <w:szCs w:val="28"/>
              </w:rPr>
            </w:pPr>
            <w:r w:rsidRPr="00FC5A3E">
              <w:rPr>
                <w:b/>
                <w:bCs/>
                <w:sz w:val="28"/>
                <w:szCs w:val="28"/>
              </w:rPr>
              <w:t>Mức độ đáp ứng</w:t>
            </w:r>
          </w:p>
        </w:tc>
      </w:tr>
      <w:tr w:rsidR="000A3F6F" w:rsidRPr="00247238" w:rsidTr="002D0F0C">
        <w:trPr>
          <w:trHeight w:val="173"/>
          <w:tblHeader/>
        </w:trPr>
        <w:tc>
          <w:tcPr>
            <w:tcW w:w="746" w:type="dxa"/>
            <w:vMerge/>
            <w:tcBorders>
              <w:top w:val="single" w:sz="4" w:space="0" w:color="auto"/>
              <w:left w:val="single" w:sz="4" w:space="0" w:color="auto"/>
              <w:bottom w:val="single" w:sz="4" w:space="0" w:color="auto"/>
              <w:right w:val="single" w:sz="4" w:space="0" w:color="auto"/>
            </w:tcBorders>
            <w:vAlign w:val="center"/>
            <w:hideMark/>
          </w:tcPr>
          <w:p w:rsidR="000A3F6F" w:rsidRPr="00FC5A3E" w:rsidRDefault="000A3F6F" w:rsidP="002D0F0C">
            <w:pPr>
              <w:jc w:val="center"/>
              <w:rPr>
                <w:b/>
                <w:bCs/>
                <w:sz w:val="28"/>
                <w:szCs w:val="28"/>
              </w:rPr>
            </w:pPr>
          </w:p>
        </w:tc>
        <w:tc>
          <w:tcPr>
            <w:tcW w:w="5770" w:type="dxa"/>
            <w:vMerge/>
            <w:tcBorders>
              <w:top w:val="single" w:sz="4" w:space="0" w:color="auto"/>
              <w:left w:val="single" w:sz="4" w:space="0" w:color="auto"/>
              <w:bottom w:val="single" w:sz="4" w:space="0" w:color="auto"/>
              <w:right w:val="single" w:sz="4" w:space="0" w:color="auto"/>
            </w:tcBorders>
            <w:vAlign w:val="center"/>
            <w:hideMark/>
          </w:tcPr>
          <w:p w:rsidR="000A3F6F" w:rsidRPr="00FC5A3E" w:rsidRDefault="000A3F6F" w:rsidP="002D0F0C">
            <w:pPr>
              <w:rPr>
                <w:b/>
                <w:bCs/>
                <w:sz w:val="28"/>
                <w:szCs w:val="28"/>
              </w:rPr>
            </w:pPr>
          </w:p>
        </w:tc>
        <w:tc>
          <w:tcPr>
            <w:tcW w:w="1593" w:type="dxa"/>
            <w:tcBorders>
              <w:top w:val="single" w:sz="4" w:space="0" w:color="auto"/>
              <w:left w:val="nil"/>
              <w:bottom w:val="single" w:sz="4" w:space="0" w:color="auto"/>
              <w:right w:val="single" w:sz="4" w:space="0" w:color="auto"/>
            </w:tcBorders>
            <w:shd w:val="clear" w:color="auto" w:fill="auto"/>
            <w:vAlign w:val="center"/>
            <w:hideMark/>
          </w:tcPr>
          <w:p w:rsidR="000A3F6F" w:rsidRPr="00FC5A3E" w:rsidRDefault="000A3F6F" w:rsidP="002D0F0C">
            <w:pPr>
              <w:jc w:val="center"/>
              <w:rPr>
                <w:b/>
                <w:bCs/>
                <w:sz w:val="28"/>
                <w:szCs w:val="28"/>
              </w:rPr>
            </w:pPr>
            <w:r w:rsidRPr="00FC5A3E">
              <w:rPr>
                <w:b/>
                <w:bCs/>
                <w:sz w:val="28"/>
                <w:szCs w:val="28"/>
              </w:rPr>
              <w:t>Đạt</w:t>
            </w:r>
          </w:p>
        </w:tc>
        <w:tc>
          <w:tcPr>
            <w:tcW w:w="1242" w:type="dxa"/>
            <w:tcBorders>
              <w:top w:val="single" w:sz="4" w:space="0" w:color="auto"/>
              <w:left w:val="nil"/>
              <w:bottom w:val="single" w:sz="4" w:space="0" w:color="auto"/>
              <w:right w:val="single" w:sz="4" w:space="0" w:color="auto"/>
            </w:tcBorders>
            <w:shd w:val="clear" w:color="auto" w:fill="auto"/>
            <w:vAlign w:val="center"/>
            <w:hideMark/>
          </w:tcPr>
          <w:p w:rsidR="000A3F6F" w:rsidRPr="00FC5A3E" w:rsidRDefault="000A3F6F" w:rsidP="002D0F0C">
            <w:pPr>
              <w:jc w:val="center"/>
              <w:rPr>
                <w:b/>
                <w:bCs/>
                <w:sz w:val="28"/>
                <w:szCs w:val="28"/>
              </w:rPr>
            </w:pPr>
            <w:r w:rsidRPr="00FC5A3E">
              <w:rPr>
                <w:b/>
                <w:bCs/>
                <w:sz w:val="28"/>
                <w:szCs w:val="28"/>
              </w:rPr>
              <w:t>Không đạt</w:t>
            </w:r>
          </w:p>
        </w:tc>
      </w:tr>
      <w:tr w:rsidR="000A3F6F" w:rsidRPr="00247238" w:rsidTr="002D0F0C">
        <w:trPr>
          <w:trHeight w:val="173"/>
        </w:trPr>
        <w:tc>
          <w:tcPr>
            <w:tcW w:w="0" w:type="auto"/>
            <w:tcBorders>
              <w:top w:val="nil"/>
              <w:left w:val="single" w:sz="4" w:space="0" w:color="auto"/>
              <w:bottom w:val="single" w:sz="4" w:space="0" w:color="auto"/>
              <w:right w:val="nil"/>
            </w:tcBorders>
            <w:shd w:val="clear" w:color="auto" w:fill="auto"/>
            <w:vAlign w:val="center"/>
          </w:tcPr>
          <w:p w:rsidR="000A3F6F" w:rsidRPr="00FC5A3E" w:rsidRDefault="000A3F6F" w:rsidP="002D0F0C">
            <w:pPr>
              <w:jc w:val="center"/>
              <w:rPr>
                <w:sz w:val="28"/>
                <w:szCs w:val="28"/>
              </w:rPr>
            </w:pPr>
            <w:r w:rsidRPr="00FC5A3E">
              <w:rPr>
                <w:sz w:val="28"/>
                <w:szCs w:val="28"/>
              </w:rPr>
              <w:t>1</w:t>
            </w:r>
          </w:p>
        </w:tc>
        <w:tc>
          <w:tcPr>
            <w:tcW w:w="5770" w:type="dxa"/>
            <w:tcBorders>
              <w:top w:val="nil"/>
              <w:left w:val="single" w:sz="4" w:space="0" w:color="auto"/>
              <w:bottom w:val="single" w:sz="4" w:space="0" w:color="auto"/>
              <w:right w:val="single" w:sz="4" w:space="0" w:color="auto"/>
            </w:tcBorders>
            <w:shd w:val="clear" w:color="auto" w:fill="auto"/>
            <w:vAlign w:val="center"/>
          </w:tcPr>
          <w:p w:rsidR="000A3F6F" w:rsidRPr="00FC5A3E" w:rsidRDefault="000A3F6F" w:rsidP="002D0F0C">
            <w:pPr>
              <w:rPr>
                <w:sz w:val="28"/>
                <w:szCs w:val="28"/>
              </w:rPr>
            </w:pPr>
            <w:r w:rsidRPr="00FC5A3E">
              <w:rPr>
                <w:sz w:val="28"/>
                <w:szCs w:val="28"/>
              </w:rPr>
              <w:t>Cam kết các cơ sở dữ liệu cung cấp đảm bảo đầy đủ số lượng, nội dung và các tính năng, thông số kỹ thuật theo yêu cầu của E-HSMT: Mục 1.2 - Chương V</w:t>
            </w:r>
          </w:p>
        </w:tc>
        <w:tc>
          <w:tcPr>
            <w:tcW w:w="1593" w:type="dxa"/>
            <w:tcBorders>
              <w:top w:val="nil"/>
              <w:left w:val="nil"/>
              <w:bottom w:val="single" w:sz="4" w:space="0" w:color="auto"/>
              <w:right w:val="single" w:sz="4" w:space="0" w:color="auto"/>
            </w:tcBorders>
            <w:shd w:val="clear" w:color="auto" w:fill="auto"/>
            <w:vAlign w:val="center"/>
          </w:tcPr>
          <w:p w:rsidR="000A3F6F" w:rsidRPr="00FC5A3E" w:rsidRDefault="000A3F6F" w:rsidP="002D0F0C">
            <w:pPr>
              <w:rPr>
                <w:sz w:val="28"/>
                <w:szCs w:val="28"/>
              </w:rPr>
            </w:pPr>
            <w:r w:rsidRPr="00FC5A3E">
              <w:rPr>
                <w:sz w:val="28"/>
                <w:szCs w:val="28"/>
              </w:rPr>
              <w:t xml:space="preserve">Có cam kết </w:t>
            </w:r>
          </w:p>
        </w:tc>
        <w:tc>
          <w:tcPr>
            <w:tcW w:w="1242" w:type="dxa"/>
            <w:tcBorders>
              <w:top w:val="single" w:sz="4" w:space="0" w:color="auto"/>
              <w:left w:val="nil"/>
              <w:bottom w:val="single" w:sz="4" w:space="0" w:color="auto"/>
              <w:right w:val="single" w:sz="4" w:space="0" w:color="auto"/>
            </w:tcBorders>
            <w:shd w:val="clear" w:color="auto" w:fill="auto"/>
            <w:vAlign w:val="center"/>
          </w:tcPr>
          <w:p w:rsidR="000A3F6F" w:rsidRPr="00FC5A3E" w:rsidRDefault="000A3F6F" w:rsidP="002D0F0C">
            <w:pPr>
              <w:rPr>
                <w:sz w:val="28"/>
                <w:szCs w:val="28"/>
              </w:rPr>
            </w:pPr>
            <w:r w:rsidRPr="00FC5A3E">
              <w:rPr>
                <w:sz w:val="28"/>
                <w:szCs w:val="28"/>
              </w:rPr>
              <w:t>Không có cam kết</w:t>
            </w:r>
          </w:p>
        </w:tc>
      </w:tr>
      <w:tr w:rsidR="000A3F6F" w:rsidRPr="00247238" w:rsidTr="002D0F0C">
        <w:trPr>
          <w:trHeight w:val="173"/>
        </w:trPr>
        <w:tc>
          <w:tcPr>
            <w:tcW w:w="0" w:type="auto"/>
            <w:tcBorders>
              <w:top w:val="nil"/>
              <w:left w:val="single" w:sz="4" w:space="0" w:color="auto"/>
              <w:bottom w:val="single" w:sz="4" w:space="0" w:color="auto"/>
              <w:right w:val="nil"/>
            </w:tcBorders>
            <w:shd w:val="clear" w:color="auto" w:fill="auto"/>
            <w:vAlign w:val="center"/>
          </w:tcPr>
          <w:p w:rsidR="000A3F6F" w:rsidRPr="00FC5A3E" w:rsidRDefault="000A3F6F" w:rsidP="002D0F0C">
            <w:pPr>
              <w:jc w:val="center"/>
              <w:rPr>
                <w:sz w:val="28"/>
                <w:szCs w:val="28"/>
              </w:rPr>
            </w:pPr>
            <w:r w:rsidRPr="00FC5A3E">
              <w:rPr>
                <w:sz w:val="28"/>
                <w:szCs w:val="28"/>
              </w:rPr>
              <w:lastRenderedPageBreak/>
              <w:t>2</w:t>
            </w:r>
          </w:p>
        </w:tc>
        <w:tc>
          <w:tcPr>
            <w:tcW w:w="5770" w:type="dxa"/>
            <w:tcBorders>
              <w:top w:val="nil"/>
              <w:left w:val="single" w:sz="4" w:space="0" w:color="auto"/>
              <w:bottom w:val="single" w:sz="4" w:space="0" w:color="auto"/>
              <w:right w:val="single" w:sz="4" w:space="0" w:color="auto"/>
            </w:tcBorders>
            <w:shd w:val="clear" w:color="auto" w:fill="auto"/>
            <w:vAlign w:val="center"/>
          </w:tcPr>
          <w:p w:rsidR="000A3F6F" w:rsidRPr="00FC5A3E" w:rsidRDefault="000A3F6F" w:rsidP="002D0F0C">
            <w:pPr>
              <w:rPr>
                <w:sz w:val="28"/>
                <w:szCs w:val="28"/>
              </w:rPr>
            </w:pPr>
            <w:r w:rsidRPr="00FC5A3E">
              <w:rPr>
                <w:sz w:val="28"/>
                <w:szCs w:val="28"/>
              </w:rPr>
              <w:t>Cam kết thực hiện các giải pháp kỹ thuật (</w:t>
            </w:r>
            <w:r w:rsidRPr="00D842B1">
              <w:rPr>
                <w:sz w:val="28"/>
                <w:szCs w:val="28"/>
              </w:rPr>
              <w:t>C</w:t>
            </w:r>
            <w:r>
              <w:rPr>
                <w:sz w:val="28"/>
                <w:szCs w:val="28"/>
              </w:rPr>
              <w:t xml:space="preserve">ơ </w:t>
            </w:r>
            <w:r w:rsidRPr="00D842B1">
              <w:rPr>
                <w:sz w:val="28"/>
                <w:szCs w:val="28"/>
              </w:rPr>
              <w:t>sở dữ liệu được truy cập qua các dải IP của Bên mời thầu yêu cầu, tuân thủ chính sách sử dụng</w:t>
            </w:r>
            <w:r w:rsidRPr="00FC5A3E">
              <w:rPr>
                <w:sz w:val="28"/>
                <w:szCs w:val="28"/>
              </w:rPr>
              <w:t>)</w:t>
            </w:r>
          </w:p>
        </w:tc>
        <w:tc>
          <w:tcPr>
            <w:tcW w:w="1593" w:type="dxa"/>
            <w:tcBorders>
              <w:top w:val="nil"/>
              <w:left w:val="nil"/>
              <w:bottom w:val="single" w:sz="4" w:space="0" w:color="auto"/>
              <w:right w:val="single" w:sz="4" w:space="0" w:color="auto"/>
            </w:tcBorders>
            <w:shd w:val="clear" w:color="auto" w:fill="auto"/>
            <w:vAlign w:val="center"/>
          </w:tcPr>
          <w:p w:rsidR="000A3F6F" w:rsidRPr="00FC5A3E" w:rsidRDefault="000A3F6F" w:rsidP="002D0F0C">
            <w:pPr>
              <w:rPr>
                <w:sz w:val="28"/>
                <w:szCs w:val="28"/>
              </w:rPr>
            </w:pPr>
            <w:r w:rsidRPr="00FC5A3E">
              <w:rPr>
                <w:sz w:val="28"/>
                <w:szCs w:val="28"/>
              </w:rPr>
              <w:t xml:space="preserve">Có cam kết </w:t>
            </w:r>
          </w:p>
        </w:tc>
        <w:tc>
          <w:tcPr>
            <w:tcW w:w="1242" w:type="dxa"/>
            <w:tcBorders>
              <w:top w:val="single" w:sz="4" w:space="0" w:color="auto"/>
              <w:left w:val="nil"/>
              <w:bottom w:val="single" w:sz="4" w:space="0" w:color="auto"/>
              <w:right w:val="single" w:sz="4" w:space="0" w:color="auto"/>
            </w:tcBorders>
            <w:shd w:val="clear" w:color="auto" w:fill="auto"/>
            <w:vAlign w:val="center"/>
          </w:tcPr>
          <w:p w:rsidR="000A3F6F" w:rsidRPr="00FC5A3E" w:rsidRDefault="000A3F6F" w:rsidP="002D0F0C">
            <w:pPr>
              <w:rPr>
                <w:sz w:val="28"/>
                <w:szCs w:val="28"/>
              </w:rPr>
            </w:pPr>
            <w:r w:rsidRPr="00FC5A3E">
              <w:rPr>
                <w:sz w:val="28"/>
                <w:szCs w:val="28"/>
              </w:rPr>
              <w:t>Không có cam kết</w:t>
            </w:r>
          </w:p>
        </w:tc>
      </w:tr>
      <w:tr w:rsidR="000A3F6F" w:rsidRPr="00247238" w:rsidTr="002D0F0C">
        <w:trPr>
          <w:trHeight w:val="173"/>
        </w:trPr>
        <w:tc>
          <w:tcPr>
            <w:tcW w:w="0" w:type="auto"/>
            <w:tcBorders>
              <w:top w:val="nil"/>
              <w:left w:val="single" w:sz="4" w:space="0" w:color="auto"/>
              <w:bottom w:val="single" w:sz="4" w:space="0" w:color="auto"/>
              <w:right w:val="nil"/>
            </w:tcBorders>
            <w:shd w:val="clear" w:color="auto" w:fill="auto"/>
            <w:vAlign w:val="center"/>
          </w:tcPr>
          <w:p w:rsidR="000A3F6F" w:rsidRPr="00FC5A3E" w:rsidRDefault="000A3F6F" w:rsidP="002D0F0C">
            <w:pPr>
              <w:jc w:val="center"/>
              <w:rPr>
                <w:sz w:val="28"/>
                <w:szCs w:val="28"/>
              </w:rPr>
            </w:pPr>
            <w:r w:rsidRPr="00FC5A3E">
              <w:rPr>
                <w:sz w:val="28"/>
                <w:szCs w:val="28"/>
              </w:rPr>
              <w:t>3</w:t>
            </w:r>
          </w:p>
        </w:tc>
        <w:tc>
          <w:tcPr>
            <w:tcW w:w="5770" w:type="dxa"/>
            <w:tcBorders>
              <w:top w:val="nil"/>
              <w:left w:val="single" w:sz="4" w:space="0" w:color="auto"/>
              <w:bottom w:val="single" w:sz="4" w:space="0" w:color="auto"/>
              <w:right w:val="single" w:sz="4" w:space="0" w:color="auto"/>
            </w:tcBorders>
            <w:shd w:val="clear" w:color="auto" w:fill="auto"/>
            <w:vAlign w:val="center"/>
          </w:tcPr>
          <w:p w:rsidR="000A3F6F" w:rsidRPr="00FC5A3E" w:rsidRDefault="000A3F6F" w:rsidP="002D0F0C">
            <w:pPr>
              <w:rPr>
                <w:sz w:val="28"/>
                <w:szCs w:val="28"/>
              </w:rPr>
            </w:pPr>
            <w:r w:rsidRPr="00FC5A3E">
              <w:rPr>
                <w:sz w:val="28"/>
                <w:szCs w:val="28"/>
              </w:rPr>
              <w:t>Mức độ đáp ứng các yêu cầu về bảo hành: Nhà thầu phải trình bày được kế hoạch cung cấp dịch vụ bảo hành: xử lý khắc phục ngay sự cố gián đoạn truy cập cơ sở dữ liệu trong vòng 24h kể từ khi nhận được thông báo của bên mời thầu (trừ trường hợp bất khả kháng)</w:t>
            </w:r>
          </w:p>
        </w:tc>
        <w:tc>
          <w:tcPr>
            <w:tcW w:w="1593" w:type="dxa"/>
            <w:tcBorders>
              <w:top w:val="nil"/>
              <w:left w:val="nil"/>
              <w:bottom w:val="single" w:sz="4" w:space="0" w:color="auto"/>
              <w:right w:val="single" w:sz="4" w:space="0" w:color="auto"/>
            </w:tcBorders>
            <w:shd w:val="clear" w:color="auto" w:fill="auto"/>
            <w:vAlign w:val="center"/>
          </w:tcPr>
          <w:p w:rsidR="000A3F6F" w:rsidRPr="00FC5A3E" w:rsidRDefault="000A3F6F" w:rsidP="002D0F0C">
            <w:pPr>
              <w:rPr>
                <w:sz w:val="28"/>
                <w:szCs w:val="28"/>
              </w:rPr>
            </w:pPr>
            <w:r w:rsidRPr="00FC5A3E">
              <w:rPr>
                <w:sz w:val="28"/>
                <w:szCs w:val="28"/>
              </w:rPr>
              <w:t xml:space="preserve">Có giải pháp </w:t>
            </w:r>
          </w:p>
        </w:tc>
        <w:tc>
          <w:tcPr>
            <w:tcW w:w="1242" w:type="dxa"/>
            <w:tcBorders>
              <w:top w:val="single" w:sz="4" w:space="0" w:color="auto"/>
              <w:left w:val="nil"/>
              <w:bottom w:val="single" w:sz="4" w:space="0" w:color="auto"/>
              <w:right w:val="single" w:sz="4" w:space="0" w:color="auto"/>
            </w:tcBorders>
            <w:shd w:val="clear" w:color="auto" w:fill="auto"/>
            <w:vAlign w:val="center"/>
          </w:tcPr>
          <w:p w:rsidR="000A3F6F" w:rsidRPr="00FC5A3E" w:rsidRDefault="000A3F6F" w:rsidP="002D0F0C">
            <w:pPr>
              <w:rPr>
                <w:sz w:val="28"/>
                <w:szCs w:val="28"/>
              </w:rPr>
            </w:pPr>
            <w:r w:rsidRPr="00FC5A3E">
              <w:rPr>
                <w:sz w:val="28"/>
                <w:szCs w:val="28"/>
              </w:rPr>
              <w:t>Không có giải pháp</w:t>
            </w:r>
          </w:p>
        </w:tc>
      </w:tr>
      <w:tr w:rsidR="000A3F6F" w:rsidRPr="00247238" w:rsidTr="002D0F0C">
        <w:trPr>
          <w:trHeight w:val="173"/>
        </w:trPr>
        <w:tc>
          <w:tcPr>
            <w:tcW w:w="0" w:type="auto"/>
            <w:tcBorders>
              <w:top w:val="nil"/>
              <w:left w:val="single" w:sz="4" w:space="0" w:color="auto"/>
              <w:bottom w:val="single" w:sz="4" w:space="0" w:color="auto"/>
              <w:right w:val="nil"/>
            </w:tcBorders>
            <w:shd w:val="clear" w:color="auto" w:fill="auto"/>
            <w:vAlign w:val="center"/>
          </w:tcPr>
          <w:p w:rsidR="000A3F6F" w:rsidRPr="00FC5A3E" w:rsidRDefault="000A3F6F" w:rsidP="002D0F0C">
            <w:pPr>
              <w:jc w:val="center"/>
              <w:rPr>
                <w:sz w:val="28"/>
                <w:szCs w:val="28"/>
              </w:rPr>
            </w:pPr>
            <w:r w:rsidRPr="00FC5A3E">
              <w:rPr>
                <w:sz w:val="28"/>
                <w:szCs w:val="28"/>
              </w:rPr>
              <w:t>4</w:t>
            </w:r>
          </w:p>
        </w:tc>
        <w:tc>
          <w:tcPr>
            <w:tcW w:w="5770" w:type="dxa"/>
            <w:tcBorders>
              <w:top w:val="nil"/>
              <w:left w:val="single" w:sz="4" w:space="0" w:color="auto"/>
              <w:bottom w:val="single" w:sz="4" w:space="0" w:color="auto"/>
              <w:right w:val="single" w:sz="4" w:space="0" w:color="auto"/>
            </w:tcBorders>
            <w:shd w:val="clear" w:color="auto" w:fill="auto"/>
            <w:vAlign w:val="center"/>
          </w:tcPr>
          <w:p w:rsidR="000A3F6F" w:rsidRPr="00FC5A3E" w:rsidRDefault="000A3F6F" w:rsidP="002D0F0C">
            <w:pPr>
              <w:rPr>
                <w:sz w:val="28"/>
                <w:szCs w:val="28"/>
              </w:rPr>
            </w:pPr>
            <w:r w:rsidRPr="00FC5A3E">
              <w:rPr>
                <w:sz w:val="28"/>
                <w:szCs w:val="28"/>
              </w:rPr>
              <w:t>Cam kết về khả năng giao hàng đúng hạn: Hàng hóa phải được giao nhận trong vòng 0</w:t>
            </w:r>
            <w:r>
              <w:rPr>
                <w:sz w:val="28"/>
                <w:szCs w:val="28"/>
              </w:rPr>
              <w:t>5</w:t>
            </w:r>
            <w:r w:rsidRPr="00FC5A3E">
              <w:rPr>
                <w:sz w:val="28"/>
                <w:szCs w:val="28"/>
              </w:rPr>
              <w:t xml:space="preserve"> ngày kể từ ngày ký hợp đồng</w:t>
            </w:r>
          </w:p>
        </w:tc>
        <w:tc>
          <w:tcPr>
            <w:tcW w:w="1593" w:type="dxa"/>
            <w:tcBorders>
              <w:top w:val="nil"/>
              <w:left w:val="nil"/>
              <w:bottom w:val="single" w:sz="4" w:space="0" w:color="auto"/>
              <w:right w:val="single" w:sz="4" w:space="0" w:color="auto"/>
            </w:tcBorders>
            <w:shd w:val="clear" w:color="auto" w:fill="auto"/>
            <w:vAlign w:val="center"/>
          </w:tcPr>
          <w:p w:rsidR="000A3F6F" w:rsidRPr="00FC5A3E" w:rsidRDefault="000A3F6F" w:rsidP="002D0F0C">
            <w:pPr>
              <w:rPr>
                <w:sz w:val="28"/>
                <w:szCs w:val="28"/>
              </w:rPr>
            </w:pPr>
            <w:r w:rsidRPr="00FC5A3E">
              <w:rPr>
                <w:sz w:val="28"/>
                <w:szCs w:val="28"/>
              </w:rPr>
              <w:t xml:space="preserve">Có cam kết </w:t>
            </w:r>
          </w:p>
        </w:tc>
        <w:tc>
          <w:tcPr>
            <w:tcW w:w="1242" w:type="dxa"/>
            <w:tcBorders>
              <w:top w:val="single" w:sz="4" w:space="0" w:color="auto"/>
              <w:left w:val="nil"/>
              <w:bottom w:val="single" w:sz="4" w:space="0" w:color="auto"/>
              <w:right w:val="single" w:sz="4" w:space="0" w:color="auto"/>
            </w:tcBorders>
            <w:shd w:val="clear" w:color="auto" w:fill="auto"/>
            <w:vAlign w:val="center"/>
          </w:tcPr>
          <w:p w:rsidR="000A3F6F" w:rsidRPr="00FC5A3E" w:rsidRDefault="000A3F6F" w:rsidP="002D0F0C">
            <w:pPr>
              <w:rPr>
                <w:sz w:val="28"/>
                <w:szCs w:val="28"/>
              </w:rPr>
            </w:pPr>
            <w:r w:rsidRPr="00FC5A3E">
              <w:rPr>
                <w:sz w:val="28"/>
                <w:szCs w:val="28"/>
              </w:rPr>
              <w:t>Không có cam kết</w:t>
            </w:r>
          </w:p>
        </w:tc>
      </w:tr>
      <w:tr w:rsidR="000A3F6F" w:rsidRPr="00247238" w:rsidTr="002D0F0C">
        <w:trPr>
          <w:trHeight w:val="173"/>
        </w:trPr>
        <w:tc>
          <w:tcPr>
            <w:tcW w:w="0" w:type="auto"/>
            <w:tcBorders>
              <w:top w:val="single" w:sz="4" w:space="0" w:color="auto"/>
              <w:left w:val="single" w:sz="4" w:space="0" w:color="auto"/>
              <w:bottom w:val="single" w:sz="4" w:space="0" w:color="auto"/>
              <w:right w:val="nil"/>
            </w:tcBorders>
            <w:shd w:val="clear" w:color="auto" w:fill="auto"/>
            <w:vAlign w:val="center"/>
          </w:tcPr>
          <w:p w:rsidR="000A3F6F" w:rsidRPr="00FC5A3E" w:rsidRDefault="000A3F6F" w:rsidP="002D0F0C">
            <w:pPr>
              <w:jc w:val="center"/>
              <w:rPr>
                <w:sz w:val="28"/>
                <w:szCs w:val="28"/>
              </w:rPr>
            </w:pPr>
            <w:r w:rsidRPr="00FC5A3E">
              <w:rPr>
                <w:sz w:val="28"/>
                <w:szCs w:val="28"/>
              </w:rPr>
              <w:t>5</w:t>
            </w:r>
          </w:p>
        </w:tc>
        <w:tc>
          <w:tcPr>
            <w:tcW w:w="5770" w:type="dxa"/>
            <w:tcBorders>
              <w:top w:val="single" w:sz="4" w:space="0" w:color="auto"/>
              <w:left w:val="single" w:sz="4" w:space="0" w:color="auto"/>
              <w:bottom w:val="single" w:sz="4" w:space="0" w:color="auto"/>
              <w:right w:val="single" w:sz="4" w:space="0" w:color="auto"/>
            </w:tcBorders>
            <w:shd w:val="clear" w:color="auto" w:fill="auto"/>
            <w:vAlign w:val="center"/>
          </w:tcPr>
          <w:p w:rsidR="000A3F6F" w:rsidRPr="00FC5A3E" w:rsidRDefault="000A3F6F" w:rsidP="002D0F0C">
            <w:pPr>
              <w:rPr>
                <w:sz w:val="28"/>
                <w:szCs w:val="28"/>
              </w:rPr>
            </w:pPr>
            <w:r w:rsidRPr="00FC5A3E">
              <w:rPr>
                <w:rFonts w:eastAsia="Batang"/>
                <w:sz w:val="28"/>
                <w:szCs w:val="28"/>
              </w:rPr>
              <w:t>Các yếu tố về điều kiện thương mại:   Đáp ứng các điều kiện thương mại nêu trong chương I Chỉ dẫn nhà thầu</w:t>
            </w:r>
          </w:p>
        </w:tc>
        <w:tc>
          <w:tcPr>
            <w:tcW w:w="1593" w:type="dxa"/>
            <w:tcBorders>
              <w:top w:val="single" w:sz="4" w:space="0" w:color="auto"/>
              <w:left w:val="nil"/>
              <w:bottom w:val="single" w:sz="4" w:space="0" w:color="auto"/>
              <w:right w:val="single" w:sz="4" w:space="0" w:color="auto"/>
            </w:tcBorders>
            <w:shd w:val="clear" w:color="auto" w:fill="auto"/>
            <w:vAlign w:val="center"/>
          </w:tcPr>
          <w:p w:rsidR="000A3F6F" w:rsidRPr="00FC5A3E" w:rsidRDefault="000A3F6F" w:rsidP="002D0F0C">
            <w:pPr>
              <w:rPr>
                <w:sz w:val="28"/>
                <w:szCs w:val="28"/>
              </w:rPr>
            </w:pPr>
            <w:r w:rsidRPr="00FC5A3E">
              <w:rPr>
                <w:sz w:val="28"/>
                <w:szCs w:val="28"/>
              </w:rPr>
              <w:t xml:space="preserve">Đáp ứng </w:t>
            </w:r>
          </w:p>
        </w:tc>
        <w:tc>
          <w:tcPr>
            <w:tcW w:w="1242" w:type="dxa"/>
            <w:tcBorders>
              <w:top w:val="single" w:sz="4" w:space="0" w:color="auto"/>
              <w:left w:val="nil"/>
              <w:bottom w:val="single" w:sz="4" w:space="0" w:color="auto"/>
              <w:right w:val="single" w:sz="4" w:space="0" w:color="auto"/>
            </w:tcBorders>
            <w:shd w:val="clear" w:color="auto" w:fill="auto"/>
            <w:vAlign w:val="center"/>
          </w:tcPr>
          <w:p w:rsidR="000A3F6F" w:rsidRPr="00FC5A3E" w:rsidRDefault="000A3F6F" w:rsidP="002D0F0C">
            <w:pPr>
              <w:rPr>
                <w:sz w:val="28"/>
                <w:szCs w:val="28"/>
              </w:rPr>
            </w:pPr>
            <w:r w:rsidRPr="00FC5A3E">
              <w:rPr>
                <w:sz w:val="28"/>
                <w:szCs w:val="28"/>
              </w:rPr>
              <w:t>Không đáp ứng</w:t>
            </w:r>
          </w:p>
        </w:tc>
      </w:tr>
      <w:tr w:rsidR="000A3F6F" w:rsidRPr="00247238" w:rsidTr="002D0F0C">
        <w:trPr>
          <w:trHeight w:val="173"/>
        </w:trPr>
        <w:tc>
          <w:tcPr>
            <w:tcW w:w="0" w:type="auto"/>
            <w:tcBorders>
              <w:top w:val="single" w:sz="4" w:space="0" w:color="auto"/>
              <w:left w:val="single" w:sz="4" w:space="0" w:color="auto"/>
              <w:bottom w:val="single" w:sz="4" w:space="0" w:color="auto"/>
              <w:right w:val="nil"/>
            </w:tcBorders>
            <w:shd w:val="clear" w:color="auto" w:fill="auto"/>
            <w:vAlign w:val="center"/>
          </w:tcPr>
          <w:p w:rsidR="000A3F6F" w:rsidRPr="00FC5A3E" w:rsidRDefault="000A3F6F" w:rsidP="002D0F0C">
            <w:pPr>
              <w:jc w:val="center"/>
              <w:rPr>
                <w:sz w:val="28"/>
                <w:szCs w:val="28"/>
              </w:rPr>
            </w:pPr>
            <w:r w:rsidRPr="00FC5A3E">
              <w:rPr>
                <w:sz w:val="28"/>
                <w:szCs w:val="28"/>
              </w:rPr>
              <w:t>6</w:t>
            </w:r>
          </w:p>
        </w:tc>
        <w:tc>
          <w:tcPr>
            <w:tcW w:w="5770" w:type="dxa"/>
            <w:tcBorders>
              <w:top w:val="single" w:sz="4" w:space="0" w:color="auto"/>
              <w:left w:val="single" w:sz="4" w:space="0" w:color="auto"/>
              <w:bottom w:val="single" w:sz="4" w:space="0" w:color="auto"/>
              <w:right w:val="single" w:sz="4" w:space="0" w:color="auto"/>
            </w:tcBorders>
            <w:shd w:val="clear" w:color="auto" w:fill="auto"/>
            <w:vAlign w:val="center"/>
          </w:tcPr>
          <w:p w:rsidR="000A3F6F" w:rsidRPr="00FC5A3E" w:rsidRDefault="000A3F6F" w:rsidP="002D0F0C">
            <w:pPr>
              <w:rPr>
                <w:rFonts w:eastAsia="Batang"/>
                <w:sz w:val="28"/>
                <w:szCs w:val="28"/>
              </w:rPr>
            </w:pPr>
            <w:r w:rsidRPr="00FC5A3E">
              <w:rPr>
                <w:rFonts w:eastAsia="Batang"/>
                <w:sz w:val="28"/>
                <w:szCs w:val="28"/>
              </w:rPr>
              <w:t xml:space="preserve">Các yếu tố về </w:t>
            </w:r>
            <w:r w:rsidRPr="00077296">
              <w:rPr>
                <w:rFonts w:eastAsia="Batang"/>
                <w:sz w:val="28"/>
                <w:szCs w:val="28"/>
              </w:rPr>
              <w:t xml:space="preserve"> hướng dẫn sử dụng, bàn giao hàng hóa</w:t>
            </w:r>
            <w:r w:rsidRPr="00FC5A3E">
              <w:rPr>
                <w:rFonts w:eastAsia="Batang"/>
                <w:sz w:val="28"/>
                <w:szCs w:val="28"/>
              </w:rPr>
              <w:t xml:space="preserve"> , cung cấp các dịch vụ sau bán hàng: Có cam kết thực hiện các yêu cầu về </w:t>
            </w:r>
            <w:r w:rsidRPr="00077296">
              <w:rPr>
                <w:rFonts w:eastAsia="Batang"/>
                <w:sz w:val="28"/>
                <w:szCs w:val="28"/>
              </w:rPr>
              <w:t xml:space="preserve"> hướng dẫn sử dụng, bàn giao hàng hóa</w:t>
            </w:r>
            <w:r w:rsidRPr="00FC5A3E">
              <w:rPr>
                <w:rFonts w:eastAsia="Batang"/>
                <w:sz w:val="28"/>
                <w:szCs w:val="28"/>
              </w:rPr>
              <w:t xml:space="preserve">  và các dịch vụ khác (cung cấp báo cáo số lượng truy cập theo tháng, theo quý…) theo yêu cầu của bên mời thầu</w:t>
            </w:r>
          </w:p>
        </w:tc>
        <w:tc>
          <w:tcPr>
            <w:tcW w:w="1593" w:type="dxa"/>
            <w:tcBorders>
              <w:top w:val="single" w:sz="4" w:space="0" w:color="auto"/>
              <w:left w:val="nil"/>
              <w:bottom w:val="single" w:sz="4" w:space="0" w:color="auto"/>
              <w:right w:val="single" w:sz="4" w:space="0" w:color="auto"/>
            </w:tcBorders>
            <w:shd w:val="clear" w:color="auto" w:fill="auto"/>
            <w:vAlign w:val="center"/>
          </w:tcPr>
          <w:p w:rsidR="000A3F6F" w:rsidRPr="00FC5A3E" w:rsidRDefault="000A3F6F" w:rsidP="002D0F0C">
            <w:pPr>
              <w:rPr>
                <w:sz w:val="28"/>
                <w:szCs w:val="28"/>
              </w:rPr>
            </w:pPr>
            <w:r w:rsidRPr="00FC5A3E">
              <w:rPr>
                <w:sz w:val="28"/>
                <w:szCs w:val="28"/>
              </w:rPr>
              <w:t xml:space="preserve">Có cam kết </w:t>
            </w:r>
          </w:p>
        </w:tc>
        <w:tc>
          <w:tcPr>
            <w:tcW w:w="1242" w:type="dxa"/>
            <w:tcBorders>
              <w:top w:val="single" w:sz="4" w:space="0" w:color="auto"/>
              <w:left w:val="nil"/>
              <w:bottom w:val="single" w:sz="4" w:space="0" w:color="auto"/>
              <w:right w:val="single" w:sz="4" w:space="0" w:color="auto"/>
            </w:tcBorders>
            <w:shd w:val="clear" w:color="auto" w:fill="auto"/>
            <w:vAlign w:val="center"/>
          </w:tcPr>
          <w:p w:rsidR="000A3F6F" w:rsidRPr="00FC5A3E" w:rsidRDefault="000A3F6F" w:rsidP="002D0F0C">
            <w:pPr>
              <w:rPr>
                <w:sz w:val="28"/>
                <w:szCs w:val="28"/>
              </w:rPr>
            </w:pPr>
            <w:r w:rsidRPr="00FC5A3E">
              <w:rPr>
                <w:sz w:val="28"/>
                <w:szCs w:val="28"/>
              </w:rPr>
              <w:t>Không có cam kết</w:t>
            </w:r>
          </w:p>
        </w:tc>
      </w:tr>
    </w:tbl>
    <w:p w:rsidR="000A3F6F" w:rsidRPr="00180F17" w:rsidRDefault="000A3F6F" w:rsidP="000A3F6F">
      <w:pPr>
        <w:spacing w:before="120" w:after="120" w:line="264" w:lineRule="auto"/>
        <w:ind w:firstLine="709"/>
        <w:rPr>
          <w:b/>
          <w:i/>
          <w:sz w:val="28"/>
          <w:szCs w:val="28"/>
          <w:lang w:val="nl-NL"/>
        </w:rPr>
      </w:pPr>
      <w:r w:rsidRPr="00180F17">
        <w:rPr>
          <w:b/>
          <w:i/>
          <w:sz w:val="28"/>
          <w:szCs w:val="28"/>
          <w:lang w:val="nl-NL"/>
        </w:rPr>
        <w:t>1.3. Các yêu cầu khác</w:t>
      </w:r>
    </w:p>
    <w:p w:rsidR="000A3F6F" w:rsidRPr="00180F17" w:rsidRDefault="000A3F6F" w:rsidP="000A3F6F">
      <w:pPr>
        <w:widowControl w:val="0"/>
        <w:spacing w:before="120" w:after="120" w:line="264" w:lineRule="auto"/>
        <w:ind w:firstLine="567"/>
        <w:rPr>
          <w:i/>
          <w:sz w:val="28"/>
          <w:szCs w:val="28"/>
          <w:lang w:val="nl-NL"/>
        </w:rPr>
      </w:pPr>
      <w:r w:rsidRPr="00AD7426">
        <w:rPr>
          <w:sz w:val="28"/>
          <w:szCs w:val="28"/>
          <w:lang w:val="nl-NL"/>
        </w:rPr>
        <w:t xml:space="preserve">Phương thức thanh toán bằng chuyển khoản tiền đồng Việt Nam. Chủ đầu tư sẽ </w:t>
      </w:r>
      <w:r>
        <w:rPr>
          <w:sz w:val="28"/>
          <w:szCs w:val="28"/>
          <w:lang w:val="nl-NL"/>
        </w:rPr>
        <w:t>thanh toán</w:t>
      </w:r>
      <w:r w:rsidRPr="00AD7426">
        <w:rPr>
          <w:sz w:val="28"/>
          <w:szCs w:val="28"/>
          <w:lang w:val="nl-NL"/>
        </w:rPr>
        <w:t xml:space="preserve"> </w:t>
      </w:r>
      <w:r>
        <w:rPr>
          <w:sz w:val="28"/>
          <w:szCs w:val="28"/>
          <w:lang w:val="nl-NL"/>
        </w:rPr>
        <w:t>10</w:t>
      </w:r>
      <w:r w:rsidRPr="00AD7426">
        <w:rPr>
          <w:sz w:val="28"/>
          <w:szCs w:val="28"/>
          <w:lang w:val="nl-NL"/>
        </w:rPr>
        <w:t>0% giá trị hợp đồng sau khi hai bên ký biên bản bàn giao và nghiệm thu hàng hóa.</w:t>
      </w:r>
      <w:r w:rsidRPr="00180F17">
        <w:rPr>
          <w:i/>
          <w:sz w:val="28"/>
          <w:szCs w:val="28"/>
          <w:lang w:val="nl-NL"/>
        </w:rPr>
        <w:t xml:space="preserve">  </w:t>
      </w:r>
    </w:p>
    <w:p w:rsidR="000A3F6F" w:rsidRDefault="000A3F6F" w:rsidP="000A3F6F">
      <w:pPr>
        <w:pStyle w:val="SectionVIHeader"/>
        <w:spacing w:after="120" w:line="264" w:lineRule="auto"/>
        <w:ind w:firstLine="709"/>
        <w:jc w:val="left"/>
        <w:rPr>
          <w:sz w:val="28"/>
          <w:szCs w:val="28"/>
          <w:lang w:val="nl-NL"/>
        </w:rPr>
      </w:pPr>
      <w:r w:rsidRPr="00180F17">
        <w:rPr>
          <w:sz w:val="28"/>
          <w:szCs w:val="28"/>
          <w:lang w:val="nl-NL"/>
        </w:rPr>
        <w:t>Mục 2. Bản vẽ</w:t>
      </w:r>
    </w:p>
    <w:p w:rsidR="000A3F6F" w:rsidRPr="00B96B26" w:rsidRDefault="000A3F6F" w:rsidP="000A3F6F">
      <w:pPr>
        <w:pStyle w:val="SectionVIHeader"/>
        <w:spacing w:after="120" w:line="264" w:lineRule="auto"/>
        <w:ind w:firstLine="709"/>
        <w:jc w:val="left"/>
        <w:rPr>
          <w:b w:val="0"/>
          <w:sz w:val="28"/>
          <w:szCs w:val="28"/>
          <w:lang w:val="nl-NL"/>
        </w:rPr>
      </w:pPr>
      <w:r w:rsidRPr="00B96B26">
        <w:rPr>
          <w:b w:val="0"/>
          <w:sz w:val="28"/>
          <w:szCs w:val="28"/>
          <w:lang w:val="nl-NL"/>
        </w:rPr>
        <w:t>Không yêu cầu.</w:t>
      </w:r>
    </w:p>
    <w:p w:rsidR="000A3F6F" w:rsidRPr="00180F17" w:rsidRDefault="000A3F6F" w:rsidP="000A3F6F">
      <w:pPr>
        <w:pStyle w:val="SectionVIHeader"/>
        <w:widowControl w:val="0"/>
        <w:spacing w:after="120" w:line="264" w:lineRule="auto"/>
        <w:ind w:firstLine="709"/>
        <w:jc w:val="left"/>
        <w:rPr>
          <w:sz w:val="32"/>
          <w:szCs w:val="32"/>
        </w:rPr>
      </w:pPr>
      <w:r w:rsidRPr="00180F17">
        <w:rPr>
          <w:sz w:val="28"/>
        </w:rPr>
        <w:t>Mục 3. Kiểm tra và thử nghiệm</w:t>
      </w:r>
    </w:p>
    <w:p w:rsidR="003F04E3" w:rsidRPr="00D6137F" w:rsidRDefault="000A3F6F" w:rsidP="00D6137F">
      <w:pPr>
        <w:spacing w:after="200" w:line="276" w:lineRule="auto"/>
        <w:ind w:firstLine="709"/>
        <w:rPr>
          <w:sz w:val="28"/>
          <w:szCs w:val="28"/>
        </w:rPr>
      </w:pPr>
      <w:r w:rsidRPr="00AD7426">
        <w:rPr>
          <w:sz w:val="28"/>
          <w:szCs w:val="28"/>
        </w:rPr>
        <w:t xml:space="preserve">Các kiểm tra và thử nghiệm cần tiến hành gồm có: </w:t>
      </w:r>
      <w:r>
        <w:rPr>
          <w:sz w:val="28"/>
          <w:szCs w:val="28"/>
        </w:rPr>
        <w:t>C</w:t>
      </w:r>
      <w:r w:rsidRPr="00C40326">
        <w:rPr>
          <w:sz w:val="28"/>
          <w:szCs w:val="28"/>
        </w:rPr>
        <w:t>ơ sở dữ liệu được truy cập qua các dải IP của Bên mời thầu yêu cầu, tuân thủ chính sách sử dụng</w:t>
      </w:r>
      <w:r w:rsidRPr="00AD7426">
        <w:rPr>
          <w:sz w:val="28"/>
          <w:szCs w:val="28"/>
        </w:rPr>
        <w:t>. Thành phần của CSDL đầy đủ theo mô tả.</w:t>
      </w:r>
      <w:bookmarkStart w:id="0" w:name="_GoBack"/>
      <w:bookmarkEnd w:id="0"/>
      <w:r w:rsidR="00D6137F" w:rsidRPr="007D2D1B">
        <w:rPr>
          <w:b/>
          <w:sz w:val="28"/>
          <w:szCs w:val="28"/>
          <w:lang w:val="fr-FR"/>
        </w:rPr>
        <w:t xml:space="preserve">                          </w:t>
      </w:r>
      <w:r w:rsidR="00D6137F">
        <w:rPr>
          <w:b/>
          <w:sz w:val="28"/>
          <w:szCs w:val="28"/>
          <w:lang w:val="fr-FR"/>
        </w:rPr>
        <w:t xml:space="preserve">  </w:t>
      </w:r>
      <w:r w:rsidR="00D6137F" w:rsidRPr="007D2D1B">
        <w:rPr>
          <w:b/>
          <w:sz w:val="28"/>
          <w:szCs w:val="28"/>
          <w:lang w:val="fr-FR"/>
        </w:rPr>
        <w:t xml:space="preserve"> </w:t>
      </w:r>
    </w:p>
    <w:sectPr w:rsidR="003F04E3" w:rsidRPr="00D6137F" w:rsidSect="00B53FD3">
      <w:pgSz w:w="11907" w:h="16840" w:code="9"/>
      <w:pgMar w:top="1411" w:right="1138" w:bottom="141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H">
    <w:altName w:val="Courier New"/>
    <w:charset w:val="00"/>
    <w:family w:val="swiss"/>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F6F"/>
    <w:rsid w:val="000A3F6F"/>
    <w:rsid w:val="003F04E3"/>
    <w:rsid w:val="00B53FD3"/>
    <w:rsid w:val="00D61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1041C"/>
  <w15:chartTrackingRefBased/>
  <w15:docId w15:val="{109FB9D3-B1D5-4B09-80FF-F6FC3BA19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3F6F"/>
    <w:pPr>
      <w:spacing w:after="0" w:line="240" w:lineRule="auto"/>
      <w:jc w:val="both"/>
    </w:pPr>
    <w:rPr>
      <w:rFonts w:ascii="Times New Roman" w:eastAsia="Times New Roman" w:hAnsi="Times New Roman" w:cs="Times New Roman"/>
      <w:sz w:val="24"/>
      <w:szCs w:val="20"/>
    </w:rPr>
  </w:style>
  <w:style w:type="paragraph" w:styleId="Heading4">
    <w:name w:val="heading 4"/>
    <w:basedOn w:val="Normal"/>
    <w:next w:val="Normal"/>
    <w:link w:val="Heading4Char"/>
    <w:qFormat/>
    <w:rsid w:val="00D6137F"/>
    <w:pPr>
      <w:keepNext/>
      <w:autoSpaceDE w:val="0"/>
      <w:autoSpaceDN w:val="0"/>
      <w:jc w:val="left"/>
      <w:outlineLvl w:val="3"/>
    </w:pPr>
    <w:rPr>
      <w:rFonts w:ascii=".VnTimeH" w:hAnsi=".VnTimeH" w:cs=".VnTime"/>
      <w:b/>
      <w:color w:val="000000"/>
      <w:sz w:val="3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0A3F6F"/>
    <w:pPr>
      <w:jc w:val="center"/>
    </w:pPr>
    <w:rPr>
      <w:b/>
      <w:sz w:val="44"/>
    </w:rPr>
  </w:style>
  <w:style w:type="character" w:customStyle="1" w:styleId="SubtitleChar">
    <w:name w:val="Subtitle Char"/>
    <w:basedOn w:val="DefaultParagraphFont"/>
    <w:link w:val="Subtitle"/>
    <w:rsid w:val="000A3F6F"/>
    <w:rPr>
      <w:rFonts w:ascii="Times New Roman" w:eastAsia="Times New Roman" w:hAnsi="Times New Roman" w:cs="Times New Roman"/>
      <w:b/>
      <w:sz w:val="44"/>
      <w:szCs w:val="20"/>
    </w:rPr>
  </w:style>
  <w:style w:type="paragraph" w:customStyle="1" w:styleId="SectionVIHeader">
    <w:name w:val="Section VI. Header"/>
    <w:basedOn w:val="Normal"/>
    <w:rsid w:val="000A3F6F"/>
    <w:pPr>
      <w:spacing w:before="120" w:after="240"/>
      <w:jc w:val="center"/>
    </w:pPr>
    <w:rPr>
      <w:b/>
      <w:sz w:val="36"/>
    </w:rPr>
  </w:style>
  <w:style w:type="character" w:customStyle="1" w:styleId="Heading4Char">
    <w:name w:val="Heading 4 Char"/>
    <w:basedOn w:val="DefaultParagraphFont"/>
    <w:link w:val="Heading4"/>
    <w:rsid w:val="00D6137F"/>
    <w:rPr>
      <w:rFonts w:ascii=".VnTimeH" w:eastAsia="Times New Roman" w:hAnsi=".VnTimeH" w:cs=".VnTime"/>
      <w:b/>
      <w:color w:val="000000"/>
      <w:sz w:val="30"/>
      <w:szCs w:val="28"/>
    </w:rPr>
  </w:style>
  <w:style w:type="paragraph" w:styleId="BalloonText">
    <w:name w:val="Balloon Text"/>
    <w:basedOn w:val="Normal"/>
    <w:link w:val="BalloonTextChar"/>
    <w:uiPriority w:val="99"/>
    <w:semiHidden/>
    <w:unhideWhenUsed/>
    <w:rsid w:val="00D613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37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427</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dc:creator>
  <cp:keywords/>
  <dc:description/>
  <cp:lastModifiedBy>Thuy</cp:lastModifiedBy>
  <cp:revision>2</cp:revision>
  <cp:lastPrinted>2026-02-05T04:27:00Z</cp:lastPrinted>
  <dcterms:created xsi:type="dcterms:W3CDTF">2026-02-05T03:49:00Z</dcterms:created>
  <dcterms:modified xsi:type="dcterms:W3CDTF">2026-02-05T04:29:00Z</dcterms:modified>
</cp:coreProperties>
</file>