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043F7F" w14:textId="77777777" w:rsidR="00225FEC" w:rsidRPr="00BC3571" w:rsidRDefault="00225FEC" w:rsidP="00090951">
      <w:pPr>
        <w:widowControl w:val="0"/>
        <w:spacing w:before="60" w:after="60" w:line="264" w:lineRule="auto"/>
        <w:ind w:right="-239"/>
        <w:jc w:val="center"/>
        <w:rPr>
          <w:rFonts w:ascii="Times New Roman" w:eastAsia="Times New Roman" w:hAnsi="Times New Roman" w:cs="Times New Roman"/>
          <w:b/>
          <w:lang w:val="pt-BR"/>
        </w:rPr>
      </w:pPr>
      <w:bookmarkStart w:id="0" w:name="_Toc104800535"/>
      <w:r w:rsidRPr="00BC3571">
        <w:rPr>
          <w:rFonts w:ascii="Times New Roman" w:eastAsia="Times New Roman" w:hAnsi="Times New Roman" w:cs="Times New Roman"/>
          <w:b/>
          <w:lang w:val="pt-BR"/>
        </w:rPr>
        <w:t>Chương III. TIÊU CHUẨN ĐÁNH GIÁ E-HSDT</w:t>
      </w:r>
    </w:p>
    <w:p w14:paraId="712F724F" w14:textId="7092B26C" w:rsidR="008A2F2D" w:rsidRPr="00BC3571" w:rsidRDefault="008A2F2D" w:rsidP="00BC1A0F">
      <w:pPr>
        <w:spacing w:before="60" w:after="60"/>
        <w:ind w:right="-239"/>
        <w:jc w:val="center"/>
        <w:rPr>
          <w:rFonts w:ascii="Times New Roman" w:eastAsia="MS Mincho" w:hAnsi="Times New Roman" w:cs="Times New Roman"/>
          <w:b/>
          <w:sz w:val="26"/>
          <w:szCs w:val="26"/>
          <w:lang w:val="vi-VN" w:eastAsia="vi-VN"/>
        </w:rPr>
      </w:pPr>
      <w:r w:rsidRPr="00BC3571">
        <w:rPr>
          <w:rFonts w:ascii="Times New Roman" w:eastAsia="Times New Roman" w:hAnsi="Times New Roman" w:cs="Times New Roman"/>
          <w:b/>
          <w:bCs/>
          <w:sz w:val="26"/>
          <w:szCs w:val="26"/>
          <w:lang w:val="vi-VN"/>
        </w:rPr>
        <w:t xml:space="preserve">Mục </w:t>
      </w:r>
      <w:r w:rsidRPr="00BC3571">
        <w:rPr>
          <w:rFonts w:ascii="Times New Roman" w:eastAsia="Times New Roman" w:hAnsi="Times New Roman" w:cs="Times New Roman"/>
          <w:b/>
          <w:bCs/>
          <w:sz w:val="26"/>
          <w:szCs w:val="26"/>
          <w:lang w:val="pl-PL"/>
        </w:rPr>
        <w:t>3</w:t>
      </w:r>
      <w:r w:rsidRPr="00BC3571">
        <w:rPr>
          <w:rFonts w:ascii="Times New Roman" w:eastAsia="Times New Roman" w:hAnsi="Times New Roman" w:cs="Times New Roman"/>
          <w:b/>
          <w:bCs/>
          <w:sz w:val="26"/>
          <w:szCs w:val="26"/>
          <w:lang w:val="vi-VN"/>
        </w:rPr>
        <w:t>. Tiêu chuẩn đánh giá về kỹ thuật</w:t>
      </w:r>
    </w:p>
    <w:p w14:paraId="444125ED" w14:textId="351475B0" w:rsidR="007B7D45" w:rsidRPr="00BC3571" w:rsidRDefault="0038261F" w:rsidP="00090951">
      <w:pPr>
        <w:widowControl w:val="0"/>
        <w:spacing w:after="120" w:line="276" w:lineRule="auto"/>
        <w:ind w:right="-238" w:firstLine="567"/>
        <w:jc w:val="both"/>
        <w:rPr>
          <w:rFonts w:ascii="Times New Roman" w:eastAsia="Times New Roman" w:hAnsi="Times New Roman" w:cs="Times New Roman"/>
          <w:sz w:val="26"/>
          <w:szCs w:val="26"/>
        </w:rPr>
      </w:pPr>
      <w:r w:rsidRPr="00BC3571">
        <w:rPr>
          <w:rFonts w:ascii="Times New Roman" w:hAnsi="Times New Roman" w:cs="Times New Roman"/>
          <w:color w:val="000000"/>
          <w:sz w:val="26"/>
          <w:szCs w:val="26"/>
        </w:rPr>
        <w:t xml:space="preserve">Sử dụng tiêu chí </w:t>
      </w:r>
      <w:r w:rsidR="00312ACB" w:rsidRPr="00BC3571">
        <w:rPr>
          <w:rFonts w:ascii="Times New Roman" w:hAnsi="Times New Roman" w:cs="Times New Roman"/>
          <w:color w:val="000000"/>
          <w:sz w:val="26"/>
          <w:szCs w:val="26"/>
        </w:rPr>
        <w:t>“</w:t>
      </w:r>
      <w:r w:rsidRPr="00BC3571">
        <w:rPr>
          <w:rFonts w:ascii="Times New Roman" w:hAnsi="Times New Roman" w:cs="Times New Roman"/>
          <w:color w:val="000000"/>
          <w:sz w:val="26"/>
          <w:szCs w:val="26"/>
        </w:rPr>
        <w:t>đạt, không đạt</w:t>
      </w:r>
      <w:r w:rsidR="00312ACB" w:rsidRPr="00BC3571">
        <w:rPr>
          <w:rFonts w:ascii="Times New Roman" w:hAnsi="Times New Roman" w:cs="Times New Roman"/>
          <w:color w:val="000000"/>
          <w:sz w:val="26"/>
          <w:szCs w:val="26"/>
        </w:rPr>
        <w:t>”</w:t>
      </w:r>
      <w:r w:rsidRPr="00BC3571">
        <w:rPr>
          <w:rFonts w:ascii="Times New Roman" w:hAnsi="Times New Roman" w:cs="Times New Roman"/>
          <w:color w:val="000000"/>
          <w:sz w:val="26"/>
          <w:szCs w:val="26"/>
        </w:rPr>
        <w:t xml:space="preserve"> đánh giá về kỹ thuật. Cơ sở để đánh giá về kỹ</w:t>
      </w:r>
      <w:r w:rsidRPr="00BC3571">
        <w:rPr>
          <w:rFonts w:ascii="Times New Roman" w:hAnsi="Times New Roman" w:cs="Times New Roman"/>
          <w:color w:val="000000"/>
          <w:sz w:val="26"/>
          <w:szCs w:val="26"/>
        </w:rPr>
        <w:br/>
        <w:t>thuật như sau:</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2"/>
        <w:gridCol w:w="2322"/>
        <w:gridCol w:w="2410"/>
        <w:gridCol w:w="3798"/>
      </w:tblGrid>
      <w:tr w:rsidR="006D3742" w:rsidRPr="00BC3571" w14:paraId="3A4C0B9D" w14:textId="77777777" w:rsidTr="00F3794F">
        <w:trPr>
          <w:tblHeader/>
        </w:trPr>
        <w:tc>
          <w:tcPr>
            <w:tcW w:w="542" w:type="dxa"/>
            <w:vMerge w:val="restart"/>
            <w:vAlign w:val="center"/>
          </w:tcPr>
          <w:p w14:paraId="56FCC563" w14:textId="77777777" w:rsidR="006D3742" w:rsidRPr="00BC3571" w:rsidRDefault="006D3742" w:rsidP="009D783F">
            <w:pPr>
              <w:suppressAutoHyphens/>
              <w:spacing w:before="60" w:after="60"/>
              <w:ind w:left="-66" w:right="-250" w:hanging="160"/>
              <w:jc w:val="center"/>
              <w:rPr>
                <w:rFonts w:ascii="Times New Roman" w:hAnsi="Times New Roman" w:cs="Times New Roman"/>
                <w:b/>
                <w:sz w:val="26"/>
                <w:szCs w:val="26"/>
              </w:rPr>
            </w:pPr>
            <w:r w:rsidRPr="00BC3571">
              <w:rPr>
                <w:rFonts w:ascii="Times New Roman" w:hAnsi="Times New Roman" w:cs="Times New Roman"/>
                <w:b/>
                <w:sz w:val="26"/>
                <w:szCs w:val="26"/>
              </w:rPr>
              <w:t>TT</w:t>
            </w:r>
          </w:p>
        </w:tc>
        <w:tc>
          <w:tcPr>
            <w:tcW w:w="2322" w:type="dxa"/>
            <w:vMerge w:val="restart"/>
            <w:vAlign w:val="center"/>
          </w:tcPr>
          <w:p w14:paraId="3A2D3C02" w14:textId="77777777" w:rsidR="006D3742" w:rsidRPr="00BC3571" w:rsidRDefault="006D3742" w:rsidP="009D783F">
            <w:pPr>
              <w:suppressAutoHyphens/>
              <w:spacing w:before="60" w:after="60"/>
              <w:ind w:left="-66" w:right="4"/>
              <w:jc w:val="center"/>
              <w:rPr>
                <w:rFonts w:ascii="Times New Roman" w:hAnsi="Times New Roman" w:cs="Times New Roman"/>
                <w:b/>
                <w:sz w:val="26"/>
                <w:szCs w:val="26"/>
              </w:rPr>
            </w:pPr>
            <w:r w:rsidRPr="00BC3571">
              <w:rPr>
                <w:rFonts w:ascii="Times New Roman" w:hAnsi="Times New Roman" w:cs="Times New Roman"/>
                <w:b/>
                <w:sz w:val="26"/>
                <w:szCs w:val="26"/>
              </w:rPr>
              <w:t>Nội dung yêu cầu</w:t>
            </w:r>
          </w:p>
        </w:tc>
        <w:tc>
          <w:tcPr>
            <w:tcW w:w="6208" w:type="dxa"/>
            <w:gridSpan w:val="2"/>
            <w:vAlign w:val="center"/>
          </w:tcPr>
          <w:p w14:paraId="7463F8C8" w14:textId="77777777" w:rsidR="006D3742" w:rsidRPr="00BC3571" w:rsidRDefault="006D3742" w:rsidP="009D783F">
            <w:pPr>
              <w:suppressAutoHyphens/>
              <w:spacing w:before="60" w:after="60"/>
              <w:ind w:left="40"/>
              <w:jc w:val="center"/>
              <w:rPr>
                <w:rFonts w:ascii="Times New Roman" w:hAnsi="Times New Roman" w:cs="Times New Roman"/>
                <w:b/>
                <w:sz w:val="26"/>
                <w:szCs w:val="26"/>
              </w:rPr>
            </w:pPr>
            <w:r w:rsidRPr="00BC3571">
              <w:rPr>
                <w:rFonts w:ascii="Times New Roman" w:hAnsi="Times New Roman" w:cs="Times New Roman"/>
                <w:b/>
                <w:sz w:val="26"/>
                <w:szCs w:val="26"/>
              </w:rPr>
              <w:t>Mức độ đáp ứng</w:t>
            </w:r>
          </w:p>
        </w:tc>
      </w:tr>
      <w:tr w:rsidR="006D3742" w:rsidRPr="00BC3571" w14:paraId="3E5E8C77" w14:textId="77777777" w:rsidTr="00F3794F">
        <w:trPr>
          <w:tblHeader/>
        </w:trPr>
        <w:tc>
          <w:tcPr>
            <w:tcW w:w="542" w:type="dxa"/>
            <w:vMerge/>
            <w:vAlign w:val="center"/>
          </w:tcPr>
          <w:p w14:paraId="126662B9" w14:textId="77777777" w:rsidR="006D3742" w:rsidRPr="00BC3571" w:rsidRDefault="006D3742" w:rsidP="009D783F">
            <w:pPr>
              <w:suppressAutoHyphens/>
              <w:spacing w:before="60" w:after="60"/>
              <w:ind w:left="-66" w:right="-250" w:hanging="160"/>
              <w:jc w:val="center"/>
              <w:rPr>
                <w:rFonts w:ascii="Times New Roman" w:hAnsi="Times New Roman" w:cs="Times New Roman"/>
                <w:sz w:val="26"/>
                <w:szCs w:val="26"/>
              </w:rPr>
            </w:pPr>
          </w:p>
        </w:tc>
        <w:tc>
          <w:tcPr>
            <w:tcW w:w="2322" w:type="dxa"/>
            <w:vMerge/>
            <w:vAlign w:val="center"/>
          </w:tcPr>
          <w:p w14:paraId="7CE62121" w14:textId="77777777" w:rsidR="006D3742" w:rsidRPr="00BC3571" w:rsidRDefault="006D3742" w:rsidP="009D783F">
            <w:pPr>
              <w:suppressAutoHyphens/>
              <w:spacing w:before="60" w:after="60"/>
              <w:ind w:left="-66" w:right="-239"/>
              <w:jc w:val="center"/>
              <w:rPr>
                <w:rFonts w:ascii="Times New Roman" w:hAnsi="Times New Roman" w:cs="Times New Roman"/>
                <w:sz w:val="26"/>
                <w:szCs w:val="26"/>
              </w:rPr>
            </w:pPr>
          </w:p>
        </w:tc>
        <w:tc>
          <w:tcPr>
            <w:tcW w:w="2410" w:type="dxa"/>
            <w:vAlign w:val="center"/>
          </w:tcPr>
          <w:p w14:paraId="2391EB99" w14:textId="77777777" w:rsidR="006D3742" w:rsidRPr="00BC3571" w:rsidRDefault="006D3742" w:rsidP="009D783F">
            <w:pPr>
              <w:spacing w:before="60" w:after="60"/>
              <w:ind w:left="40" w:right="-1"/>
              <w:jc w:val="center"/>
              <w:rPr>
                <w:rFonts w:ascii="Times New Roman" w:hAnsi="Times New Roman" w:cs="Times New Roman"/>
                <w:b/>
                <w:i/>
                <w:sz w:val="26"/>
                <w:szCs w:val="26"/>
              </w:rPr>
            </w:pPr>
            <w:r w:rsidRPr="00BC3571">
              <w:rPr>
                <w:rFonts w:ascii="Times New Roman" w:hAnsi="Times New Roman" w:cs="Times New Roman"/>
                <w:b/>
                <w:i/>
                <w:sz w:val="26"/>
                <w:szCs w:val="26"/>
              </w:rPr>
              <w:t>Đạt</w:t>
            </w:r>
          </w:p>
        </w:tc>
        <w:tc>
          <w:tcPr>
            <w:tcW w:w="3798" w:type="dxa"/>
            <w:vAlign w:val="center"/>
          </w:tcPr>
          <w:p w14:paraId="300802C2" w14:textId="77777777" w:rsidR="006D3742" w:rsidRPr="00BC3571" w:rsidRDefault="006D3742" w:rsidP="009D783F">
            <w:pPr>
              <w:spacing w:before="60" w:after="60"/>
              <w:ind w:left="40" w:right="-135"/>
              <w:jc w:val="center"/>
              <w:rPr>
                <w:rFonts w:ascii="Times New Roman" w:hAnsi="Times New Roman" w:cs="Times New Roman"/>
                <w:b/>
                <w:i/>
                <w:sz w:val="26"/>
                <w:szCs w:val="26"/>
              </w:rPr>
            </w:pPr>
            <w:r w:rsidRPr="00BC3571">
              <w:rPr>
                <w:rFonts w:ascii="Times New Roman" w:hAnsi="Times New Roman" w:cs="Times New Roman"/>
                <w:b/>
                <w:i/>
                <w:sz w:val="26"/>
                <w:szCs w:val="26"/>
              </w:rPr>
              <w:t>Không đạt</w:t>
            </w:r>
          </w:p>
        </w:tc>
      </w:tr>
      <w:tr w:rsidR="00AC1DEB" w:rsidRPr="00BC3571" w14:paraId="3538E648" w14:textId="77777777" w:rsidTr="00F3794F">
        <w:tc>
          <w:tcPr>
            <w:tcW w:w="542" w:type="dxa"/>
            <w:vAlign w:val="center"/>
          </w:tcPr>
          <w:p w14:paraId="74C427F0" w14:textId="13C2C03A" w:rsidR="00AC1DEB" w:rsidRPr="00BC3571" w:rsidRDefault="00AC1DEB" w:rsidP="00AC1DEB">
            <w:pPr>
              <w:spacing w:before="60" w:after="60"/>
              <w:ind w:left="-66" w:right="-250" w:hanging="160"/>
              <w:jc w:val="center"/>
              <w:rPr>
                <w:rFonts w:ascii="Times New Roman" w:hAnsi="Times New Roman" w:cs="Times New Roman"/>
                <w:sz w:val="26"/>
                <w:szCs w:val="26"/>
              </w:rPr>
            </w:pPr>
            <w:r w:rsidRPr="00BC3571">
              <w:rPr>
                <w:rFonts w:ascii="Times New Roman" w:hAnsi="Times New Roman" w:cs="Times New Roman"/>
                <w:sz w:val="26"/>
                <w:szCs w:val="26"/>
              </w:rPr>
              <w:t>1</w:t>
            </w:r>
          </w:p>
        </w:tc>
        <w:tc>
          <w:tcPr>
            <w:tcW w:w="2322" w:type="dxa"/>
            <w:vAlign w:val="center"/>
          </w:tcPr>
          <w:p w14:paraId="243D102F" w14:textId="727FAF25" w:rsidR="00AC1DEB" w:rsidRPr="00BC3571" w:rsidRDefault="00DB4D75" w:rsidP="00AC1DEB">
            <w:pPr>
              <w:spacing w:before="60" w:after="60"/>
              <w:jc w:val="both"/>
              <w:rPr>
                <w:rFonts w:ascii="Times New Roman" w:hAnsi="Times New Roman" w:cs="Times New Roman"/>
                <w:sz w:val="26"/>
                <w:szCs w:val="26"/>
              </w:rPr>
            </w:pPr>
            <w:r w:rsidRPr="00BC3571">
              <w:rPr>
                <w:rFonts w:ascii="Times New Roman" w:eastAsia="Times New Roman" w:hAnsi="Times New Roman" w:cs="Times New Roman"/>
                <w:bCs/>
                <w:sz w:val="26"/>
                <w:szCs w:val="26"/>
                <w:lang w:val="nl-NL"/>
              </w:rPr>
              <w:t>Y</w:t>
            </w:r>
            <w:r w:rsidR="00AC1DEB" w:rsidRPr="00BC3571">
              <w:rPr>
                <w:rFonts w:ascii="Times New Roman" w:eastAsia="Times New Roman" w:hAnsi="Times New Roman" w:cs="Times New Roman"/>
                <w:bCs/>
                <w:sz w:val="26"/>
                <w:szCs w:val="26"/>
                <w:lang w:val="nl-NL"/>
              </w:rPr>
              <w:t>êu cầu kỹ thuật</w:t>
            </w:r>
          </w:p>
        </w:tc>
        <w:tc>
          <w:tcPr>
            <w:tcW w:w="2410" w:type="dxa"/>
            <w:vAlign w:val="center"/>
          </w:tcPr>
          <w:p w14:paraId="55A2A76D" w14:textId="4FCA5340" w:rsidR="00AC1DEB" w:rsidRPr="00BC3571" w:rsidRDefault="00AC1DEB" w:rsidP="00AC1DEB">
            <w:pPr>
              <w:spacing w:before="60" w:after="60"/>
              <w:ind w:left="40" w:right="-1"/>
              <w:jc w:val="both"/>
              <w:rPr>
                <w:rFonts w:ascii="Times New Roman" w:hAnsi="Times New Roman" w:cs="Times New Roman"/>
                <w:sz w:val="26"/>
                <w:szCs w:val="26"/>
              </w:rPr>
            </w:pPr>
            <w:r w:rsidRPr="00BC3571">
              <w:rPr>
                <w:rFonts w:ascii="Times New Roman" w:hAnsi="Times New Roman" w:cs="Times New Roman"/>
                <w:bCs/>
                <w:i/>
                <w:iCs/>
                <w:sz w:val="26"/>
                <w:szCs w:val="26"/>
              </w:rPr>
              <w:t xml:space="preserve">Hàng hóa chào thầu đáp ứng đầy đủ các thông số kỹ thuật yêu cầu của Bảng </w:t>
            </w:r>
            <w:r w:rsidR="00064F67">
              <w:rPr>
                <w:rFonts w:ascii="Times New Roman" w:hAnsi="Times New Roman" w:cs="Times New Roman"/>
                <w:bCs/>
                <w:i/>
                <w:iCs/>
                <w:sz w:val="26"/>
                <w:szCs w:val="26"/>
              </w:rPr>
              <w:t xml:space="preserve">chào </w:t>
            </w:r>
            <w:r w:rsidRPr="00BC3571">
              <w:rPr>
                <w:rFonts w:ascii="Times New Roman" w:hAnsi="Times New Roman" w:cs="Times New Roman"/>
                <w:bCs/>
                <w:i/>
                <w:iCs/>
                <w:sz w:val="26"/>
                <w:szCs w:val="26"/>
              </w:rPr>
              <w:t xml:space="preserve">yêu cầu </w:t>
            </w:r>
            <w:r w:rsidR="00064F67">
              <w:rPr>
                <w:rFonts w:ascii="Times New Roman" w:hAnsi="Times New Roman" w:cs="Times New Roman"/>
                <w:bCs/>
                <w:i/>
                <w:iCs/>
                <w:sz w:val="26"/>
                <w:szCs w:val="26"/>
              </w:rPr>
              <w:t>công việc</w:t>
            </w:r>
            <w:r w:rsidRPr="00BC3571">
              <w:rPr>
                <w:rFonts w:ascii="Times New Roman" w:hAnsi="Times New Roman" w:cs="Times New Roman"/>
                <w:bCs/>
                <w:i/>
                <w:iCs/>
                <w:sz w:val="26"/>
                <w:szCs w:val="26"/>
              </w:rPr>
              <w:t xml:space="preserve"> cụ thể tại Chương V, Mục III-</w:t>
            </w:r>
            <w:r w:rsidRPr="00BC3571">
              <w:rPr>
                <w:rFonts w:ascii="Times New Roman" w:hAnsi="Times New Roman" w:cs="Times New Roman"/>
                <w:b/>
                <w:lang w:val="nl-NL"/>
              </w:rPr>
              <w:t xml:space="preserve"> Yêu cầu kỹ thuật của gói thầu</w:t>
            </w:r>
            <w:r w:rsidRPr="00BC3571">
              <w:rPr>
                <w:rFonts w:ascii="Times New Roman" w:hAnsi="Times New Roman" w:cs="Times New Roman"/>
                <w:bCs/>
                <w:i/>
                <w:iCs/>
                <w:sz w:val="26"/>
                <w:szCs w:val="26"/>
              </w:rPr>
              <w:t>.</w:t>
            </w:r>
          </w:p>
        </w:tc>
        <w:tc>
          <w:tcPr>
            <w:tcW w:w="3798" w:type="dxa"/>
            <w:vAlign w:val="center"/>
          </w:tcPr>
          <w:p w14:paraId="6768EC09" w14:textId="25201677" w:rsidR="00AC1DEB" w:rsidRPr="00BC3571" w:rsidRDefault="00AC1DEB" w:rsidP="00AC1DEB">
            <w:pPr>
              <w:tabs>
                <w:tab w:val="right" w:leader="dot" w:pos="8640"/>
              </w:tabs>
              <w:jc w:val="both"/>
              <w:rPr>
                <w:rFonts w:ascii="Times New Roman" w:hAnsi="Times New Roman" w:cs="Times New Roman"/>
                <w:bCs/>
                <w:i/>
                <w:iCs/>
                <w:sz w:val="26"/>
                <w:szCs w:val="26"/>
              </w:rPr>
            </w:pPr>
            <w:r w:rsidRPr="00BC3571">
              <w:rPr>
                <w:rFonts w:ascii="Times New Roman" w:hAnsi="Times New Roman" w:cs="Times New Roman"/>
                <w:bCs/>
                <w:i/>
                <w:iCs/>
                <w:sz w:val="26"/>
                <w:szCs w:val="26"/>
              </w:rPr>
              <w:t xml:space="preserve">- Không chào </w:t>
            </w:r>
            <w:r w:rsidR="00064F67">
              <w:rPr>
                <w:rFonts w:ascii="Times New Roman" w:hAnsi="Times New Roman" w:cs="Times New Roman"/>
                <w:bCs/>
                <w:i/>
                <w:iCs/>
                <w:sz w:val="26"/>
                <w:szCs w:val="26"/>
              </w:rPr>
              <w:t>Bảng chào yêu cầu công việc cụ thể</w:t>
            </w:r>
            <w:r w:rsidRPr="00BC3571">
              <w:rPr>
                <w:rFonts w:ascii="Times New Roman" w:hAnsi="Times New Roman" w:cs="Times New Roman"/>
                <w:bCs/>
                <w:i/>
                <w:iCs/>
                <w:sz w:val="26"/>
                <w:szCs w:val="26"/>
              </w:rPr>
              <w:t xml:space="preserve"> theo yêu cầu tại </w:t>
            </w:r>
            <w:r w:rsidR="00DB4D75" w:rsidRPr="00BC3571">
              <w:rPr>
                <w:rFonts w:ascii="Times New Roman" w:hAnsi="Times New Roman" w:cs="Times New Roman"/>
                <w:bCs/>
                <w:i/>
                <w:iCs/>
                <w:sz w:val="26"/>
                <w:szCs w:val="26"/>
              </w:rPr>
              <w:t>Chương V, Mục III- Yêu cầu kỹ thuật của gói thầu</w:t>
            </w:r>
            <w:r w:rsidR="00F3794F" w:rsidRPr="00BC3571">
              <w:rPr>
                <w:rFonts w:ascii="Times New Roman" w:hAnsi="Times New Roman" w:cs="Times New Roman"/>
                <w:bCs/>
                <w:i/>
                <w:iCs/>
                <w:sz w:val="26"/>
                <w:szCs w:val="26"/>
              </w:rPr>
              <w:t xml:space="preserve"> (sau khi đã yêu cầu bổ sung)</w:t>
            </w:r>
            <w:r w:rsidRPr="00BC3571">
              <w:rPr>
                <w:rFonts w:ascii="Times New Roman" w:hAnsi="Times New Roman" w:cs="Times New Roman"/>
                <w:bCs/>
                <w:i/>
                <w:iCs/>
                <w:sz w:val="26"/>
                <w:szCs w:val="26"/>
              </w:rPr>
              <w:t xml:space="preserve">, hoặc; </w:t>
            </w:r>
          </w:p>
          <w:p w14:paraId="3F33F747" w14:textId="46EE6268" w:rsidR="00AC1DEB" w:rsidRPr="00BC3571" w:rsidRDefault="00AC1DEB" w:rsidP="00AC1DEB">
            <w:pPr>
              <w:tabs>
                <w:tab w:val="right" w:leader="dot" w:pos="8640"/>
              </w:tabs>
              <w:jc w:val="both"/>
              <w:rPr>
                <w:rFonts w:ascii="Times New Roman" w:hAnsi="Times New Roman" w:cs="Times New Roman"/>
                <w:bCs/>
                <w:i/>
                <w:iCs/>
                <w:sz w:val="26"/>
                <w:szCs w:val="26"/>
              </w:rPr>
            </w:pPr>
            <w:r w:rsidRPr="00BC3571">
              <w:rPr>
                <w:rFonts w:ascii="Times New Roman" w:hAnsi="Times New Roman" w:cs="Times New Roman"/>
                <w:bCs/>
                <w:i/>
                <w:iCs/>
                <w:sz w:val="26"/>
                <w:szCs w:val="26"/>
              </w:rPr>
              <w:t xml:space="preserve">- Một trong các thông số kỹ thuật không đáp ứng theo yêu cầu tại </w:t>
            </w:r>
            <w:r w:rsidR="00064F67">
              <w:rPr>
                <w:rFonts w:ascii="Times New Roman" w:hAnsi="Times New Roman" w:cs="Times New Roman"/>
                <w:bCs/>
                <w:i/>
                <w:iCs/>
                <w:sz w:val="26"/>
                <w:szCs w:val="26"/>
              </w:rPr>
              <w:t>Bảng chào yêu cầu công việc cụ thể</w:t>
            </w:r>
            <w:r w:rsidRPr="00BC3571">
              <w:rPr>
                <w:rFonts w:ascii="Times New Roman" w:hAnsi="Times New Roman" w:cs="Times New Roman"/>
                <w:bCs/>
                <w:i/>
                <w:iCs/>
                <w:sz w:val="26"/>
                <w:szCs w:val="26"/>
              </w:rPr>
              <w:t xml:space="preserve"> tại </w:t>
            </w:r>
            <w:r w:rsidR="00DB4D75" w:rsidRPr="00BC3571">
              <w:rPr>
                <w:rFonts w:ascii="Times New Roman" w:hAnsi="Times New Roman" w:cs="Times New Roman"/>
                <w:bCs/>
                <w:i/>
                <w:iCs/>
                <w:sz w:val="26"/>
                <w:szCs w:val="26"/>
              </w:rPr>
              <w:t>Chương V, Mục III- Yêu cầu kỹ thuật của gói thầu</w:t>
            </w:r>
            <w:r w:rsidRPr="00BC3571">
              <w:rPr>
                <w:rFonts w:ascii="Times New Roman" w:hAnsi="Times New Roman" w:cs="Times New Roman"/>
                <w:bCs/>
                <w:i/>
                <w:iCs/>
                <w:sz w:val="26"/>
                <w:szCs w:val="26"/>
              </w:rPr>
              <w:t>, hoặc;</w:t>
            </w:r>
          </w:p>
          <w:p w14:paraId="47A228BF" w14:textId="77777777" w:rsidR="00AC1DEB" w:rsidRPr="00BC3571" w:rsidRDefault="00AC1DEB" w:rsidP="00AC1DEB">
            <w:pPr>
              <w:tabs>
                <w:tab w:val="right" w:leader="dot" w:pos="8640"/>
              </w:tabs>
              <w:jc w:val="both"/>
              <w:rPr>
                <w:rFonts w:ascii="Times New Roman" w:hAnsi="Times New Roman" w:cs="Times New Roman"/>
                <w:bCs/>
                <w:i/>
                <w:iCs/>
                <w:sz w:val="26"/>
                <w:szCs w:val="26"/>
              </w:rPr>
            </w:pPr>
            <w:r w:rsidRPr="00BC3571">
              <w:rPr>
                <w:rFonts w:ascii="Times New Roman" w:hAnsi="Times New Roman" w:cs="Times New Roman"/>
                <w:bCs/>
                <w:i/>
                <w:iCs/>
                <w:sz w:val="26"/>
                <w:szCs w:val="26"/>
              </w:rPr>
              <w:t>- Một số thông số kỹ thuật chào thiếu sau khi đã được làm rõ bổ sung nhưng nhà thầu không bổ sung hoặc sau khi làm rõ bổ sung nhưng không đáp ứng;</w:t>
            </w:r>
          </w:p>
          <w:p w14:paraId="5BFDDDF5" w14:textId="6DC96A55" w:rsidR="00AC1DEB" w:rsidRPr="00BC3571" w:rsidRDefault="00AC1DEB" w:rsidP="00AC1DEB">
            <w:pPr>
              <w:spacing w:before="60" w:after="60"/>
              <w:ind w:left="40"/>
              <w:jc w:val="both"/>
              <w:rPr>
                <w:rFonts w:ascii="Times New Roman" w:hAnsi="Times New Roman" w:cs="Times New Roman"/>
                <w:sz w:val="26"/>
                <w:szCs w:val="26"/>
              </w:rPr>
            </w:pPr>
            <w:r w:rsidRPr="00BC3571">
              <w:rPr>
                <w:rFonts w:ascii="Times New Roman" w:hAnsi="Times New Roman" w:cs="Times New Roman"/>
                <w:bCs/>
                <w:i/>
                <w:iCs/>
                <w:sz w:val="26"/>
                <w:szCs w:val="26"/>
              </w:rPr>
              <w:t xml:space="preserve">- Không có tài liệu </w:t>
            </w:r>
            <w:r w:rsidR="00F3794F" w:rsidRPr="00BC3571">
              <w:rPr>
                <w:rFonts w:ascii="Times New Roman" w:hAnsi="Times New Roman" w:cs="Times New Roman"/>
                <w:bCs/>
                <w:i/>
                <w:iCs/>
                <w:sz w:val="26"/>
                <w:szCs w:val="26"/>
              </w:rPr>
              <w:t>hồ sơ kèm theo</w:t>
            </w:r>
            <w:r w:rsidRPr="00BC3571">
              <w:rPr>
                <w:rFonts w:ascii="Times New Roman" w:hAnsi="Times New Roman" w:cs="Times New Roman"/>
                <w:bCs/>
                <w:i/>
                <w:iCs/>
                <w:sz w:val="26"/>
                <w:szCs w:val="26"/>
              </w:rPr>
              <w:t xml:space="preserve"> sau khi đã được yêu cầu </w:t>
            </w:r>
            <w:r w:rsidR="00F3794F" w:rsidRPr="00BC3571">
              <w:rPr>
                <w:rFonts w:ascii="Times New Roman" w:hAnsi="Times New Roman" w:cs="Times New Roman"/>
                <w:bCs/>
                <w:i/>
                <w:iCs/>
                <w:sz w:val="26"/>
                <w:szCs w:val="26"/>
              </w:rPr>
              <w:t xml:space="preserve">bổ sung </w:t>
            </w:r>
            <w:r w:rsidRPr="00BC3571">
              <w:rPr>
                <w:rFonts w:ascii="Times New Roman" w:hAnsi="Times New Roman" w:cs="Times New Roman"/>
                <w:bCs/>
                <w:i/>
                <w:iCs/>
                <w:sz w:val="26"/>
                <w:szCs w:val="26"/>
              </w:rPr>
              <w:t>làm rõ.</w:t>
            </w:r>
          </w:p>
        </w:tc>
      </w:tr>
      <w:tr w:rsidR="00E776F5" w:rsidRPr="00BC3571" w14:paraId="63E0EA9C" w14:textId="77777777" w:rsidTr="00F3794F">
        <w:tc>
          <w:tcPr>
            <w:tcW w:w="542" w:type="dxa"/>
            <w:vAlign w:val="center"/>
          </w:tcPr>
          <w:p w14:paraId="4747B27D" w14:textId="77777777" w:rsidR="00E776F5" w:rsidRPr="00BC3571" w:rsidRDefault="00E776F5" w:rsidP="00A63A0C">
            <w:pPr>
              <w:spacing w:before="60" w:after="60"/>
              <w:ind w:left="-66" w:right="-250" w:hanging="160"/>
              <w:jc w:val="center"/>
              <w:rPr>
                <w:rFonts w:ascii="Times New Roman" w:hAnsi="Times New Roman" w:cs="Times New Roman"/>
                <w:sz w:val="26"/>
                <w:szCs w:val="26"/>
              </w:rPr>
            </w:pPr>
            <w:r w:rsidRPr="00BC3571">
              <w:rPr>
                <w:rFonts w:ascii="Times New Roman" w:hAnsi="Times New Roman" w:cs="Times New Roman"/>
                <w:bCs/>
                <w:sz w:val="26"/>
                <w:szCs w:val="26"/>
              </w:rPr>
              <w:t>2</w:t>
            </w:r>
          </w:p>
        </w:tc>
        <w:tc>
          <w:tcPr>
            <w:tcW w:w="2322" w:type="dxa"/>
            <w:vAlign w:val="center"/>
          </w:tcPr>
          <w:p w14:paraId="2497397B" w14:textId="323B76B9" w:rsidR="00E776F5" w:rsidRPr="00BC3571" w:rsidRDefault="00E776F5" w:rsidP="00A63A0C">
            <w:pPr>
              <w:spacing w:before="60" w:after="60"/>
              <w:jc w:val="both"/>
              <w:rPr>
                <w:rFonts w:ascii="Times New Roman" w:eastAsia="Times New Roman" w:hAnsi="Times New Roman" w:cs="Times New Roman"/>
                <w:bCs/>
                <w:sz w:val="26"/>
                <w:szCs w:val="26"/>
                <w:lang w:val="nl-NL"/>
              </w:rPr>
            </w:pPr>
            <w:r w:rsidRPr="00BC3571">
              <w:rPr>
                <w:rFonts w:ascii="Times New Roman" w:eastAsia="Times New Roman" w:hAnsi="Times New Roman" w:cs="Times New Roman"/>
                <w:bCs/>
                <w:sz w:val="26"/>
                <w:szCs w:val="26"/>
                <w:lang w:val="nl-NL"/>
              </w:rPr>
              <w:t>Giải pháp và phương pháp luận</w:t>
            </w:r>
          </w:p>
        </w:tc>
        <w:tc>
          <w:tcPr>
            <w:tcW w:w="2410" w:type="dxa"/>
          </w:tcPr>
          <w:p w14:paraId="5884F5E1" w14:textId="77777777" w:rsidR="00E776F5" w:rsidRPr="00BC3571" w:rsidRDefault="00E776F5" w:rsidP="00A63A0C">
            <w:pPr>
              <w:widowControl w:val="0"/>
              <w:spacing w:before="60" w:after="60" w:line="264" w:lineRule="auto"/>
              <w:ind w:right="21"/>
              <w:jc w:val="both"/>
              <w:rPr>
                <w:rFonts w:ascii="Times New Roman" w:hAnsi="Times New Roman" w:cs="Times New Roman"/>
                <w:color w:val="000000"/>
                <w:sz w:val="26"/>
                <w:szCs w:val="26"/>
              </w:rPr>
            </w:pPr>
            <w:r w:rsidRPr="00BC3571">
              <w:rPr>
                <w:rFonts w:ascii="Times New Roman" w:hAnsi="Times New Roman" w:cs="Times New Roman"/>
                <w:color w:val="000000"/>
                <w:sz w:val="26"/>
                <w:szCs w:val="26"/>
              </w:rPr>
              <w:t>- Có giải pháp, phương pháp thực hiện khả thi, hợp lý.</w:t>
            </w:r>
          </w:p>
          <w:p w14:paraId="7FD99C8A" w14:textId="77777777" w:rsidR="00E776F5" w:rsidRPr="00BC3571" w:rsidRDefault="00E776F5" w:rsidP="00A63A0C">
            <w:pPr>
              <w:spacing w:before="60" w:after="60"/>
              <w:ind w:left="40" w:right="-1"/>
              <w:jc w:val="both"/>
              <w:rPr>
                <w:rFonts w:ascii="Times New Roman" w:hAnsi="Times New Roman" w:cs="Times New Roman"/>
                <w:sz w:val="26"/>
                <w:szCs w:val="26"/>
              </w:rPr>
            </w:pPr>
            <w:r w:rsidRPr="00BC3571">
              <w:rPr>
                <w:rFonts w:ascii="Times New Roman" w:hAnsi="Times New Roman" w:cs="Times New Roman"/>
                <w:color w:val="000000"/>
                <w:sz w:val="26"/>
                <w:szCs w:val="26"/>
              </w:rPr>
              <w:t>₋ Có kế hoạch công tác, tiến độ thực hiện đáp ứng yêu cầu HSMT.</w:t>
            </w:r>
          </w:p>
        </w:tc>
        <w:tc>
          <w:tcPr>
            <w:tcW w:w="3798" w:type="dxa"/>
          </w:tcPr>
          <w:p w14:paraId="5A57583C" w14:textId="77777777" w:rsidR="00E776F5" w:rsidRPr="00BC3571" w:rsidRDefault="00E776F5" w:rsidP="00A63A0C">
            <w:pPr>
              <w:spacing w:before="60" w:after="60"/>
              <w:ind w:left="40"/>
              <w:jc w:val="both"/>
              <w:rPr>
                <w:rFonts w:ascii="Times New Roman" w:hAnsi="Times New Roman" w:cs="Times New Roman"/>
                <w:sz w:val="26"/>
                <w:szCs w:val="26"/>
              </w:rPr>
            </w:pPr>
            <w:r w:rsidRPr="00BC3571">
              <w:rPr>
                <w:rFonts w:ascii="Times New Roman" w:eastAsia="Times New Roman" w:hAnsi="Times New Roman" w:cs="Times New Roman"/>
                <w:bCs/>
                <w:sz w:val="26"/>
                <w:szCs w:val="26"/>
                <w:lang w:val="pt-BR"/>
              </w:rPr>
              <w:t>Không thuộc trường hợp đánh giá “Đạt”</w:t>
            </w:r>
          </w:p>
        </w:tc>
      </w:tr>
      <w:tr w:rsidR="00E776F5" w:rsidRPr="00BC3571" w14:paraId="5D0D2E5F" w14:textId="77777777" w:rsidTr="00F3794F">
        <w:tc>
          <w:tcPr>
            <w:tcW w:w="542" w:type="dxa"/>
            <w:vAlign w:val="center"/>
          </w:tcPr>
          <w:p w14:paraId="69ADE484" w14:textId="77777777" w:rsidR="00E776F5" w:rsidRPr="00BC3571" w:rsidRDefault="00E776F5" w:rsidP="00A63A0C">
            <w:pPr>
              <w:spacing w:before="60" w:after="60"/>
              <w:ind w:left="-66" w:right="-250" w:hanging="160"/>
              <w:jc w:val="center"/>
              <w:rPr>
                <w:rFonts w:ascii="Times New Roman" w:hAnsi="Times New Roman" w:cs="Times New Roman"/>
                <w:sz w:val="26"/>
                <w:szCs w:val="26"/>
              </w:rPr>
            </w:pPr>
            <w:r w:rsidRPr="00BC3571">
              <w:rPr>
                <w:rFonts w:ascii="Times New Roman" w:hAnsi="Times New Roman" w:cs="Times New Roman"/>
                <w:bCs/>
                <w:sz w:val="26"/>
                <w:szCs w:val="26"/>
              </w:rPr>
              <w:t>3</w:t>
            </w:r>
          </w:p>
        </w:tc>
        <w:tc>
          <w:tcPr>
            <w:tcW w:w="2322" w:type="dxa"/>
            <w:vAlign w:val="center"/>
          </w:tcPr>
          <w:p w14:paraId="4F2480CE" w14:textId="77777777" w:rsidR="00E776F5" w:rsidRPr="00BC3571" w:rsidRDefault="00E776F5" w:rsidP="00A63A0C">
            <w:pPr>
              <w:spacing w:before="60" w:after="60"/>
              <w:jc w:val="both"/>
              <w:rPr>
                <w:rFonts w:ascii="Times New Roman" w:eastAsia="Times New Roman" w:hAnsi="Times New Roman" w:cs="Times New Roman"/>
                <w:bCs/>
                <w:sz w:val="26"/>
                <w:szCs w:val="26"/>
                <w:lang w:val="nl-NL"/>
              </w:rPr>
            </w:pPr>
            <w:r w:rsidRPr="00BC3571">
              <w:rPr>
                <w:rFonts w:ascii="Times New Roman" w:hAnsi="Times New Roman" w:cs="Times New Roman"/>
                <w:i/>
                <w:iCs/>
                <w:sz w:val="26"/>
                <w:szCs w:val="26"/>
              </w:rPr>
              <w:t>Các điều kiện thương mại</w:t>
            </w:r>
          </w:p>
        </w:tc>
        <w:tc>
          <w:tcPr>
            <w:tcW w:w="2410" w:type="dxa"/>
            <w:vAlign w:val="center"/>
          </w:tcPr>
          <w:p w14:paraId="466E4B68" w14:textId="77777777" w:rsidR="00E776F5" w:rsidRPr="00BC3571" w:rsidRDefault="00E776F5" w:rsidP="00A63A0C">
            <w:pPr>
              <w:spacing w:before="60" w:after="60"/>
              <w:ind w:left="40" w:right="-1"/>
              <w:jc w:val="both"/>
              <w:rPr>
                <w:rFonts w:ascii="Times New Roman" w:hAnsi="Times New Roman" w:cs="Times New Roman"/>
                <w:sz w:val="26"/>
                <w:szCs w:val="26"/>
              </w:rPr>
            </w:pPr>
            <w:r w:rsidRPr="00BC3571">
              <w:rPr>
                <w:rFonts w:ascii="Times New Roman" w:hAnsi="Times New Roman" w:cs="Times New Roman"/>
                <w:i/>
                <w:iCs/>
                <w:sz w:val="26"/>
                <w:szCs w:val="26"/>
              </w:rPr>
              <w:t>Không có những đề xuất khác biệt so với yêu cầu nêu trong ĐKC và ĐKCT của hợp đồng trong E-HSMT về điều kiện thanh toán, thời gian giao h</w:t>
            </w:r>
            <w:r w:rsidRPr="00BC3571">
              <w:rPr>
                <w:rFonts w:ascii="Times New Roman" w:hAnsi="Times New Roman" w:cs="Times New Roman"/>
                <w:i/>
                <w:iCs/>
                <w:sz w:val="26"/>
                <w:szCs w:val="26"/>
                <w:lang w:val="vi-VN"/>
              </w:rPr>
              <w:t>à</w:t>
            </w:r>
            <w:r w:rsidRPr="00BC3571">
              <w:rPr>
                <w:rFonts w:ascii="Times New Roman" w:hAnsi="Times New Roman" w:cs="Times New Roman"/>
                <w:i/>
                <w:iCs/>
                <w:sz w:val="26"/>
                <w:szCs w:val="26"/>
              </w:rPr>
              <w:t>ng</w:t>
            </w:r>
            <w:r w:rsidRPr="00BC3571">
              <w:rPr>
                <w:rFonts w:ascii="Times New Roman" w:hAnsi="Times New Roman" w:cs="Times New Roman"/>
                <w:i/>
                <w:iCs/>
                <w:sz w:val="26"/>
                <w:szCs w:val="26"/>
                <w:lang w:val="vi-VN"/>
              </w:rPr>
              <w:t>, thời gian thực hiện dịch vụ</w:t>
            </w:r>
            <w:r w:rsidRPr="00BC3571">
              <w:rPr>
                <w:rFonts w:ascii="Times New Roman" w:hAnsi="Times New Roman" w:cs="Times New Roman"/>
                <w:i/>
                <w:iCs/>
                <w:sz w:val="26"/>
                <w:szCs w:val="26"/>
              </w:rPr>
              <w:t xml:space="preserve"> (chi tiết như quy định tại Chương V của E-HSMT), các yêu cầu về bảo hành, </w:t>
            </w:r>
            <w:r w:rsidRPr="00BC3571">
              <w:rPr>
                <w:rFonts w:ascii="Times New Roman" w:hAnsi="Times New Roman" w:cs="Times New Roman"/>
                <w:i/>
                <w:iCs/>
                <w:sz w:val="26"/>
                <w:szCs w:val="26"/>
              </w:rPr>
              <w:lastRenderedPageBreak/>
              <w:t xml:space="preserve">phạt do vi phạm hợp đồng hoặc các điều kiện khác gây hạn chế đối với quyền hạn và lợi ích của Chủ đầu tư.   </w:t>
            </w:r>
          </w:p>
        </w:tc>
        <w:tc>
          <w:tcPr>
            <w:tcW w:w="3798" w:type="dxa"/>
            <w:vAlign w:val="center"/>
          </w:tcPr>
          <w:p w14:paraId="104FB631" w14:textId="77777777" w:rsidR="00E776F5" w:rsidRPr="00BC3571" w:rsidRDefault="00E776F5" w:rsidP="00A63A0C">
            <w:pPr>
              <w:spacing w:before="60" w:after="60"/>
              <w:ind w:left="40"/>
              <w:jc w:val="both"/>
              <w:rPr>
                <w:rFonts w:ascii="Times New Roman" w:hAnsi="Times New Roman" w:cs="Times New Roman"/>
                <w:sz w:val="26"/>
                <w:szCs w:val="26"/>
              </w:rPr>
            </w:pPr>
            <w:r w:rsidRPr="00BC3571">
              <w:rPr>
                <w:rFonts w:ascii="Times New Roman" w:hAnsi="Times New Roman" w:cs="Times New Roman"/>
                <w:i/>
                <w:iCs/>
                <w:spacing w:val="-2"/>
                <w:sz w:val="26"/>
                <w:szCs w:val="26"/>
              </w:rPr>
              <w:lastRenderedPageBreak/>
              <w:t>Có những đề xuất khác biệt so với yêu cầu nêu trong ĐKC và ĐKCT của hợp đồng trong E-HSMT về điều kiện thanh toán, thời gian giao hàng</w:t>
            </w:r>
            <w:r w:rsidRPr="00BC3571">
              <w:rPr>
                <w:rFonts w:ascii="Times New Roman" w:hAnsi="Times New Roman" w:cs="Times New Roman"/>
                <w:i/>
                <w:iCs/>
                <w:spacing w:val="-2"/>
                <w:sz w:val="26"/>
                <w:szCs w:val="26"/>
                <w:lang w:val="vi-VN"/>
              </w:rPr>
              <w:t xml:space="preserve">, thời gian thực hiện dịch vụ </w:t>
            </w:r>
            <w:r w:rsidRPr="00BC3571">
              <w:rPr>
                <w:rFonts w:ascii="Times New Roman" w:hAnsi="Times New Roman" w:cs="Times New Roman"/>
                <w:i/>
                <w:iCs/>
                <w:spacing w:val="-2"/>
                <w:sz w:val="26"/>
                <w:szCs w:val="26"/>
              </w:rPr>
              <w:t xml:space="preserve">(chi tiết như quy định tại Chương V của E-HSMT), các yêu cầu về bảo hành, phạt do vi phạm hợp đồng hoặc các điều kiện khác gây hạn chế đối với quyền hạn và lợi ích của Chủ đầu tư.   </w:t>
            </w:r>
          </w:p>
        </w:tc>
      </w:tr>
      <w:tr w:rsidR="00BC1A0F" w:rsidRPr="00BC3571" w14:paraId="5500D779" w14:textId="77777777" w:rsidTr="00F3794F">
        <w:tc>
          <w:tcPr>
            <w:tcW w:w="542" w:type="dxa"/>
            <w:vAlign w:val="center"/>
          </w:tcPr>
          <w:p w14:paraId="0CECF6F1" w14:textId="77777777" w:rsidR="00BC1A0F" w:rsidRPr="00BC3571" w:rsidRDefault="00BC1A0F" w:rsidP="00BC1A0F">
            <w:pPr>
              <w:spacing w:before="60" w:after="60"/>
              <w:ind w:left="-66" w:right="-250" w:hanging="160"/>
              <w:jc w:val="center"/>
              <w:rPr>
                <w:rFonts w:ascii="Times New Roman" w:hAnsi="Times New Roman" w:cs="Times New Roman"/>
                <w:bCs/>
                <w:sz w:val="26"/>
                <w:szCs w:val="26"/>
              </w:rPr>
            </w:pPr>
          </w:p>
        </w:tc>
        <w:tc>
          <w:tcPr>
            <w:tcW w:w="2322" w:type="dxa"/>
            <w:vAlign w:val="center"/>
          </w:tcPr>
          <w:p w14:paraId="79CA382A" w14:textId="1830B38C" w:rsidR="00BC1A0F" w:rsidRPr="00BC3571" w:rsidRDefault="00BC1A0F" w:rsidP="00BC1A0F">
            <w:pPr>
              <w:spacing w:before="60" w:after="60"/>
              <w:jc w:val="both"/>
              <w:rPr>
                <w:rFonts w:ascii="Times New Roman" w:eastAsia="Times New Roman" w:hAnsi="Times New Roman" w:cs="Times New Roman"/>
                <w:bCs/>
                <w:sz w:val="26"/>
                <w:szCs w:val="26"/>
                <w:lang w:val="nl-NL"/>
              </w:rPr>
            </w:pPr>
            <w:r w:rsidRPr="00BC3571">
              <w:rPr>
                <w:rFonts w:ascii="Times New Roman" w:hAnsi="Times New Roman" w:cs="Times New Roman"/>
                <w:b/>
                <w:color w:val="000000"/>
                <w:sz w:val="26"/>
                <w:szCs w:val="26"/>
              </w:rPr>
              <w:t>Tổng hợp đánh giá tiêu chuẩn kỹ thuật</w:t>
            </w:r>
          </w:p>
        </w:tc>
        <w:tc>
          <w:tcPr>
            <w:tcW w:w="2410" w:type="dxa"/>
            <w:vAlign w:val="center"/>
          </w:tcPr>
          <w:p w14:paraId="5DD9A170" w14:textId="0204B75F" w:rsidR="00BC1A0F" w:rsidRPr="00BC3571" w:rsidRDefault="00E776F5" w:rsidP="00BC1A0F">
            <w:pPr>
              <w:widowControl w:val="0"/>
              <w:spacing w:before="60" w:after="60" w:line="264" w:lineRule="auto"/>
              <w:ind w:right="21"/>
              <w:jc w:val="both"/>
              <w:rPr>
                <w:rFonts w:ascii="Times New Roman" w:hAnsi="Times New Roman" w:cs="Times New Roman"/>
                <w:color w:val="000000"/>
                <w:sz w:val="26"/>
                <w:szCs w:val="26"/>
              </w:rPr>
            </w:pPr>
            <w:r w:rsidRPr="00BC3571">
              <w:rPr>
                <w:rFonts w:ascii="Times New Roman" w:hAnsi="Times New Roman" w:cs="Times New Roman"/>
                <w:color w:val="000000"/>
                <w:sz w:val="26"/>
                <w:szCs w:val="26"/>
              </w:rPr>
              <w:t>Tất cả c</w:t>
            </w:r>
            <w:r w:rsidR="00BC1A0F" w:rsidRPr="00BC3571">
              <w:rPr>
                <w:rFonts w:ascii="Times New Roman" w:hAnsi="Times New Roman" w:cs="Times New Roman"/>
                <w:color w:val="000000"/>
                <w:sz w:val="26"/>
                <w:szCs w:val="26"/>
              </w:rPr>
              <w:t>ác tiêu chí 1, 2, 3</w:t>
            </w:r>
            <w:r w:rsidR="00A8452F" w:rsidRPr="00BC3571">
              <w:rPr>
                <w:rFonts w:ascii="Times New Roman" w:hAnsi="Times New Roman" w:cs="Times New Roman"/>
                <w:color w:val="000000"/>
                <w:sz w:val="26"/>
                <w:szCs w:val="26"/>
              </w:rPr>
              <w:t xml:space="preserve"> </w:t>
            </w:r>
            <w:r w:rsidR="00BC1A0F" w:rsidRPr="00BC3571">
              <w:rPr>
                <w:rFonts w:ascii="Times New Roman" w:hAnsi="Times New Roman" w:cs="Times New Roman"/>
                <w:color w:val="000000"/>
                <w:sz w:val="26"/>
                <w:szCs w:val="26"/>
              </w:rPr>
              <w:t>được đánh giá là Đạt</w:t>
            </w:r>
          </w:p>
        </w:tc>
        <w:tc>
          <w:tcPr>
            <w:tcW w:w="3798" w:type="dxa"/>
            <w:vAlign w:val="center"/>
          </w:tcPr>
          <w:p w14:paraId="01131B09" w14:textId="76C3E7F2" w:rsidR="00BC1A0F" w:rsidRPr="00BC3571" w:rsidRDefault="00BC1A0F" w:rsidP="00BC1A0F">
            <w:pPr>
              <w:spacing w:before="60" w:after="60"/>
              <w:ind w:left="40"/>
              <w:jc w:val="both"/>
              <w:rPr>
                <w:rFonts w:ascii="Times New Roman" w:eastAsia="Times New Roman" w:hAnsi="Times New Roman" w:cs="Times New Roman"/>
                <w:bCs/>
                <w:sz w:val="26"/>
                <w:szCs w:val="26"/>
                <w:lang w:val="pt-BR"/>
              </w:rPr>
            </w:pPr>
            <w:r w:rsidRPr="00BC3571">
              <w:rPr>
                <w:rFonts w:ascii="Times New Roman" w:eastAsia="Times New Roman" w:hAnsi="Times New Roman" w:cs="Times New Roman"/>
                <w:bCs/>
                <w:sz w:val="26"/>
                <w:szCs w:val="26"/>
                <w:lang w:val="pt-BR"/>
              </w:rPr>
              <w:t>Không thuộc trường hợp đánh giá “Đạt”</w:t>
            </w:r>
          </w:p>
        </w:tc>
      </w:tr>
    </w:tbl>
    <w:bookmarkEnd w:id="0"/>
    <w:p w14:paraId="293AF550" w14:textId="77777777" w:rsidR="003B6217" w:rsidRPr="00BC3571" w:rsidRDefault="003B6217" w:rsidP="003B6217">
      <w:pPr>
        <w:rPr>
          <w:rFonts w:ascii="Times New Roman" w:hAnsi="Times New Roman" w:cs="Times New Roman"/>
          <w:b/>
          <w:i/>
          <w:sz w:val="26"/>
          <w:szCs w:val="26"/>
          <w:u w:val="single"/>
        </w:rPr>
      </w:pPr>
      <w:r w:rsidRPr="00BC3571">
        <w:rPr>
          <w:rFonts w:ascii="Times New Roman" w:hAnsi="Times New Roman" w:cs="Times New Roman"/>
          <w:b/>
          <w:i/>
          <w:sz w:val="26"/>
          <w:szCs w:val="26"/>
          <w:u w:val="single"/>
        </w:rPr>
        <w:t>Ghi chú:</w:t>
      </w:r>
    </w:p>
    <w:p w14:paraId="55E1B7AE" w14:textId="4909CDF5" w:rsidR="003B6217" w:rsidRPr="00BC3571" w:rsidRDefault="003B6217" w:rsidP="003B6217">
      <w:pPr>
        <w:pStyle w:val="ListParagraph"/>
        <w:numPr>
          <w:ilvl w:val="0"/>
          <w:numId w:val="11"/>
        </w:numPr>
        <w:tabs>
          <w:tab w:val="left" w:pos="720"/>
        </w:tabs>
        <w:suppressAutoHyphens/>
        <w:ind w:left="0" w:firstLine="426"/>
        <w:rPr>
          <w:b/>
          <w:bCs/>
          <w:sz w:val="26"/>
          <w:szCs w:val="26"/>
          <w:lang w:val="es-ES"/>
        </w:rPr>
      </w:pPr>
      <w:r w:rsidRPr="00BC3571">
        <w:rPr>
          <w:b/>
          <w:bCs/>
          <w:sz w:val="26"/>
          <w:szCs w:val="26"/>
          <w:lang w:val="es-ES"/>
        </w:rPr>
        <w:t xml:space="preserve">Trong trường hợp cần thiết, </w:t>
      </w:r>
      <w:r w:rsidR="00064F67">
        <w:rPr>
          <w:b/>
          <w:bCs/>
          <w:sz w:val="26"/>
          <w:szCs w:val="26"/>
          <w:lang w:val="es-ES"/>
        </w:rPr>
        <w:t>Chủ đầu tư</w:t>
      </w:r>
      <w:r w:rsidRPr="00BC3571">
        <w:rPr>
          <w:b/>
          <w:bCs/>
          <w:sz w:val="26"/>
          <w:szCs w:val="26"/>
          <w:lang w:val="es-ES"/>
        </w:rPr>
        <w:t xml:space="preserve"> sẽ tiến hành kiểm chứng hồ sơ, tài liệu của nhà sản xuất công bố được nhà thầu đính kèm trong E-HSDT. Kết quả kiểm chứng là cơ sở để đánh giá tính đáp ứng của E-HSDT so với các yêu cầu của E-HSMT. </w:t>
      </w:r>
    </w:p>
    <w:p w14:paraId="4F508233" w14:textId="5E014781" w:rsidR="003B6217" w:rsidRPr="00BC3571" w:rsidRDefault="003B6217" w:rsidP="003B6217">
      <w:pPr>
        <w:pStyle w:val="ListParagraph"/>
        <w:numPr>
          <w:ilvl w:val="0"/>
          <w:numId w:val="11"/>
        </w:numPr>
        <w:tabs>
          <w:tab w:val="left" w:pos="720"/>
        </w:tabs>
        <w:suppressAutoHyphens/>
        <w:ind w:left="0" w:firstLine="426"/>
        <w:rPr>
          <w:b/>
          <w:bCs/>
          <w:sz w:val="26"/>
          <w:szCs w:val="26"/>
          <w:lang w:val="es-ES"/>
        </w:rPr>
      </w:pPr>
      <w:r w:rsidRPr="00BC3571">
        <w:rPr>
          <w:b/>
          <w:bCs/>
          <w:sz w:val="26"/>
          <w:szCs w:val="26"/>
          <w:lang w:val="es-ES"/>
        </w:rPr>
        <w:t xml:space="preserve">Trong trường hợp E-HSDT có những nội dung sai khác hoặc bỏ sót nội dung không cơ bản so với E-HSMT – phù hợp với điểm a và điểm b khoản 25.2 điều 25 chương I thuộc E-HSMT, </w:t>
      </w:r>
      <w:r w:rsidR="00064F67">
        <w:rPr>
          <w:b/>
          <w:bCs/>
          <w:sz w:val="26"/>
          <w:szCs w:val="26"/>
          <w:lang w:val="es-ES"/>
        </w:rPr>
        <w:t>Chủ đầu tư</w:t>
      </w:r>
      <w:r w:rsidRPr="00BC3571">
        <w:rPr>
          <w:b/>
          <w:bCs/>
          <w:sz w:val="26"/>
          <w:szCs w:val="26"/>
          <w:lang w:val="es-ES"/>
        </w:rPr>
        <w:t xml:space="preserve"> sẽ thực hiện làm rõ E-HSDT phù hợp với khoản 23.1 điều 23 chương I thuộc E-HSMT:</w:t>
      </w:r>
    </w:p>
    <w:p w14:paraId="5E9FBF42" w14:textId="777CB006" w:rsidR="003B6217" w:rsidRPr="00BC3571" w:rsidRDefault="003B6217" w:rsidP="003B6217">
      <w:pPr>
        <w:tabs>
          <w:tab w:val="left" w:pos="720"/>
        </w:tabs>
        <w:suppressAutoHyphens/>
        <w:ind w:firstLine="851"/>
        <w:jc w:val="both"/>
        <w:rPr>
          <w:rFonts w:ascii="Times New Roman" w:hAnsi="Times New Roman" w:cs="Times New Roman"/>
          <w:b/>
          <w:bCs/>
          <w:i/>
          <w:iCs/>
          <w:sz w:val="26"/>
          <w:szCs w:val="26"/>
          <w:lang w:val="es-ES"/>
        </w:rPr>
      </w:pPr>
      <w:r w:rsidRPr="00BC3571">
        <w:rPr>
          <w:rFonts w:ascii="Times New Roman" w:hAnsi="Times New Roman" w:cs="Times New Roman"/>
          <w:b/>
          <w:bCs/>
          <w:i/>
          <w:iCs/>
          <w:sz w:val="26"/>
          <w:szCs w:val="26"/>
          <w:lang w:val="es-ES"/>
        </w:rPr>
        <w:t xml:space="preserve">i) Trường hợp có sự sai khác thông tin giữa các tài liệu do Nhà thầu tuyên bố (là các tài liệu do chính Nhà thầu lập và nộp trong E-HSDT, bao gồm: Bảng thông số kỹ thuật chào thầu; Các bản vẽ, mô tả chỉ dẫn kỹ thuật liên quan; Liệt kê chi tiết VTTB (nếu có)) thì </w:t>
      </w:r>
      <w:r w:rsidR="00064F67">
        <w:rPr>
          <w:rFonts w:ascii="Times New Roman" w:hAnsi="Times New Roman" w:cs="Times New Roman"/>
          <w:b/>
          <w:bCs/>
          <w:i/>
          <w:iCs/>
          <w:sz w:val="26"/>
          <w:szCs w:val="26"/>
          <w:lang w:val="es-ES"/>
        </w:rPr>
        <w:t>Chủ đầu tư</w:t>
      </w:r>
      <w:r w:rsidRPr="00BC3571">
        <w:rPr>
          <w:rFonts w:ascii="Times New Roman" w:hAnsi="Times New Roman" w:cs="Times New Roman"/>
          <w:b/>
          <w:bCs/>
          <w:i/>
          <w:iCs/>
          <w:sz w:val="26"/>
          <w:szCs w:val="26"/>
          <w:lang w:val="es-ES"/>
        </w:rPr>
        <w:t xml:space="preserve"> sẽ tiến hành làm rõ để đánh giá E-HSDT. </w:t>
      </w:r>
    </w:p>
    <w:p w14:paraId="317933EC" w14:textId="04B854D2" w:rsidR="003B6217" w:rsidRPr="00BC3571" w:rsidRDefault="003B6217" w:rsidP="003B6217">
      <w:pPr>
        <w:tabs>
          <w:tab w:val="left" w:pos="720"/>
        </w:tabs>
        <w:suppressAutoHyphens/>
        <w:ind w:firstLine="851"/>
        <w:jc w:val="both"/>
        <w:rPr>
          <w:rFonts w:ascii="Times New Roman" w:hAnsi="Times New Roman" w:cs="Times New Roman"/>
          <w:b/>
          <w:bCs/>
          <w:i/>
          <w:iCs/>
          <w:sz w:val="26"/>
          <w:szCs w:val="26"/>
          <w:lang w:val="es-ES"/>
        </w:rPr>
      </w:pPr>
      <w:r w:rsidRPr="00BC3571">
        <w:rPr>
          <w:rFonts w:ascii="Times New Roman" w:hAnsi="Times New Roman" w:cs="Times New Roman"/>
          <w:b/>
          <w:bCs/>
          <w:i/>
          <w:iCs/>
          <w:sz w:val="26"/>
          <w:szCs w:val="26"/>
          <w:lang w:val="es-ES"/>
        </w:rPr>
        <w:t xml:space="preserve">ii) Trường hợp trong các tài liệu do Nhà sản xuất công bố (catalogue, hướng dẫn vận hành) có thông số kỹ thuật, giải pháp kỹ thuật khác với tuyên bố của Nhà thầu và không đáp ứng yêu cầu của E-HSMT thì </w:t>
      </w:r>
      <w:r w:rsidR="00064F67">
        <w:rPr>
          <w:rFonts w:ascii="Times New Roman" w:hAnsi="Times New Roman" w:cs="Times New Roman"/>
          <w:b/>
          <w:bCs/>
          <w:i/>
          <w:iCs/>
          <w:sz w:val="26"/>
          <w:szCs w:val="26"/>
          <w:lang w:val="es-ES"/>
        </w:rPr>
        <w:t>Chủ đầu tư</w:t>
      </w:r>
      <w:r w:rsidRPr="00BC3571">
        <w:rPr>
          <w:rFonts w:ascii="Times New Roman" w:hAnsi="Times New Roman" w:cs="Times New Roman"/>
          <w:b/>
          <w:bCs/>
          <w:i/>
          <w:iCs/>
          <w:sz w:val="26"/>
          <w:szCs w:val="26"/>
          <w:lang w:val="es-ES"/>
        </w:rPr>
        <w:t xml:space="preserve"> sẽ tiến hành làm rõ. Trong trường hợp này, khi làm rõ thì Nhà thầu phải bổ sung các tài liệu hợp lệ của Nhà sản xuất để giải thích, chứng minh các nội dung sai khác này, làm cơ sở để </w:t>
      </w:r>
      <w:r w:rsidR="00064F67">
        <w:rPr>
          <w:rFonts w:ascii="Times New Roman" w:hAnsi="Times New Roman" w:cs="Times New Roman"/>
          <w:b/>
          <w:bCs/>
          <w:i/>
          <w:iCs/>
          <w:sz w:val="26"/>
          <w:szCs w:val="26"/>
          <w:lang w:val="es-ES"/>
        </w:rPr>
        <w:t>Chủ đầu tư</w:t>
      </w:r>
      <w:r w:rsidRPr="00BC3571">
        <w:rPr>
          <w:rFonts w:ascii="Times New Roman" w:hAnsi="Times New Roman" w:cs="Times New Roman"/>
          <w:b/>
          <w:bCs/>
          <w:i/>
          <w:iCs/>
          <w:sz w:val="26"/>
          <w:szCs w:val="26"/>
          <w:lang w:val="es-ES"/>
        </w:rPr>
        <w:t xml:space="preserve"> đánh giá E-HSDT. Trường hợp khi làm rõ mà Nhà thầu không bổ sung được các tài liệu hợp lệ của Nhà sản xuất giải thích, chứng minh nội dung sai khác thì </w:t>
      </w:r>
      <w:r w:rsidR="00064F67">
        <w:rPr>
          <w:rFonts w:ascii="Times New Roman" w:hAnsi="Times New Roman" w:cs="Times New Roman"/>
          <w:b/>
          <w:bCs/>
          <w:i/>
          <w:iCs/>
          <w:sz w:val="26"/>
          <w:szCs w:val="26"/>
          <w:lang w:val="es-ES"/>
        </w:rPr>
        <w:t>Chủ đầu tư</w:t>
      </w:r>
      <w:r w:rsidRPr="00BC3571">
        <w:rPr>
          <w:rFonts w:ascii="Times New Roman" w:hAnsi="Times New Roman" w:cs="Times New Roman"/>
          <w:b/>
          <w:bCs/>
          <w:i/>
          <w:iCs/>
          <w:sz w:val="26"/>
          <w:szCs w:val="26"/>
          <w:lang w:val="es-ES"/>
        </w:rPr>
        <w:t xml:space="preserve"> sẽ đánh giá E-HSDT của nhà thầu theo E-HSDT nộp trước thời điểm đóng thầu.</w:t>
      </w:r>
    </w:p>
    <w:p w14:paraId="79A19274" w14:textId="77777777" w:rsidR="00E776F5" w:rsidRPr="00BC3571" w:rsidRDefault="00E776F5" w:rsidP="009D783F">
      <w:pPr>
        <w:spacing w:before="60" w:after="60"/>
        <w:ind w:right="-239" w:firstLine="567"/>
        <w:jc w:val="both"/>
        <w:rPr>
          <w:rFonts w:ascii="Times New Roman" w:hAnsi="Times New Roman" w:cs="Times New Roman"/>
          <w:sz w:val="26"/>
          <w:szCs w:val="26"/>
          <w:lang w:val="vi-VN"/>
        </w:rPr>
      </w:pPr>
    </w:p>
    <w:sectPr w:rsidR="00E776F5" w:rsidRPr="00BC3571" w:rsidSect="001332E8">
      <w:pgSz w:w="11808" w:h="16834" w:code="9"/>
      <w:pgMar w:top="1134" w:right="1134" w:bottom="1134" w:left="169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CD41FA" w14:textId="77777777" w:rsidR="00F04972" w:rsidRDefault="00F04972" w:rsidP="00531BBF">
      <w:r>
        <w:separator/>
      </w:r>
    </w:p>
  </w:endnote>
  <w:endnote w:type="continuationSeparator" w:id="0">
    <w:p w14:paraId="6F138DD7" w14:textId="77777777" w:rsidR="00F04972" w:rsidRDefault="00F04972" w:rsidP="00531B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nTime">
    <w:altName w:val="Times New Roman"/>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94F014" w14:textId="77777777" w:rsidR="00F04972" w:rsidRDefault="00F04972" w:rsidP="00531BBF">
      <w:r>
        <w:separator/>
      </w:r>
    </w:p>
  </w:footnote>
  <w:footnote w:type="continuationSeparator" w:id="0">
    <w:p w14:paraId="38FACD88" w14:textId="77777777" w:rsidR="00F04972" w:rsidRDefault="00F04972" w:rsidP="00531B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CD7DA2"/>
    <w:multiLevelType w:val="hybridMultilevel"/>
    <w:tmpl w:val="9820A7F6"/>
    <w:lvl w:ilvl="0" w:tplc="DBBE98C0">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15:restartNumberingAfterBreak="0">
    <w:nsid w:val="1AF67D04"/>
    <w:multiLevelType w:val="hybridMultilevel"/>
    <w:tmpl w:val="615C7638"/>
    <w:lvl w:ilvl="0" w:tplc="86640B4C">
      <w:start w:val="1"/>
      <w:numFmt w:val="decimal"/>
      <w:lvlText w:val="%1."/>
      <w:lvlJc w:val="left"/>
      <w:pPr>
        <w:ind w:left="72"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D820BDA"/>
    <w:multiLevelType w:val="hybridMultilevel"/>
    <w:tmpl w:val="D93EB092"/>
    <w:lvl w:ilvl="0" w:tplc="3036F9AA">
      <w:start w:val="78"/>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1CC1BCD"/>
    <w:multiLevelType w:val="hybridMultilevel"/>
    <w:tmpl w:val="FAF63C1C"/>
    <w:lvl w:ilvl="0" w:tplc="1244FF40">
      <w:start w:val="1"/>
      <w:numFmt w:val="lowerLetter"/>
      <w:lvlText w:val="%1)"/>
      <w:lvlJc w:val="left"/>
      <w:pPr>
        <w:ind w:left="1069"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2F765E2"/>
    <w:multiLevelType w:val="hybridMultilevel"/>
    <w:tmpl w:val="1B004F60"/>
    <w:lvl w:ilvl="0" w:tplc="45C63B6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C081E3A"/>
    <w:multiLevelType w:val="hybridMultilevel"/>
    <w:tmpl w:val="B31CDC3A"/>
    <w:lvl w:ilvl="0" w:tplc="9C24B7F0">
      <w:start w:val="6"/>
      <w:numFmt w:val="bullet"/>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53BD48B5"/>
    <w:multiLevelType w:val="multilevel"/>
    <w:tmpl w:val="CBC4ACD6"/>
    <w:lvl w:ilvl="0">
      <w:start w:val="1"/>
      <w:numFmt w:val="decimal"/>
      <w:lvlText w:val="%1."/>
      <w:lvlJc w:val="left"/>
      <w:pPr>
        <w:ind w:left="1069" w:hanging="360"/>
      </w:pPr>
      <w:rPr>
        <w:rFonts w:hint="default"/>
        <w:i w:val="0"/>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7" w15:restartNumberingAfterBreak="0">
    <w:nsid w:val="5C044CCE"/>
    <w:multiLevelType w:val="hybridMultilevel"/>
    <w:tmpl w:val="54781504"/>
    <w:lvl w:ilvl="0" w:tplc="B1AA60A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 w15:restartNumberingAfterBreak="0">
    <w:nsid w:val="5D246674"/>
    <w:multiLevelType w:val="hybridMultilevel"/>
    <w:tmpl w:val="D3A26646"/>
    <w:lvl w:ilvl="0" w:tplc="FA2878C6">
      <w:start w:val="1"/>
      <w:numFmt w:val="bullet"/>
      <w:lvlText w:val="-"/>
      <w:lvlJc w:val="left"/>
      <w:pPr>
        <w:tabs>
          <w:tab w:val="num" w:pos="360"/>
        </w:tabs>
        <w:ind w:left="360" w:hanging="360"/>
      </w:pPr>
      <w:rPr>
        <w:rFonts w:ascii="Tahoma" w:hAnsi="Tahoma" w:hint="default"/>
      </w:rPr>
    </w:lvl>
    <w:lvl w:ilvl="1" w:tplc="04090019">
      <w:start w:val="1"/>
      <w:numFmt w:val="bullet"/>
      <w:lvlText w:val="-"/>
      <w:lvlJc w:val="left"/>
      <w:pPr>
        <w:tabs>
          <w:tab w:val="num" w:pos="1083"/>
        </w:tabs>
        <w:ind w:left="1083" w:hanging="363"/>
      </w:pPr>
      <w:rPr>
        <w:rFonts w:ascii="Times New Roman" w:hAnsi="Times New Roman" w:cs="Times New Roman" w:hint="default"/>
        <w:b w:val="0"/>
        <w:i w:val="0"/>
        <w:sz w:val="26"/>
        <w:szCs w:val="26"/>
      </w:rPr>
    </w:lvl>
    <w:lvl w:ilvl="2" w:tplc="F08E009A">
      <w:start w:val="1"/>
      <w:numFmt w:val="decimal"/>
      <w:lvlText w:val="%3."/>
      <w:lvlJc w:val="left"/>
      <w:pPr>
        <w:ind w:left="1980" w:hanging="360"/>
      </w:pPr>
      <w:rPr>
        <w:rFonts w:hint="default"/>
        <w:i w:val="0"/>
      </w:r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7CE76D72"/>
    <w:multiLevelType w:val="hybridMultilevel"/>
    <w:tmpl w:val="8A08C38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DA327D5"/>
    <w:multiLevelType w:val="hybridMultilevel"/>
    <w:tmpl w:val="1ACEDB48"/>
    <w:lvl w:ilvl="0" w:tplc="5B32028C">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36129513">
    <w:abstractNumId w:val="3"/>
  </w:num>
  <w:num w:numId="2" w16cid:durableId="783884462">
    <w:abstractNumId w:val="2"/>
  </w:num>
  <w:num w:numId="3" w16cid:durableId="1743722442">
    <w:abstractNumId w:val="10"/>
  </w:num>
  <w:num w:numId="4" w16cid:durableId="885407319">
    <w:abstractNumId w:val="0"/>
  </w:num>
  <w:num w:numId="5" w16cid:durableId="367222463">
    <w:abstractNumId w:val="4"/>
  </w:num>
  <w:num w:numId="6" w16cid:durableId="1255745228">
    <w:abstractNumId w:val="7"/>
  </w:num>
  <w:num w:numId="7" w16cid:durableId="360283462">
    <w:abstractNumId w:val="9"/>
  </w:num>
  <w:num w:numId="8" w16cid:durableId="613563706">
    <w:abstractNumId w:val="6"/>
  </w:num>
  <w:num w:numId="9" w16cid:durableId="695157355">
    <w:abstractNumId w:val="8"/>
  </w:num>
  <w:num w:numId="10" w16cid:durableId="233399446">
    <w:abstractNumId w:val="1"/>
  </w:num>
  <w:num w:numId="11" w16cid:durableId="19237611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7111"/>
    <w:rsid w:val="00020665"/>
    <w:rsid w:val="00047111"/>
    <w:rsid w:val="00053425"/>
    <w:rsid w:val="0006448C"/>
    <w:rsid w:val="00064F67"/>
    <w:rsid w:val="00080CFA"/>
    <w:rsid w:val="00090951"/>
    <w:rsid w:val="000A17B9"/>
    <w:rsid w:val="000B17FF"/>
    <w:rsid w:val="001332E8"/>
    <w:rsid w:val="00141552"/>
    <w:rsid w:val="001739CD"/>
    <w:rsid w:val="001A36C3"/>
    <w:rsid w:val="001A3FFA"/>
    <w:rsid w:val="00223771"/>
    <w:rsid w:val="00225FEC"/>
    <w:rsid w:val="00231459"/>
    <w:rsid w:val="0024370D"/>
    <w:rsid w:val="00251785"/>
    <w:rsid w:val="00253C70"/>
    <w:rsid w:val="002815D6"/>
    <w:rsid w:val="00293D80"/>
    <w:rsid w:val="002A5173"/>
    <w:rsid w:val="002B0CEE"/>
    <w:rsid w:val="002B371C"/>
    <w:rsid w:val="002C5C84"/>
    <w:rsid w:val="002D0134"/>
    <w:rsid w:val="00312ACB"/>
    <w:rsid w:val="00343CB7"/>
    <w:rsid w:val="0038261F"/>
    <w:rsid w:val="003B1742"/>
    <w:rsid w:val="003B6217"/>
    <w:rsid w:val="0041612D"/>
    <w:rsid w:val="00476112"/>
    <w:rsid w:val="00492FCC"/>
    <w:rsid w:val="00494BF4"/>
    <w:rsid w:val="004A42F1"/>
    <w:rsid w:val="004A5D91"/>
    <w:rsid w:val="004E6549"/>
    <w:rsid w:val="00531BBF"/>
    <w:rsid w:val="00532B54"/>
    <w:rsid w:val="00580A99"/>
    <w:rsid w:val="005876A6"/>
    <w:rsid w:val="005D780D"/>
    <w:rsid w:val="006021BE"/>
    <w:rsid w:val="00604051"/>
    <w:rsid w:val="006A0847"/>
    <w:rsid w:val="006D3742"/>
    <w:rsid w:val="006E0BC6"/>
    <w:rsid w:val="0070641F"/>
    <w:rsid w:val="007219DB"/>
    <w:rsid w:val="00724C85"/>
    <w:rsid w:val="00730D99"/>
    <w:rsid w:val="007417E0"/>
    <w:rsid w:val="00756F95"/>
    <w:rsid w:val="00771030"/>
    <w:rsid w:val="007718AE"/>
    <w:rsid w:val="007B4F6C"/>
    <w:rsid w:val="007B7D45"/>
    <w:rsid w:val="007D54E7"/>
    <w:rsid w:val="007E3613"/>
    <w:rsid w:val="007E3DE9"/>
    <w:rsid w:val="007F4066"/>
    <w:rsid w:val="008023BC"/>
    <w:rsid w:val="00810478"/>
    <w:rsid w:val="00837FEA"/>
    <w:rsid w:val="00862D1C"/>
    <w:rsid w:val="008A2F2D"/>
    <w:rsid w:val="008B4A88"/>
    <w:rsid w:val="008C6992"/>
    <w:rsid w:val="008E02AE"/>
    <w:rsid w:val="008E7348"/>
    <w:rsid w:val="00932443"/>
    <w:rsid w:val="00940C15"/>
    <w:rsid w:val="009D783F"/>
    <w:rsid w:val="00A21780"/>
    <w:rsid w:val="00A353BE"/>
    <w:rsid w:val="00A37B07"/>
    <w:rsid w:val="00A5626E"/>
    <w:rsid w:val="00A774FE"/>
    <w:rsid w:val="00A80BEF"/>
    <w:rsid w:val="00A8452F"/>
    <w:rsid w:val="00A91151"/>
    <w:rsid w:val="00AC1DEB"/>
    <w:rsid w:val="00AE06FC"/>
    <w:rsid w:val="00AE0BBB"/>
    <w:rsid w:val="00AE4A47"/>
    <w:rsid w:val="00B03935"/>
    <w:rsid w:val="00B37944"/>
    <w:rsid w:val="00BA6A71"/>
    <w:rsid w:val="00BC1A0F"/>
    <w:rsid w:val="00BC3571"/>
    <w:rsid w:val="00BE07D8"/>
    <w:rsid w:val="00BE135E"/>
    <w:rsid w:val="00BF7D15"/>
    <w:rsid w:val="00C11C07"/>
    <w:rsid w:val="00C15389"/>
    <w:rsid w:val="00C41FAC"/>
    <w:rsid w:val="00CB0E44"/>
    <w:rsid w:val="00D232BD"/>
    <w:rsid w:val="00D4324E"/>
    <w:rsid w:val="00D54E7E"/>
    <w:rsid w:val="00D63A47"/>
    <w:rsid w:val="00D7415E"/>
    <w:rsid w:val="00D83F64"/>
    <w:rsid w:val="00D85252"/>
    <w:rsid w:val="00D86C8E"/>
    <w:rsid w:val="00D94F4D"/>
    <w:rsid w:val="00DB01A1"/>
    <w:rsid w:val="00DB1DD0"/>
    <w:rsid w:val="00DB4D75"/>
    <w:rsid w:val="00DC2E60"/>
    <w:rsid w:val="00DE5E20"/>
    <w:rsid w:val="00DF40FD"/>
    <w:rsid w:val="00E277AA"/>
    <w:rsid w:val="00E34822"/>
    <w:rsid w:val="00E5567D"/>
    <w:rsid w:val="00E776F5"/>
    <w:rsid w:val="00EA6EF3"/>
    <w:rsid w:val="00EE65BC"/>
    <w:rsid w:val="00EE674C"/>
    <w:rsid w:val="00EF52AC"/>
    <w:rsid w:val="00F034BE"/>
    <w:rsid w:val="00F04972"/>
    <w:rsid w:val="00F16D62"/>
    <w:rsid w:val="00F26FF6"/>
    <w:rsid w:val="00F372A8"/>
    <w:rsid w:val="00F3794F"/>
    <w:rsid w:val="00F53670"/>
    <w:rsid w:val="00FD62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7694B2"/>
  <w15:chartTrackingRefBased/>
  <w15:docId w15:val="{711A83DF-0DD6-4D66-B095-034E432B6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0A99"/>
    <w:pPr>
      <w:spacing w:after="0" w:line="240" w:lineRule="auto"/>
    </w:pPr>
    <w:rPr>
      <w:rFonts w:ascii=".VnTime" w:hAnsi=".VnTime"/>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580A99"/>
    <w:pPr>
      <w:spacing w:before="60" w:after="60"/>
    </w:pPr>
    <w:rPr>
      <w:rFonts w:eastAsia="Times New Roman" w:cs="Times New Roman"/>
      <w:b/>
      <w:szCs w:val="20"/>
    </w:rPr>
  </w:style>
  <w:style w:type="character" w:customStyle="1" w:styleId="SubtitleChar">
    <w:name w:val="Subtitle Char"/>
    <w:basedOn w:val="DefaultParagraphFont"/>
    <w:link w:val="Subtitle"/>
    <w:rsid w:val="00580A99"/>
    <w:rPr>
      <w:rFonts w:ascii=".VnTime" w:eastAsia="Times New Roman" w:hAnsi=".VnTime" w:cs="Times New Roman"/>
      <w:b/>
      <w:szCs w:val="20"/>
    </w:rPr>
  </w:style>
  <w:style w:type="character" w:styleId="Strong">
    <w:name w:val="Strong"/>
    <w:basedOn w:val="DefaultParagraphFont"/>
    <w:uiPriority w:val="22"/>
    <w:qFormat/>
    <w:rsid w:val="00580A99"/>
    <w:rPr>
      <w:b/>
      <w:bCs/>
    </w:rPr>
  </w:style>
  <w:style w:type="paragraph" w:styleId="NoSpacing">
    <w:name w:val="No Spacing"/>
    <w:link w:val="NoSpacingChar"/>
    <w:uiPriority w:val="1"/>
    <w:qFormat/>
    <w:rsid w:val="00580A99"/>
    <w:pPr>
      <w:spacing w:after="0" w:line="240" w:lineRule="auto"/>
    </w:pPr>
    <w:rPr>
      <w:rFonts w:asciiTheme="minorHAnsi" w:eastAsiaTheme="minorEastAsia" w:hAnsiTheme="minorHAnsi"/>
      <w:sz w:val="22"/>
    </w:rPr>
  </w:style>
  <w:style w:type="character" w:customStyle="1" w:styleId="NoSpacingChar">
    <w:name w:val="No Spacing Char"/>
    <w:basedOn w:val="DefaultParagraphFont"/>
    <w:link w:val="NoSpacing"/>
    <w:uiPriority w:val="1"/>
    <w:rsid w:val="00580A99"/>
    <w:rPr>
      <w:rFonts w:asciiTheme="minorHAnsi" w:eastAsiaTheme="minorEastAsia" w:hAnsiTheme="minorHAnsi"/>
      <w:sz w:val="22"/>
    </w:rPr>
  </w:style>
  <w:style w:type="paragraph" w:styleId="ListParagraph">
    <w:name w:val="List Paragraph"/>
    <w:aliases w:val="Bảng,List Paragraph (numbered (a)),List Paragraph1,List Paragraph2,bảng,tieu de phu 1,List Paragraph11,List Paragraph111,Sub-heading,ADB paragraph numbering,List_Paragraph,Multilevel para_II,Bullet paras,a,Colorful List Accent 1,bullet 1"/>
    <w:basedOn w:val="Normal"/>
    <w:link w:val="ListParagraphChar"/>
    <w:uiPriority w:val="34"/>
    <w:qFormat/>
    <w:rsid w:val="00580A99"/>
    <w:pPr>
      <w:ind w:left="720"/>
      <w:contextualSpacing/>
      <w:jc w:val="both"/>
    </w:pPr>
    <w:rPr>
      <w:rFonts w:ascii="Times New Roman" w:eastAsia="Times New Roman" w:hAnsi="Times New Roman" w:cs="Times New Roman"/>
      <w:sz w:val="24"/>
      <w:szCs w:val="20"/>
    </w:rPr>
  </w:style>
  <w:style w:type="table" w:styleId="TableGrid">
    <w:name w:val="Table Grid"/>
    <w:basedOn w:val="TableNormal"/>
    <w:uiPriority w:val="39"/>
    <w:rsid w:val="007417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531BBF"/>
    <w:rPr>
      <w:sz w:val="20"/>
      <w:szCs w:val="20"/>
    </w:rPr>
  </w:style>
  <w:style w:type="character" w:customStyle="1" w:styleId="FootnoteTextChar">
    <w:name w:val="Footnote Text Char"/>
    <w:basedOn w:val="DefaultParagraphFont"/>
    <w:link w:val="FootnoteText"/>
    <w:uiPriority w:val="99"/>
    <w:semiHidden/>
    <w:rsid w:val="00531BBF"/>
    <w:rPr>
      <w:rFonts w:ascii=".VnTime" w:hAnsi=".VnTime"/>
      <w:sz w:val="20"/>
      <w:szCs w:val="20"/>
    </w:rPr>
  </w:style>
  <w:style w:type="paragraph" w:styleId="NormalWeb">
    <w:name w:val="Normal (Web)"/>
    <w:basedOn w:val="Normal"/>
    <w:uiPriority w:val="99"/>
    <w:semiHidden/>
    <w:unhideWhenUsed/>
    <w:rsid w:val="001A36C3"/>
    <w:pPr>
      <w:spacing w:before="100" w:beforeAutospacing="1" w:after="100" w:afterAutospacing="1"/>
    </w:pPr>
    <w:rPr>
      <w:rFonts w:ascii="Times New Roman" w:eastAsia="Times New Roman" w:hAnsi="Times New Roman" w:cs="Times New Roman"/>
      <w:sz w:val="24"/>
      <w:szCs w:val="24"/>
    </w:rPr>
  </w:style>
  <w:style w:type="paragraph" w:customStyle="1" w:styleId="mb-3">
    <w:name w:val="mb-3"/>
    <w:basedOn w:val="Normal"/>
    <w:rsid w:val="00FD621E"/>
    <w:pPr>
      <w:spacing w:before="100" w:beforeAutospacing="1" w:after="100" w:afterAutospacing="1"/>
    </w:pPr>
    <w:rPr>
      <w:rFonts w:ascii="Times New Roman" w:eastAsia="Times New Roman" w:hAnsi="Times New Roman" w:cs="Times New Roman"/>
      <w:sz w:val="24"/>
      <w:szCs w:val="24"/>
    </w:rPr>
  </w:style>
  <w:style w:type="character" w:customStyle="1" w:styleId="ListParagraphChar">
    <w:name w:val="List Paragraph Char"/>
    <w:aliases w:val="Bảng Char,List Paragraph (numbered (a)) Char,List Paragraph1 Char,List Paragraph2 Char,bảng Char,tieu de phu 1 Char,List Paragraph11 Char,List Paragraph111 Char,Sub-heading Char,ADB paragraph numbering Char,List_Paragraph Char,a Char"/>
    <w:link w:val="ListParagraph"/>
    <w:uiPriority w:val="34"/>
    <w:qFormat/>
    <w:rsid w:val="003B6217"/>
    <w:rPr>
      <w:rFonts w:eastAsia="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2635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2</Pages>
  <Words>515</Words>
  <Characters>2937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Vu Tran</cp:lastModifiedBy>
  <cp:revision>14</cp:revision>
  <dcterms:created xsi:type="dcterms:W3CDTF">2024-12-14T08:59:00Z</dcterms:created>
  <dcterms:modified xsi:type="dcterms:W3CDTF">2026-02-04T03:59:00Z</dcterms:modified>
</cp:coreProperties>
</file>