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C07B7"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sz w:val="28"/>
          <w:szCs w:val="28"/>
          <w:lang w:val="nl-NL"/>
        </w:rPr>
      </w:pPr>
      <w:r w:rsidRPr="00BB50C7">
        <w:rPr>
          <w:b/>
          <w:sz w:val="28"/>
          <w:szCs w:val="28"/>
          <w:lang w:val="nl-NL"/>
        </w:rPr>
        <w:t>Phần 2. YÊU CẦU VỀ KỸ THUẬT</w:t>
      </w:r>
    </w:p>
    <w:p w14:paraId="4D70F8E2"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r w:rsidRPr="00BB50C7">
        <w:rPr>
          <w:sz w:val="28"/>
          <w:szCs w:val="28"/>
          <w:lang w:val="nl-NL"/>
        </w:rPr>
        <w:t xml:space="preserve"> </w:t>
      </w:r>
      <w:r w:rsidRPr="00BB50C7">
        <w:rPr>
          <w:b/>
          <w:sz w:val="28"/>
          <w:szCs w:val="28"/>
          <w:lang w:val="vi-VN"/>
        </w:rPr>
        <w:t>Chương V. YÊU CẦU VỀ KỸ THUẬT</w:t>
      </w:r>
    </w:p>
    <w:p w14:paraId="0208C42E" w14:textId="77777777" w:rsidR="00EA597B" w:rsidRPr="00BB50C7" w:rsidRDefault="00EA597B" w:rsidP="00EA597B">
      <w:pPr>
        <w:pStyle w:val="Style11"/>
        <w:tabs>
          <w:tab w:val="left" w:pos="0"/>
          <w:tab w:val="left" w:pos="851"/>
          <w:tab w:val="left" w:pos="1418"/>
        </w:tabs>
        <w:spacing w:before="120" w:after="120" w:line="264" w:lineRule="auto"/>
        <w:ind w:firstLine="567"/>
        <w:jc w:val="center"/>
        <w:rPr>
          <w:b/>
          <w:sz w:val="28"/>
          <w:szCs w:val="28"/>
          <w:lang w:val="vi-VN"/>
        </w:rPr>
      </w:pPr>
    </w:p>
    <w:p w14:paraId="255AD687" w14:textId="77777777" w:rsidR="00EA597B" w:rsidRPr="00BB50C7" w:rsidRDefault="00EA597B" w:rsidP="00EA597B">
      <w:pPr>
        <w:spacing w:before="120" w:after="120" w:line="264" w:lineRule="auto"/>
        <w:ind w:firstLine="567"/>
        <w:rPr>
          <w:b/>
          <w:sz w:val="28"/>
          <w:szCs w:val="28"/>
          <w:lang w:val="vi-VN"/>
        </w:rPr>
      </w:pPr>
      <w:r w:rsidRPr="00BB50C7">
        <w:rPr>
          <w:b/>
          <w:sz w:val="28"/>
          <w:szCs w:val="28"/>
          <w:lang w:val="vi-VN"/>
        </w:rPr>
        <w:t>I. Giới thiệu về gói thầu</w:t>
      </w:r>
    </w:p>
    <w:p w14:paraId="62B68CD7" w14:textId="77777777" w:rsidR="00030A97" w:rsidRPr="00E44BD9" w:rsidRDefault="00030A97" w:rsidP="00030A97">
      <w:pPr>
        <w:widowControl w:val="0"/>
        <w:tabs>
          <w:tab w:val="left" w:pos="851"/>
        </w:tabs>
        <w:spacing w:before="60" w:after="60" w:line="259" w:lineRule="auto"/>
        <w:ind w:firstLine="567"/>
        <w:rPr>
          <w:bCs/>
          <w:sz w:val="28"/>
          <w:szCs w:val="28"/>
          <w:lang w:val="vi-VN"/>
        </w:rPr>
      </w:pPr>
      <w:bookmarkStart w:id="0" w:name="_Hlk163114159"/>
      <w:r w:rsidRPr="00E44BD9">
        <w:rPr>
          <w:bCs/>
          <w:sz w:val="28"/>
          <w:szCs w:val="28"/>
          <w:lang w:val="vi-VN"/>
        </w:rPr>
        <w:t>1. Tên dự án: Các tuyến đường ra khu nuôi trồng thủy sản trên địa bàn xã Hải Lạng (Giai đoạn 1).</w:t>
      </w:r>
    </w:p>
    <w:p w14:paraId="1045FD28"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2. Địa điểm xây dựng: Thôn Bình Minh, xã Hải Lạng.</w:t>
      </w:r>
    </w:p>
    <w:p w14:paraId="680DB455"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3. Người quyết định đầu tư: Ủy ban nhân dân xã Hải Lạng.</w:t>
      </w:r>
    </w:p>
    <w:p w14:paraId="70CC01AF"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4. Chủ đầu tư: Trung tâm Cung ứng dịch vụ xã Hải Lạng.</w:t>
      </w:r>
    </w:p>
    <w:p w14:paraId="5D698A7D"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5. Tổ chức tư vấn khảo sát, lập báo cáo kinh tế kỹ thuật: Công ty Cổ phần xây dựng và tư vấn giao thông Quảng Ninh.</w:t>
      </w:r>
    </w:p>
    <w:p w14:paraId="34F2B740"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6. Loại, nhóm dự án; loại, cấp công trình chính; thời hạn sử dụng của công trình chính:</w:t>
      </w:r>
    </w:p>
    <w:p w14:paraId="5E6CE3EC"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 Loại, cấp, nhóm dự án: Công trình giao thông, cấp IV, nhóm C.</w:t>
      </w:r>
    </w:p>
    <w:p w14:paraId="597A6F1E" w14:textId="77777777" w:rsid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 xml:space="preserve">- Thời hạn sử dụng của công trình chính: Theo tiêu chuẩn thiết kế được áp dụng. </w:t>
      </w:r>
    </w:p>
    <w:p w14:paraId="1270AE20" w14:textId="0169F8CD"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7. Mục tiêu dự án: Đáp ứng nhu cầu đi lại phục vụ sản xuất, góp phần thúc đẩy phát triển kinh tế xã hội trên địa bàn.</w:t>
      </w:r>
    </w:p>
    <w:p w14:paraId="07D4CFDB"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8. Quy mô đầu tư xây dựng:</w:t>
      </w:r>
    </w:p>
    <w:p w14:paraId="0A36A9F4"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Cải tạo, nâng cấp 05 tuyến đường với tổng chiều dài khoảng L=3.25km:</w:t>
      </w:r>
    </w:p>
    <w:p w14:paraId="6E229B41"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 Tuyến đường vào khu NTTS nhà ông Thà với chiều dài khoảng 560m theo quy mô đường giao thông nông thôn cấp B, vận tốc thiết kế Vtk=20Km/h. Bề rộng nền đường Bnền=5,0m; bề rộng mặt đường Bm 3,5m; bề rộng lề đất Blề=2x0,75=1,5m. Kết cấu áo đường cứng BTXM. Thiết kế đồng bộ hệ thống</w:t>
      </w:r>
    </w:p>
    <w:p w14:paraId="40AAED7F"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thoát nước, ATGT.</w:t>
      </w:r>
    </w:p>
    <w:p w14:paraId="7865F5BA"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 Tuyến đường vào khu NTTS ông Trần Văn Bảo với chiều dài khoảng 830m theo quy mô đường giao thông nông thôn cấp B, vận tốc thiết kể Vtk=20Km/h. Bề rộng nền đường Bnền=5,0m; bề rộng mặt đường Bm 3,5m; bề rộng lề đất Blề=2x0,75=1,5m. Kết cấu áo đường cứng BTXM. Thiết kế đồng bộ hệ thống thoát nước, ATGT.</w:t>
      </w:r>
    </w:p>
    <w:p w14:paraId="7A90E38B"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 Tuyến đường vào khu NTTS ông Việt với chiều dài khoảng 270m theo quy mô đường giao thông nông thôn cấp C, vận tốc thiết kế Vtk=15Km/h. Bề rộng nền đường Bnền=4,0m; bề rộng mặt đường Bm=3,0m; bề rộng lề đất Blề=2x0,5=1,0m. Kết cấu áo đường cứng BTXM. Thiết kế đồng bộ hệ thống thoát</w:t>
      </w:r>
    </w:p>
    <w:p w14:paraId="237638D2"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nước, ATGT.</w:t>
      </w:r>
    </w:p>
    <w:p w14:paraId="096E845E" w14:textId="77777777"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 xml:space="preserve">- Tuyến đường vào khu NTTS bà Trần Thị Dung với chiều dài khoảng 310m theo quy mô đường giao thông nông thôn cấp B, vận tốc thiết kế Vtk=20Km/h. </w:t>
      </w:r>
      <w:r w:rsidRPr="00E44BD9">
        <w:rPr>
          <w:bCs/>
          <w:sz w:val="28"/>
          <w:szCs w:val="28"/>
          <w:lang w:val="vi-VN"/>
        </w:rPr>
        <w:lastRenderedPageBreak/>
        <w:t>Bề rộng nền đường Bnền=5,0m; bề rộng mặt đường Bm=3,5m; bề rộng lề đất Blề=2x0,75=1,5m. Kết cấu áo đường cứng BTXM. Thiết kế đồng bộ hệ thống thoát nước, ATGT.</w:t>
      </w:r>
    </w:p>
    <w:p w14:paraId="3D9328CE" w14:textId="7A6C00A4" w:rsidR="00030A97"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 Tuyến đường vào khu NTTS ông Lê Đăng Vũ với chiều dài khoảng</w:t>
      </w:r>
      <w:r w:rsidRPr="00E44BD9">
        <w:rPr>
          <w:bCs/>
          <w:sz w:val="28"/>
          <w:szCs w:val="28"/>
        </w:rPr>
        <w:t xml:space="preserve"> </w:t>
      </w:r>
      <w:r w:rsidRPr="00E44BD9">
        <w:rPr>
          <w:bCs/>
          <w:sz w:val="28"/>
          <w:szCs w:val="28"/>
          <w:lang w:val="vi-VN"/>
        </w:rPr>
        <w:t>1280m theo quy mô đường giao thông nông thôn cấp B, vận tốc thiết kế Vtk=20Km/h. Bề rộng nền đường Bnền=5,0m; bề rộng mặt đường Bm=3,5m; bề rộng lề đất Blề=2x0,75=1,5m. Kết cấu áo đường cứng BTXM. Thiết kế đồng bộ hệ thống thoát nước, ATGT.</w:t>
      </w:r>
    </w:p>
    <w:p w14:paraId="74DFD008" w14:textId="77777777" w:rsidR="00030A97" w:rsidRPr="00E44BD9" w:rsidRDefault="00030A97" w:rsidP="00030A97">
      <w:pPr>
        <w:widowControl w:val="0"/>
        <w:spacing w:after="60"/>
        <w:ind w:firstLine="709"/>
        <w:rPr>
          <w:bCs/>
          <w:sz w:val="28"/>
          <w:szCs w:val="28"/>
          <w:lang w:val="vi-VN"/>
        </w:rPr>
      </w:pPr>
      <w:r w:rsidRPr="00E44BD9">
        <w:rPr>
          <w:bCs/>
          <w:sz w:val="28"/>
          <w:szCs w:val="28"/>
          <w:lang w:val="vi-VN"/>
        </w:rPr>
        <w:t>9. Danh mục tiêu chuẩn chủ yếu được lựa chọn:</w:t>
      </w:r>
    </w:p>
    <w:p w14:paraId="493CB65F" w14:textId="77777777"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 Số bước thiết kế: Thiết kế 01 bước (lập báo cáo kinh tế kỹ thuật)</w:t>
      </w:r>
    </w:p>
    <w:p w14:paraId="392D30E8" w14:textId="77777777"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 TCVN 4054-2005 Đường ô tô - Yêu cầu thiết kế;</w:t>
      </w:r>
    </w:p>
    <w:p w14:paraId="15B9F852" w14:textId="3CC91E51"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TCCS 39 : 2022/TCĐBVN Thiết kế mặt đường bê tông xi măng thông thường có khe nối trong xây dựng công trình giao thông;</w:t>
      </w:r>
    </w:p>
    <w:p w14:paraId="1A781292" w14:textId="02BAB9E0"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 TCVN 8859:2011 Lớp móng cấp phối đá dăm trong kết cấu áo đường ô tô - Vật liệu, thi công và nghiệm thu;</w:t>
      </w:r>
    </w:p>
    <w:p w14:paraId="084A02EA" w14:textId="60A2B201"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 xml:space="preserve">- QCVN 41:2019/BGTVT Quy chuẩn kỹ thuật quốc gia về báo hiệu đường bộ; </w:t>
      </w:r>
    </w:p>
    <w:p w14:paraId="3E9C76AD" w14:textId="2914D1A2"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 xml:space="preserve">- TCVN 5574 :2012 Kết cấu bê tông và bê tông cốt thép -Tiêu chuẩn thiết kế. </w:t>
      </w:r>
    </w:p>
    <w:p w14:paraId="75A58F33" w14:textId="2C61CA59"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 TCVN 9361:2012 Công tác nền móng - Thi công và nghiệm thu.</w:t>
      </w:r>
    </w:p>
    <w:p w14:paraId="6B737EA0" w14:textId="77777777" w:rsidR="00030A97" w:rsidRPr="00E44BD9" w:rsidRDefault="00030A97" w:rsidP="00030A97">
      <w:pPr>
        <w:widowControl w:val="0"/>
        <w:tabs>
          <w:tab w:val="left" w:pos="851"/>
        </w:tabs>
        <w:spacing w:before="60" w:after="60" w:line="259" w:lineRule="auto"/>
        <w:ind w:firstLine="284"/>
        <w:rPr>
          <w:bCs/>
          <w:sz w:val="28"/>
          <w:szCs w:val="28"/>
          <w:lang w:val="vi-VN"/>
        </w:rPr>
      </w:pPr>
      <w:r w:rsidRPr="00E44BD9">
        <w:rPr>
          <w:bCs/>
          <w:sz w:val="28"/>
          <w:szCs w:val="28"/>
          <w:lang w:val="vi-VN"/>
        </w:rPr>
        <w:t>- TCVN 4447:2012 Công tác đất - Thi công và nghiệm thu.</w:t>
      </w:r>
    </w:p>
    <w:p w14:paraId="7694B513" w14:textId="48CDBDEE" w:rsidR="00586A59" w:rsidRPr="00E44BD9" w:rsidRDefault="00030A97" w:rsidP="00030A97">
      <w:pPr>
        <w:widowControl w:val="0"/>
        <w:tabs>
          <w:tab w:val="left" w:pos="851"/>
        </w:tabs>
        <w:spacing w:before="60" w:after="60" w:line="259" w:lineRule="auto"/>
        <w:ind w:firstLine="567"/>
        <w:rPr>
          <w:bCs/>
          <w:sz w:val="28"/>
          <w:szCs w:val="28"/>
          <w:lang w:val="vi-VN"/>
        </w:rPr>
      </w:pPr>
      <w:r w:rsidRPr="00E44BD9">
        <w:rPr>
          <w:bCs/>
          <w:sz w:val="28"/>
          <w:szCs w:val="28"/>
          <w:lang w:val="vi-VN"/>
        </w:rPr>
        <w:t>Các quy chuẩn, tiêu chuẩn khác liên quan.</w:t>
      </w:r>
    </w:p>
    <w:p w14:paraId="555BBEDA" w14:textId="77777777" w:rsidR="00EA597B" w:rsidRPr="00BB50C7" w:rsidRDefault="00EA597B" w:rsidP="00EA597B">
      <w:pPr>
        <w:widowControl w:val="0"/>
        <w:tabs>
          <w:tab w:val="left" w:pos="851"/>
        </w:tabs>
        <w:spacing w:before="60" w:after="60" w:line="259" w:lineRule="auto"/>
        <w:ind w:firstLine="567"/>
        <w:rPr>
          <w:b/>
          <w:bCs/>
          <w:sz w:val="28"/>
          <w:szCs w:val="28"/>
          <w:lang w:val="vi-VN"/>
        </w:rPr>
      </w:pPr>
      <w:r w:rsidRPr="00BB50C7">
        <w:rPr>
          <w:b/>
          <w:bCs/>
          <w:sz w:val="28"/>
          <w:szCs w:val="28"/>
          <w:lang w:val="vi-VN"/>
        </w:rPr>
        <w:t>2. Yêu cầu về tổ chức kỹ thuật thi công, giám sát</w:t>
      </w:r>
    </w:p>
    <w:p w14:paraId="3BB5A75C" w14:textId="77777777" w:rsidR="00EA597B" w:rsidRPr="00BB50C7" w:rsidRDefault="00EA597B" w:rsidP="00EA597B">
      <w:pPr>
        <w:widowControl w:val="0"/>
        <w:tabs>
          <w:tab w:val="left" w:pos="851"/>
        </w:tabs>
        <w:spacing w:before="60" w:after="60" w:line="259" w:lineRule="auto"/>
        <w:ind w:firstLine="567"/>
        <w:rPr>
          <w:b/>
          <w:bCs/>
          <w:i/>
          <w:sz w:val="28"/>
          <w:szCs w:val="28"/>
          <w:lang w:val="vi-VN"/>
        </w:rPr>
      </w:pPr>
      <w:r w:rsidRPr="00BB50C7">
        <w:rPr>
          <w:b/>
          <w:bCs/>
          <w:i/>
          <w:sz w:val="28"/>
          <w:szCs w:val="28"/>
          <w:lang w:val="vi-VN"/>
        </w:rPr>
        <w:t>2.1. Yêu cầu chung về tổ chức kỹ thuật thi công</w:t>
      </w:r>
    </w:p>
    <w:p w14:paraId="42E2390E"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7BB3B69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3871676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19971A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26AAD2B7" w14:textId="5F17ACF6"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bố trí đủ số lượng cán bộ kỹ thuật là kỹ sư</w:t>
      </w:r>
      <w:r w:rsidRPr="00BB50C7">
        <w:rPr>
          <w:bCs/>
          <w:sz w:val="28"/>
          <w:szCs w:val="28"/>
        </w:rPr>
        <w:t xml:space="preserve"> (</w:t>
      </w:r>
      <w:r w:rsidR="00C923CD">
        <w:rPr>
          <w:bCs/>
          <w:sz w:val="28"/>
          <w:szCs w:val="28"/>
        </w:rPr>
        <w:t xml:space="preserve">chỉ huy trưởng, </w:t>
      </w:r>
      <w:r w:rsidR="00C923CD">
        <w:rPr>
          <w:bCs/>
          <w:sz w:val="28"/>
          <w:szCs w:val="28"/>
        </w:rPr>
        <w:lastRenderedPageBreak/>
        <w:t>kỹ thuật thi công, cán bộ an toàn, cán bộ quản lý chất lượng – thanh quyết toán</w:t>
      </w:r>
      <w:r w:rsidRPr="00BB50C7">
        <w:rPr>
          <w:bCs/>
          <w:sz w:val="28"/>
          <w:szCs w:val="28"/>
        </w:rPr>
        <w:t>,…)</w:t>
      </w:r>
      <w:r w:rsidRPr="00BB50C7">
        <w:rPr>
          <w:bCs/>
          <w:sz w:val="28"/>
          <w:szCs w:val="28"/>
          <w:lang w:val="vi-VN"/>
        </w:rPr>
        <w:t xml:space="preserve">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02627A72"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1700113A"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78A19F2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B64B8F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1219F045"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823549F"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4E720B29"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toàn bộ nguyên vật liệu đúng yêu cầu kỹ thuật theo thiết kế đưa vào thi công công trình.</w:t>
      </w:r>
    </w:p>
    <w:p w14:paraId="082314F7"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Tổ chức thực hiện thi công công trình đạt yêu cầu kỹ thuật và theo đúng thời hạn hoàn thành công trình đã nêu trong hồ sơ dự thầu được chấp thuận.</w:t>
      </w:r>
    </w:p>
    <w:p w14:paraId="44E7FEE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1329CB98"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xml:space="preserve">- Giám sát theo dõi những khối lượng do mình thực hiện ở công trường trong thời gian thi công và ngay cả trong thời gian bảo hành công trình. </w:t>
      </w:r>
    </w:p>
    <w:p w14:paraId="45742F21"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lastRenderedPageBreak/>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540E593"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Sau khi thi công hoàn thiện công trình và trước khi nghiệm thu công trình, Nhà thầu phải thu dọn, san trả hiện trường và làm cho khu vực công trường được sạch sẽ.</w:t>
      </w:r>
    </w:p>
    <w:p w14:paraId="75B3F10C" w14:textId="77777777" w:rsidR="00EA597B" w:rsidRPr="00BB50C7" w:rsidRDefault="00EA597B" w:rsidP="00EA597B">
      <w:pPr>
        <w:widowControl w:val="0"/>
        <w:tabs>
          <w:tab w:val="left" w:pos="851"/>
        </w:tabs>
        <w:spacing w:before="60" w:after="60" w:line="259" w:lineRule="auto"/>
        <w:ind w:firstLine="567"/>
        <w:rPr>
          <w:bCs/>
          <w:sz w:val="28"/>
          <w:szCs w:val="28"/>
          <w:lang w:val="vi-VN"/>
        </w:rPr>
      </w:pPr>
      <w:r w:rsidRPr="00BB50C7">
        <w:rPr>
          <w:bCs/>
          <w:sz w:val="28"/>
          <w:szCs w:val="28"/>
          <w:lang w:val="vi-VN"/>
        </w:rPr>
        <w:t>- Nhà thầu chịu trách nhiệm lập đầy đủ hồ sơ hoàn công công trình theo đúng yêu cầu của Chủ đầu tư và các tiêu chuẩn nghiệm thu công trình.</w:t>
      </w:r>
    </w:p>
    <w:p w14:paraId="13333F7D" w14:textId="77777777" w:rsidR="00EA597B" w:rsidRPr="00BB50C7" w:rsidRDefault="00EA597B" w:rsidP="00EA597B">
      <w:pPr>
        <w:widowControl w:val="0"/>
        <w:spacing w:before="60" w:after="60" w:line="259" w:lineRule="auto"/>
        <w:ind w:firstLine="567"/>
        <w:rPr>
          <w:b/>
          <w:sz w:val="28"/>
          <w:szCs w:val="28"/>
          <w:lang w:val="vi-VN"/>
        </w:rPr>
      </w:pPr>
      <w:r w:rsidRPr="00BB50C7">
        <w:rPr>
          <w:b/>
          <w:i/>
          <w:sz w:val="28"/>
          <w:szCs w:val="28"/>
          <w:lang w:val="vi-VN"/>
        </w:rPr>
        <w:t>2.2.</w:t>
      </w:r>
      <w:r w:rsidRPr="00BB50C7">
        <w:rPr>
          <w:b/>
          <w:sz w:val="28"/>
          <w:szCs w:val="28"/>
          <w:lang w:val="vi-VN"/>
        </w:rPr>
        <w:t xml:space="preserve"> </w:t>
      </w:r>
      <w:r w:rsidRPr="00BB50C7">
        <w:rPr>
          <w:b/>
          <w:bCs/>
          <w:i/>
          <w:sz w:val="28"/>
          <w:szCs w:val="28"/>
          <w:lang w:val="vi-VN"/>
        </w:rPr>
        <w:t>Yêu cầu tổ chức quản lý thi công</w:t>
      </w:r>
    </w:p>
    <w:p w14:paraId="301768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tổ chức quản lý thi công của nhà thầu được thực hiện tuân thủ Nghị định của Chính phủ về quản lý chất lượng công trình xây dựng và các văn bản có liên quan.</w:t>
      </w:r>
    </w:p>
    <w:p w14:paraId="0D001CDC"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tác đào: Nhà thầu phải tính toán chi phí công tác đào bao gồm: khối lượng đào, vận chuyển và đổ thải đúng nơi quy định.</w:t>
      </w:r>
    </w:p>
    <w:p w14:paraId="585FDEBD" w14:textId="77777777" w:rsidR="00EA597B" w:rsidRPr="00BB50C7" w:rsidRDefault="00EA597B" w:rsidP="00EA597B">
      <w:pPr>
        <w:widowControl w:val="0"/>
        <w:tabs>
          <w:tab w:val="left" w:pos="993"/>
          <w:tab w:val="left" w:pos="1276"/>
        </w:tabs>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70F0E90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Phạm vi công việc:</w:t>
      </w:r>
    </w:p>
    <w:p w14:paraId="652983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cơ sở để tập kết thiết bị, phương tiện, nhân lực thi công tại hiện trường công trình.</w:t>
      </w:r>
    </w:p>
    <w:p w14:paraId="049CD4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cung cấp nguyên vật liệu, trang thiết bị, nhiên liệu, dụng cụ và các điều kiện bảo đảm thi công khác để thực hiện thi công đúng yêu cầu kỹ thuật, tiến độ và chất lượng.</w:t>
      </w:r>
    </w:p>
    <w:p w14:paraId="0F92850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thi công xây dựng gói thầu theo đúng hồ sơ thiết kế, quy trình, quy phạm kỹ thuật đảm bảo chất lượng, tiến độ và an toàn trong quá trình thi công.</w:t>
      </w:r>
    </w:p>
    <w:p w14:paraId="03054D2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7D6DD08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lập Hồ sơ thi công và bảo hành công trình theo quy định hiện hành  của Nhà nước.</w:t>
      </w:r>
    </w:p>
    <w:p w14:paraId="78E65C9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Khối lượng công việc: Khối lượng công việc được nêu chi tiết ở tại bảng tiên lượng - và bản vẽ thiết kế thi công kèm theo.</w:t>
      </w:r>
    </w:p>
    <w:p w14:paraId="387B9DA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95C909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Giao thông công cộng: Tất cả các hoạt động cần thiết cho việc thực hiện </w:t>
      </w:r>
      <w:r w:rsidRPr="00BB50C7">
        <w:rPr>
          <w:rFonts w:eastAsia="Aptos"/>
          <w:bCs/>
          <w:kern w:val="2"/>
          <w:sz w:val="28"/>
          <w:szCs w:val="28"/>
          <w:lang w:val="vi-VN"/>
          <w14:ligatures w14:val="standardContextual"/>
        </w:rPr>
        <w:lastRenderedPageBreak/>
        <w:t>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6F241180"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55C0461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4C4EFF6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tuân thủ theo mọi yêu cầu về an ninh của bất cứ chủ sở hữu nào trên đất công trình sẽ được thi công. Chi phí bảo vệ Nhà thầu phải chịu.</w:t>
      </w:r>
    </w:p>
    <w:p w14:paraId="0DA8309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085BD59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Kế hoạch tiến độ công việc:</w:t>
      </w:r>
    </w:p>
    <w:p w14:paraId="461E9E9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1FB69CF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chỉ rõ trong lịch trình rằng các công tác được tiến hành trong giờ hành chính hay ngoài giờ hoặc cần thiết phải làm theo ca để hoàn thành công trình.</w:t>
      </w:r>
    </w:p>
    <w:p w14:paraId="3BB0533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trình Chủ đầu tư báo cáo tuần nêu chi tiết nhân sự, đơn đặt hàng và quá trình gửi máy móc, nguyên vật liệu và thiết bị.</w:t>
      </w:r>
    </w:p>
    <w:p w14:paraId="7676757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398577C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5050D87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Đường và khu vực cần được giữ sạch: Nhà thầu phải chú ý tuyệt đối với </w:t>
      </w:r>
      <w:r w:rsidRPr="00BB50C7">
        <w:rPr>
          <w:rFonts w:eastAsia="Aptos"/>
          <w:bCs/>
          <w:kern w:val="2"/>
          <w:sz w:val="28"/>
          <w:szCs w:val="28"/>
          <w:lang w:val="vi-VN"/>
          <w14:ligatures w14:val="standardContextual"/>
        </w:rPr>
        <w:lastRenderedPageBreak/>
        <w:t>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488C6E5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Đền bù thiệt hại đối với tài sản:</w:t>
      </w:r>
    </w:p>
    <w:p w14:paraId="4E730E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2EECE78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17ACB2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Việc thanh toán cho nhà thầu sẽ phải trừ đi khoản tiền cho việc hoàn trả trên. Nhà thầu sẽ không được thanh toán riêng cho công việc hoàn trả, mà phải chịu hoàn toàn các phí tổn của việc đó.</w:t>
      </w:r>
    </w:p>
    <w:p w14:paraId="6ECFADD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w:t>
      </w:r>
    </w:p>
    <w:p w14:paraId="304C1C4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72E63C5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05A5C0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42CF3CF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36388C8"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sẽ không được thanh toán riêng cho phần đảm bảo an toàn lao động mà sẽ được thanh toán trong mục tương tự  trong giá dự thầu.</w:t>
      </w:r>
    </w:p>
    <w:p w14:paraId="3C83367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Thiết bị thi công:</w:t>
      </w:r>
    </w:p>
    <w:p w14:paraId="10CCB2C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Nhà thầu phải cung cấp, vận hành, duy trì và đưa dời khỏi công trường tất cả </w:t>
      </w:r>
      <w:r w:rsidRPr="00BB50C7">
        <w:rPr>
          <w:bCs/>
          <w:sz w:val="28"/>
          <w:szCs w:val="28"/>
          <w:lang w:val="vi-VN"/>
        </w:rPr>
        <w:lastRenderedPageBreak/>
        <w:t>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17F3E77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di chuyển máy móc thi công khỏi công trường trừ khi có văn bản phê duyệt của TVGS. TVGS có thể yêu cầu các nhà thầu để lại một số máy thi công lại trong thời gian bảo hành;</w:t>
      </w:r>
    </w:p>
    <w:p w14:paraId="0304AD2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vận hành, bảo dưỡng, khấu hao và dời chuyển các máy móc thi công phải được tính trong giá dự thầu;</w:t>
      </w:r>
    </w:p>
    <w:p w14:paraId="6572BB7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D8E43A1"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Bản vẽ:</w:t>
      </w:r>
    </w:p>
    <w:p w14:paraId="55C57D4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46529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07F2F96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không được thanh toán riêng cho phần này mà đã được tính trong giá dự thầu.</w:t>
      </w:r>
    </w:p>
    <w:p w14:paraId="0F562D0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780AF647"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các công việc đã được thực hiện trong suốt thời gian làm báo cáo và những vấn đề đáng chú ý đã gặp phải.</w:t>
      </w:r>
    </w:p>
    <w:p w14:paraId="5797089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phần trăm của hạng mục công việc chính đã hoàn thành so với biểu đồ tiến độ tính đến cuối giai đoạn báo cáo, giải trình sự khác biệt giữa tiến độ thực hiện và biểu đồ.</w:t>
      </w:r>
    </w:p>
    <w:p w14:paraId="58315A0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7856A75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Danh sách nhân công được sử dụng thực hiện công việc đó.</w:t>
      </w:r>
    </w:p>
    <w:p w14:paraId="2F5E79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 Bản kiểm kê tổng số các loại vật liệu xây dựng chủ yếu đã dùng trong thời gian làm báo cáo, số lượng vật liệu đã chuyển đến công trình và số còn lại tính đến thời điểm báo cáo.</w:t>
      </w:r>
    </w:p>
    <w:p w14:paraId="5660E1A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Bản kiểm kê các thiết bị máy móc, thực trạng của chúng, thời gian để phục hồi lại hoạt động nếu chúng phải sửa chữa.</w:t>
      </w:r>
    </w:p>
    <w:p w14:paraId="5DBCC91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Mô tả chung về thời tiết, lượng mưa và nhiệt độ mỗi ngày.</w:t>
      </w:r>
    </w:p>
    <w:p w14:paraId="2E7B248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 Một báo cáo về hiệu quả của việc bảo vệ công trường và danh sách các vật tư, thiết bị bị mất.</w:t>
      </w:r>
    </w:p>
    <w:p w14:paraId="453589EA"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Một danh sách các yêu cầu của Nhà thầu: số lượng yêu cầu và thời gian yêu cầu trong thời gian làm báo cáo.</w:t>
      </w:r>
    </w:p>
    <w:p w14:paraId="31F8B04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Lịch công tác tuần: Vào mỗi ngày thứ 6 hàng tuần, nhà thầu phải nộp </w:t>
      </w:r>
      <w:r w:rsidRPr="00BB50C7">
        <w:rPr>
          <w:rFonts w:eastAsia="Aptos"/>
          <w:bCs/>
          <w:kern w:val="2"/>
          <w:sz w:val="28"/>
          <w:szCs w:val="28"/>
          <w14:ligatures w14:val="standardContextual"/>
        </w:rPr>
        <w:t>0</w:t>
      </w:r>
      <w:r w:rsidRPr="00BB50C7">
        <w:rPr>
          <w:rFonts w:eastAsia="Aptos"/>
          <w:bCs/>
          <w:kern w:val="2"/>
          <w:sz w:val="28"/>
          <w:szCs w:val="28"/>
          <w:lang w:val="vi-VN"/>
          <w14:ligatures w14:val="standardContextual"/>
        </w:rPr>
        <w:t>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2C9028BB"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
          <w:kern w:val="2"/>
          <w:sz w:val="28"/>
          <w:szCs w:val="28"/>
          <w:lang w:val="vi-VN"/>
          <w14:ligatures w14:val="standardContextual"/>
        </w:rPr>
        <w:t xml:space="preserve"> </w:t>
      </w:r>
      <w:r w:rsidRPr="00BB50C7">
        <w:rPr>
          <w:rFonts w:eastAsia="Aptos"/>
          <w:bCs/>
          <w:kern w:val="2"/>
          <w:sz w:val="28"/>
          <w:szCs w:val="28"/>
          <w:lang w:val="vi-VN"/>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31774E99" w14:textId="77777777" w:rsidR="00EA597B" w:rsidRPr="00F56B76" w:rsidRDefault="00EA597B" w:rsidP="00EA597B">
      <w:pPr>
        <w:widowControl w:val="0"/>
        <w:spacing w:before="60" w:after="60" w:line="259" w:lineRule="auto"/>
        <w:ind w:firstLine="567"/>
        <w:rPr>
          <w:rFonts w:eastAsia="Aptos"/>
          <w:bCs/>
          <w:spacing w:val="-2"/>
          <w:kern w:val="2"/>
          <w:sz w:val="28"/>
          <w:szCs w:val="28"/>
          <w:lang w:val="vi-VN"/>
          <w14:ligatures w14:val="standardContextual"/>
        </w:rPr>
      </w:pPr>
      <w:r w:rsidRPr="00F56B76">
        <w:rPr>
          <w:rFonts w:eastAsia="Aptos"/>
          <w:bCs/>
          <w:spacing w:val="-2"/>
          <w:kern w:val="2"/>
          <w:sz w:val="28"/>
          <w:szCs w:val="28"/>
          <w:lang w:val="vi-VN"/>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490F140E"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62813A1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w:t>
      </w:r>
      <w:r w:rsidRPr="00BB50C7">
        <w:rPr>
          <w:rFonts w:eastAsia="Aptos"/>
          <w:bCs/>
          <w:kern w:val="2"/>
          <w:sz w:val="28"/>
          <w:szCs w:val="28"/>
          <w:lang w:val="vi-VN"/>
          <w14:ligatures w14:val="standardContextual"/>
        </w:rPr>
        <w:lastRenderedPageBreak/>
        <w:t>chỉ định bị hư hại do các hoạt động của Nhà thầu theo đúng hiện trạng ban đầu với chi phí của Nhà thầu.</w:t>
      </w:r>
    </w:p>
    <w:p w14:paraId="129DAE57"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Biển báo công trường:</w:t>
      </w:r>
    </w:p>
    <w:p w14:paraId="4636055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cung cấp và lắp dựng ít nhất là 01 biển báo cho khu vực công trường bằng tiếng Việt, nội dung do thoả thuận với TVGS.</w:t>
      </w:r>
    </w:p>
    <w:p w14:paraId="21789EB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có trách nhiệm sửa chữa và bảo dưỡng các biển báo cho đến khi hoàn thiện mọi công  tác.</w:t>
      </w:r>
    </w:p>
    <w:p w14:paraId="2B6ED6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562ED47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Phương tiện cấp cứu:</w:t>
      </w:r>
    </w:p>
    <w:p w14:paraId="5D9A7BE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0A8F30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Tất cả các chi phí liên quan đến việc hoạt động và cung cấp các phương tiện cứu thương sẽ không được thanh toán riêng mà sẽ góp cùng với các hạng mục khác trong bảng giá dự thầu.</w:t>
      </w:r>
    </w:p>
    <w:p w14:paraId="3248FAFC"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Yêu cầu kỹ thuật công trình:</w:t>
      </w:r>
    </w:p>
    <w:p w14:paraId="34D16A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Nhà thầu phải thực hiện đầy đủ, chính xác và đúng trình tự các yêu cầu kỹ thuật đã được chỉ ra trong các bản vẽ thi công và các qui phạm thi công hiện hành của Nhà nước.</w:t>
      </w:r>
    </w:p>
    <w:p w14:paraId="60EA634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1AF061E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Vật liệu trước khi đem sử dụng cho công trình phải được kiểm tra và được Chủ đầu tư chấp nhận.</w:t>
      </w:r>
    </w:p>
    <w:p w14:paraId="12E9C2F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Đảm bảo chất lượng </w:t>
      </w:r>
    </w:p>
    <w:p w14:paraId="2CE8B5C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769344E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làm tốt công tác thí nghiệm và đảm bảo chất lượng với các vật tư cần thiết. Mọi nhận xét về chất lượng công trình phải được ghi đầy đủ vào nhật ký theo dõi công trình.</w:t>
      </w:r>
    </w:p>
    <w:p w14:paraId="0AC80E9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không được phép tự ý thay đổi các loại vật liệu và quy cách kỹ </w:t>
      </w:r>
      <w:r w:rsidRPr="00BB50C7">
        <w:rPr>
          <w:bCs/>
          <w:sz w:val="28"/>
          <w:szCs w:val="28"/>
          <w:lang w:val="vi-VN"/>
        </w:rPr>
        <w:lastRenderedPageBreak/>
        <w:t>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37E39BD4"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Đối với các phần công việc khuất, phải có biện pháp nghiệm thu kỹ thuật, chất lượng, khối lượng và phải được giám sát thi công cho phép tiến hành che khuất.  </w:t>
      </w:r>
    </w:p>
    <w:p w14:paraId="31DDF4F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Các vật liệu sử dụng cho công trình này phải tuân theo các tiêu chuẩn và yêu cầu kỹ thuật hiện hành của Nhà nước.</w:t>
      </w:r>
    </w:p>
    <w:p w14:paraId="2B0BCFF2"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Tiến độ thi công </w:t>
      </w:r>
    </w:p>
    <w:p w14:paraId="7F35486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3A28BC24"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Điện nước cho thi công và hạ tầng kỹ thuật khác </w:t>
      </w:r>
    </w:p>
    <w:p w14:paraId="47C6879F"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Hệ thống hạ tầng kỹ thuật cho thi công (đường thi công, chỗ ở cho CBCNV tại công trường, điện, nước thi công ...) thuộc trách nhiệm và chi phí của Nhà thầu.</w:t>
      </w:r>
    </w:p>
    <w:p w14:paraId="264DB0BC"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chịu trách nhiệm về đường phục vụ thi công, giấy phép cho các loại xe, máy và các vấn đề liên quan khác. </w:t>
      </w:r>
    </w:p>
    <w:p w14:paraId="0D81EB3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4C28C145"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528B415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Việc triển khai điện nước phục vụ thi công phải đảm bảo an toàn tuyệt đối. Mọi tai nạn có liên quan Nhà thầu phải chịu trách nhiệm hoàn toàn.   </w:t>
      </w:r>
    </w:p>
    <w:p w14:paraId="4355A4A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Hàng rào tạm, bao che, bảng hiệu nhằm đảm bảo an ninh, an toàn lao động, vệ sinh môi trường và mỹ quan khu vực.</w:t>
      </w:r>
    </w:p>
    <w:p w14:paraId="479B8266"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Chi phí làm những phần việc trên là do Nhà thầu chịu. Nhà thầu phải có thiết kế tính toán chính xác cho kết cấu, vật liệu của hàng rào và bao che.</w:t>
      </w:r>
    </w:p>
    <w:p w14:paraId="33E65F11"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Nhà thầu không được quảng cáo trên hàng rào, bao che và các bảng hiệu khi chưa được phép của cơ quan có thẩm quyền.</w:t>
      </w:r>
    </w:p>
    <w:p w14:paraId="27D9EB1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An toàn lao động, Bảo vệ môi trường</w:t>
      </w:r>
    </w:p>
    <w:p w14:paraId="6E1D8C8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Trong suốt thời kỳ thi công, hoàn thiện công trình và sửa chữa sai sót, Nhà thầu phải: </w:t>
      </w:r>
    </w:p>
    <w:p w14:paraId="7EA409F3"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Tự chịu trách nhiệm về an toàn của tất cả mọi người có mặt trên công trường, thực hiện, bảo vệ công trường (chừng nào công trường còn ở dưới sự kiểm </w:t>
      </w:r>
      <w:r w:rsidRPr="00BB50C7">
        <w:rPr>
          <w:bCs/>
          <w:sz w:val="28"/>
          <w:szCs w:val="28"/>
          <w:lang w:val="vi-VN"/>
        </w:rPr>
        <w:lastRenderedPageBreak/>
        <w:t xml:space="preserve">soát của Nhà thầu) và công trình (chừng nào công trình chưa được hoàn thiện hoặc chưa giao cho chủ công trình) an toàn; </w:t>
      </w:r>
    </w:p>
    <w:p w14:paraId="761EAE6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1216953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76838E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45CA7ED"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Chuẩn bị các phương tiện vệ sinh công cộng nhằm ngăn ngừa sự ô nhiễm về sinh thái hoặc ô nhiễm về công nghiệp tại hiện trường.</w:t>
      </w:r>
    </w:p>
    <w:p w14:paraId="31A3020B"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Nghiêm cấm việc làm ảnh hưởng hoặc phá hoại cây cối xung quanh công trường.</w:t>
      </w:r>
    </w:p>
    <w:p w14:paraId="55923CC2"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Có biện pháp hạn chế khí thải, khói của thiết bị và các hoạt động khác tại công truờng.</w:t>
      </w:r>
    </w:p>
    <w:p w14:paraId="6631B35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Không gây tiếng động khó chịu hoặc quá mức: Nếu Chủ đầu tư thấy các biện pháp phòng ngừa của Nhà thầu vẫn chưa thích hợp thì Nhà thầu phải tuân thủ biện pháp chỉ đạo của Bên mời thầu</w:t>
      </w:r>
    </w:p>
    <w:p w14:paraId="1BBB15A3"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7339C4AF"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Sửa chữa hư hỏng và sai sót: Trong quá trình thi công xây dựng, Bên mời thầu có quyền ra lệnh bằng văn bản yêu cầu Nhà thầu sửa chữa những hư hỏng sai sót sau :</w:t>
      </w:r>
    </w:p>
    <w:p w14:paraId="0A3B6FCE"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Đưa ra khỏi công trường bất kỳ loại vật tư nào không tuân theo các văn bản hợp đồng và thay thế bằng loại phù hợp.</w:t>
      </w:r>
    </w:p>
    <w:p w14:paraId="253CD9A0"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t xml:space="preserve">- Dỡ bỏ và làm lại cho đúng bất kỳ phần việc nào chưa đáp ứng được yêu cầu kỹ thuật và chất lượng. </w:t>
      </w:r>
    </w:p>
    <w:p w14:paraId="2A7593E9" w14:textId="77777777" w:rsidR="00EA597B" w:rsidRPr="00BB50C7" w:rsidRDefault="00EA597B" w:rsidP="00EA597B">
      <w:pPr>
        <w:widowControl w:val="0"/>
        <w:spacing w:before="60" w:after="60" w:line="259" w:lineRule="auto"/>
        <w:ind w:firstLine="567"/>
        <w:rPr>
          <w:bCs/>
          <w:sz w:val="28"/>
          <w:szCs w:val="28"/>
          <w:lang w:val="vi-VN"/>
        </w:rPr>
      </w:pPr>
      <w:r w:rsidRPr="00BB50C7">
        <w:rPr>
          <w:bCs/>
          <w:sz w:val="28"/>
          <w:szCs w:val="28"/>
          <w:lang w:val="vi-VN"/>
        </w:rPr>
        <w:lastRenderedPageBreak/>
        <w:t>- Toàn bộ chi phí cho việc sửa chữa do Nhà thầu chịu.</w:t>
      </w:r>
    </w:p>
    <w:p w14:paraId="7BB821BD"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61F35688" w14:textId="77777777" w:rsidR="00EA597B" w:rsidRPr="00BB50C7" w:rsidRDefault="00EA597B" w:rsidP="00EA597B">
      <w:pPr>
        <w:widowControl w:val="0"/>
        <w:spacing w:before="60" w:after="60" w:line="259" w:lineRule="auto"/>
        <w:ind w:firstLine="567"/>
        <w:rPr>
          <w:rFonts w:eastAsia="Aptos"/>
          <w:bCs/>
          <w:kern w:val="2"/>
          <w:sz w:val="28"/>
          <w:szCs w:val="28"/>
          <w:lang w:val="vi-VN"/>
          <w14:ligatures w14:val="standardContextual"/>
        </w:rPr>
      </w:pPr>
      <w:r w:rsidRPr="00BB50C7">
        <w:rPr>
          <w:rFonts w:eastAsia="Aptos"/>
          <w:bCs/>
          <w:kern w:val="2"/>
          <w:sz w:val="28"/>
          <w:szCs w:val="28"/>
          <w:lang w:val="vi-VN"/>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F4B7772" w14:textId="72165FED" w:rsidR="00EA597B" w:rsidRPr="00BB50C7" w:rsidRDefault="00EA597B" w:rsidP="00EA597B">
      <w:pPr>
        <w:widowControl w:val="0"/>
        <w:spacing w:before="60" w:after="60" w:line="259" w:lineRule="auto"/>
        <w:ind w:firstLine="567"/>
        <w:rPr>
          <w:b/>
          <w:bCs/>
          <w:i/>
          <w:sz w:val="28"/>
          <w:szCs w:val="28"/>
        </w:rPr>
      </w:pPr>
      <w:r w:rsidRPr="00BB50C7">
        <w:rPr>
          <w:b/>
          <w:bCs/>
          <w:i/>
          <w:sz w:val="28"/>
          <w:szCs w:val="28"/>
        </w:rPr>
        <w:t>2.</w:t>
      </w:r>
      <w:r w:rsidR="00C1314F">
        <w:rPr>
          <w:b/>
          <w:bCs/>
          <w:i/>
          <w:sz w:val="28"/>
          <w:szCs w:val="28"/>
        </w:rPr>
        <w:t>3</w:t>
      </w:r>
      <w:r w:rsidRPr="00BB50C7">
        <w:rPr>
          <w:b/>
          <w:bCs/>
          <w:i/>
          <w:sz w:val="28"/>
          <w:szCs w:val="28"/>
        </w:rPr>
        <w:t>. Đảm bảo an toàn giao thông trong thi công</w:t>
      </w:r>
    </w:p>
    <w:p w14:paraId="1D323AAA"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Lắp đèn cảnh báo khu vực đang triển khai thi công trên hành rào phân cách để cảnh báo cho các phương tiện.</w:t>
      </w:r>
    </w:p>
    <w:p w14:paraId="2B0154F7"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Bố trí nhân lực điều tiết giao thông hai đầu khu vực triển khai thi công tường chắn.</w:t>
      </w:r>
    </w:p>
    <w:p w14:paraId="6D254CF6" w14:textId="77777777" w:rsidR="00EA597B" w:rsidRPr="00BB50C7" w:rsidRDefault="00EA597B" w:rsidP="00EA597B">
      <w:pPr>
        <w:widowControl w:val="0"/>
        <w:spacing w:before="60" w:after="60" w:line="259" w:lineRule="auto"/>
        <w:ind w:firstLine="567"/>
        <w:rPr>
          <w:bCs/>
          <w:sz w:val="28"/>
          <w:szCs w:val="28"/>
        </w:rPr>
      </w:pPr>
      <w:r w:rsidRPr="00BB50C7">
        <w:rPr>
          <w:bCs/>
          <w:sz w:val="28"/>
          <w:szCs w:val="28"/>
        </w:rPr>
        <w:t>- Nhà thầu lập biện pháp đảm bảo an toàn giao thông đáp ứng quy định của pháp luật phù hợp với hiện trạng công trình và yêu cầu của dự án.</w:t>
      </w:r>
    </w:p>
    <w:p w14:paraId="4B067346" w14:textId="77777777" w:rsidR="00EA597B" w:rsidRPr="00BB50C7" w:rsidRDefault="00EA597B" w:rsidP="00EA597B">
      <w:pPr>
        <w:widowControl w:val="0"/>
        <w:spacing w:before="60" w:after="60" w:line="259" w:lineRule="auto"/>
        <w:ind w:firstLine="567"/>
        <w:rPr>
          <w:b/>
          <w:bCs/>
          <w:sz w:val="28"/>
          <w:szCs w:val="28"/>
        </w:rPr>
      </w:pPr>
      <w:r w:rsidRPr="00BB50C7">
        <w:rPr>
          <w:b/>
          <w:bCs/>
          <w:sz w:val="28"/>
          <w:szCs w:val="28"/>
        </w:rPr>
        <w:t xml:space="preserve">3. </w:t>
      </w:r>
      <w:bookmarkStart w:id="1" w:name="_Hlk151121562"/>
      <w:r w:rsidRPr="00BB50C7">
        <w:rPr>
          <w:b/>
          <w:bCs/>
          <w:sz w:val="28"/>
          <w:szCs w:val="28"/>
        </w:rPr>
        <w:t>Yêu cầu về chủng loại vật tư, chất lượng vật tư, thiết bị</w:t>
      </w:r>
      <w:bookmarkEnd w:id="1"/>
    </w:p>
    <w:p w14:paraId="5C22F67B" w14:textId="77777777" w:rsidR="00937F62" w:rsidRDefault="00937F62" w:rsidP="00EA597B">
      <w:pPr>
        <w:spacing w:before="60" w:after="60" w:line="259" w:lineRule="auto"/>
        <w:ind w:firstLine="567"/>
        <w:rPr>
          <w:bCs/>
          <w:sz w:val="28"/>
          <w:szCs w:val="28"/>
        </w:rPr>
      </w:pPr>
      <w:r w:rsidRPr="00937F62">
        <w:rPr>
          <w:bCs/>
          <w:sz w:val="28"/>
          <w:szCs w:val="28"/>
        </w:rPr>
        <w:t>Tất cả các loại vật tư, vật liệu đưa vào thi công và lắp đặt cho công trình phải có nguồn gốc xuất xứ rõ ràng, có đầy đủ hóa đơn, chứng từ hợp lệ. Yêu cầu phải</w:t>
      </w:r>
      <w:r>
        <w:rPr>
          <w:bCs/>
          <w:sz w:val="28"/>
          <w:szCs w:val="28"/>
        </w:rPr>
        <w:t xml:space="preserve"> </w:t>
      </w:r>
      <w:r w:rsidRPr="00937F62">
        <w:rPr>
          <w:bCs/>
          <w:sz w:val="28"/>
          <w:szCs w:val="28"/>
        </w:rPr>
        <w:t>có chứng nhận nguồn gốc xuất xứ của các loại vật tư, vật liệu. Vật tư phải được phân tích rõ các tiêu chuẩn đáp ứng yêu cầu của E-HSMT và tiêu chuẩn/quy chuẩn</w:t>
      </w:r>
      <w:r>
        <w:rPr>
          <w:bCs/>
          <w:sz w:val="28"/>
          <w:szCs w:val="28"/>
        </w:rPr>
        <w:t xml:space="preserve"> </w:t>
      </w:r>
      <w:r w:rsidRPr="00937F62">
        <w:rPr>
          <w:bCs/>
          <w:sz w:val="28"/>
          <w:szCs w:val="28"/>
        </w:rPr>
        <w:t>hiện hành phù hợp với công trình. Các thiết bị phục vụ thi công phải là những thiết bị tốt, có công suất phù hợp và được kiểm nghiệm theo định kỳ. Chủng loại</w:t>
      </w:r>
      <w:r>
        <w:rPr>
          <w:bCs/>
          <w:sz w:val="28"/>
          <w:szCs w:val="28"/>
        </w:rPr>
        <w:t xml:space="preserve"> </w:t>
      </w:r>
      <w:r w:rsidRPr="00937F62">
        <w:rPr>
          <w:bCs/>
          <w:sz w:val="28"/>
          <w:szCs w:val="28"/>
        </w:rPr>
        <w:t xml:space="preserve">vật tư, vật liệu phải tuân thủ theo đúng hồ sơ thiết kế quy định và theo các tiêu chuẩn kỹ thuật hiện hành, được nghiệm thu và thử nghiệm theo quy phạm quy định. </w:t>
      </w:r>
    </w:p>
    <w:p w14:paraId="2252804B" w14:textId="52107345" w:rsidR="00937F62" w:rsidRDefault="00937F62" w:rsidP="00EA597B">
      <w:pPr>
        <w:spacing w:before="60" w:after="60" w:line="259" w:lineRule="auto"/>
        <w:ind w:firstLine="567"/>
        <w:rPr>
          <w:bCs/>
          <w:sz w:val="28"/>
          <w:szCs w:val="28"/>
        </w:rPr>
      </w:pPr>
      <w:r w:rsidRPr="00937F62">
        <w:rPr>
          <w:bCs/>
          <w:sz w:val="28"/>
          <w:szCs w:val="28"/>
        </w:rPr>
        <w:t xml:space="preserve">Các vật tư, máy móc, thiết bị lắp đặt cho công trình phải đảm bảo mới 100%, chưa từng qua sử dụng, thuộc thế hệ mới nhất, đã đưa vào tất cả các cải tiến về thiết kế và vật liệu, đáp ứng theo yêu cầu của thiết kế và tuân theo các tiêu chuẩn kỹ thuật. </w:t>
      </w:r>
    </w:p>
    <w:p w14:paraId="64313564" w14:textId="4EDA288D" w:rsidR="00937F62" w:rsidRDefault="00937F62" w:rsidP="00EA597B">
      <w:pPr>
        <w:spacing w:before="60" w:after="60" w:line="259" w:lineRule="auto"/>
        <w:ind w:firstLine="567"/>
        <w:rPr>
          <w:bCs/>
          <w:sz w:val="28"/>
          <w:szCs w:val="28"/>
        </w:rPr>
      </w:pPr>
      <w:r w:rsidRPr="00937F62">
        <w:rPr>
          <w:bCs/>
          <w:sz w:val="28"/>
          <w:szCs w:val="28"/>
        </w:rPr>
        <w:t xml:space="preserve">- Yêu cầu về tính hợp lệ của hàng hóa, thiết bị: </w:t>
      </w:r>
    </w:p>
    <w:p w14:paraId="4D0C3021" w14:textId="679F4544" w:rsidR="00937F62" w:rsidRDefault="00937F62" w:rsidP="00EA597B">
      <w:pPr>
        <w:spacing w:before="60" w:after="60" w:line="259" w:lineRule="auto"/>
        <w:ind w:firstLine="567"/>
        <w:rPr>
          <w:bCs/>
          <w:sz w:val="28"/>
          <w:szCs w:val="28"/>
        </w:rPr>
      </w:pPr>
      <w:r w:rsidRPr="00937F62">
        <w:rPr>
          <w:bCs/>
          <w:sz w:val="28"/>
          <w:szCs w:val="28"/>
        </w:rPr>
        <w:t>+ Bảng liệt kê chi tiết</w:t>
      </w:r>
      <w:r>
        <w:rPr>
          <w:bCs/>
          <w:sz w:val="28"/>
          <w:szCs w:val="28"/>
        </w:rPr>
        <w:t xml:space="preserve"> </w:t>
      </w:r>
      <w:r w:rsidRPr="00937F62">
        <w:rPr>
          <w:bCs/>
          <w:sz w:val="28"/>
          <w:szCs w:val="28"/>
        </w:rPr>
        <w:t xml:space="preserve">danh mục hàng hóa phù hợp với yêu cầu nêu tại Chương V với đầy đủ thông số kỹ thuật, xuất xứ, thương hiệu, mã hiệu, nhãn mác, hãng sản xuất. </w:t>
      </w:r>
    </w:p>
    <w:p w14:paraId="244E96DC" w14:textId="65965EB3" w:rsidR="00937F62" w:rsidRDefault="00937F62" w:rsidP="00937F62">
      <w:pPr>
        <w:spacing w:before="60" w:after="60" w:line="259" w:lineRule="auto"/>
        <w:ind w:firstLine="567"/>
        <w:rPr>
          <w:bCs/>
          <w:sz w:val="28"/>
          <w:szCs w:val="28"/>
        </w:rPr>
      </w:pPr>
      <w:r w:rsidRPr="00937F62">
        <w:rPr>
          <w:bCs/>
          <w:sz w:val="28"/>
          <w:szCs w:val="28"/>
        </w:rPr>
        <w:lastRenderedPageBreak/>
        <w:t>+ Các hàng hóa</w:t>
      </w:r>
      <w:r>
        <w:rPr>
          <w:bCs/>
          <w:sz w:val="28"/>
          <w:szCs w:val="28"/>
        </w:rPr>
        <w:t xml:space="preserve"> </w:t>
      </w:r>
      <w:r w:rsidRPr="00937F62">
        <w:rPr>
          <w:bCs/>
          <w:sz w:val="28"/>
          <w:szCs w:val="28"/>
        </w:rPr>
        <w:t>chào thầu phải mới 100%, nguyên đai, nguyên kiện, đóng</w:t>
      </w:r>
      <w:r>
        <w:rPr>
          <w:bCs/>
          <w:sz w:val="28"/>
          <w:szCs w:val="28"/>
        </w:rPr>
        <w:t xml:space="preserve"> </w:t>
      </w:r>
      <w:r w:rsidRPr="00937F62">
        <w:rPr>
          <w:bCs/>
          <w:sz w:val="28"/>
          <w:szCs w:val="28"/>
        </w:rPr>
        <w:t xml:space="preserve">gói theo tiêu chuẩn của nhà sản xuất. </w:t>
      </w:r>
    </w:p>
    <w:p w14:paraId="338F73D4" w14:textId="77777777" w:rsidR="00937F62" w:rsidRDefault="00937F62" w:rsidP="00937F62">
      <w:pPr>
        <w:spacing w:before="60" w:after="60" w:line="259" w:lineRule="auto"/>
        <w:ind w:firstLine="567"/>
        <w:rPr>
          <w:bCs/>
          <w:sz w:val="28"/>
          <w:szCs w:val="28"/>
        </w:rPr>
      </w:pPr>
      <w:r w:rsidRPr="00937F62">
        <w:rPr>
          <w:bCs/>
          <w:sz w:val="28"/>
          <w:szCs w:val="28"/>
        </w:rPr>
        <w:t xml:space="preserve">+ Tất cả các hàng hóa tại Phạm vi cung cấp phải có catalogue, tài liệu kỹ thuật để chứng minh tính đáp ứng về yêu cầu kỹ thuật tại Chương V. </w:t>
      </w:r>
    </w:p>
    <w:p w14:paraId="4B004CFD" w14:textId="77777777" w:rsidR="00937F62" w:rsidRDefault="00937F62" w:rsidP="00937F62">
      <w:pPr>
        <w:spacing w:before="60" w:after="60" w:line="259" w:lineRule="auto"/>
        <w:ind w:firstLine="567"/>
        <w:rPr>
          <w:bCs/>
          <w:sz w:val="28"/>
          <w:szCs w:val="28"/>
        </w:rPr>
      </w:pPr>
      <w:r w:rsidRPr="00937F62">
        <w:rPr>
          <w:bCs/>
          <w:sz w:val="28"/>
          <w:szCs w:val="28"/>
        </w:rPr>
        <w:t xml:space="preserve">+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 </w:t>
      </w:r>
    </w:p>
    <w:p w14:paraId="4AAB63E0" w14:textId="367BEB0E" w:rsidR="00937F62" w:rsidRDefault="00937F62" w:rsidP="00937F62">
      <w:pPr>
        <w:spacing w:before="60" w:after="60" w:line="259" w:lineRule="auto"/>
        <w:ind w:firstLine="567"/>
        <w:rPr>
          <w:bCs/>
          <w:sz w:val="28"/>
          <w:szCs w:val="28"/>
        </w:rPr>
      </w:pPr>
      <w:r w:rsidRPr="00937F62">
        <w:rPr>
          <w:bCs/>
          <w:sz w:val="28"/>
          <w:szCs w:val="28"/>
        </w:rPr>
        <w:t>- Yêu cầu về tiêu chuẩn kỹ thuật của hàng hóa, thiết bị: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010657E6" w14:textId="77777777" w:rsidR="00374B25" w:rsidRPr="00374B25" w:rsidRDefault="00374B25" w:rsidP="00937F62">
      <w:pPr>
        <w:spacing w:before="60" w:after="60" w:line="259" w:lineRule="auto"/>
        <w:ind w:firstLine="567"/>
        <w:rPr>
          <w:b/>
          <w:bCs/>
          <w:sz w:val="28"/>
          <w:szCs w:val="28"/>
        </w:rPr>
      </w:pPr>
      <w:r w:rsidRPr="00374B25">
        <w:rPr>
          <w:b/>
          <w:bCs/>
          <w:sz w:val="28"/>
          <w:szCs w:val="28"/>
        </w:rPr>
        <w:t xml:space="preserve">* Ghi chú: </w:t>
      </w:r>
    </w:p>
    <w:p w14:paraId="5E0A9222"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14:paraId="2F7B945E"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0CFA477"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 </w:t>
      </w:r>
    </w:p>
    <w:p w14:paraId="2F0E526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Nhà thầu cung cấp thiết bị theo đúng thông số kỹ thuật tối thiểu quy định hoặc tương đương hoặc tốt hơn các thiết bị nêu trên. Khái niệm “tương đương” nghĩa là có đặc tính kỹ thuật tương tự, có tính năng sử dụng là tương đương với các vật tư, máy móc, thiết bị đã nêu. </w:t>
      </w:r>
    </w:p>
    <w:p w14:paraId="15E3174B" w14:textId="77777777" w:rsidR="00374B25" w:rsidRPr="00374B25" w:rsidRDefault="00374B25" w:rsidP="00937F62">
      <w:pPr>
        <w:spacing w:before="60" w:after="60" w:line="259" w:lineRule="auto"/>
        <w:ind w:firstLine="567"/>
        <w:rPr>
          <w:bCs/>
          <w:i/>
          <w:sz w:val="28"/>
          <w:szCs w:val="28"/>
        </w:rPr>
      </w:pPr>
      <w:r w:rsidRPr="00374B25">
        <w:rPr>
          <w:bCs/>
          <w:i/>
          <w:sz w:val="28"/>
          <w:szCs w:val="28"/>
        </w:rPr>
        <w:t xml:space="preserve">- Tài liệu kỹ thuật trong E-HSDT: Catalogue, tài liệu kỹ thuật được sử dụng bằng Tiếng Anh hoặc Tiếng Việt; Trường hợp các tài liệu này bằng tiếng nước </w:t>
      </w:r>
      <w:r w:rsidRPr="00374B25">
        <w:rPr>
          <w:bCs/>
          <w:i/>
          <w:sz w:val="28"/>
          <w:szCs w:val="28"/>
        </w:rPr>
        <w:lastRenderedPageBreak/>
        <w:t xml:space="preserve">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 </w:t>
      </w:r>
    </w:p>
    <w:p w14:paraId="6F28E8BD" w14:textId="33A9D87E" w:rsidR="00374B25" w:rsidRPr="00374B25" w:rsidRDefault="00374B25" w:rsidP="00937F62">
      <w:pPr>
        <w:spacing w:before="60" w:after="60" w:line="259" w:lineRule="auto"/>
        <w:ind w:firstLine="567"/>
        <w:rPr>
          <w:bCs/>
          <w:i/>
          <w:sz w:val="28"/>
          <w:szCs w:val="28"/>
        </w:rPr>
      </w:pPr>
      <w:r w:rsidRPr="00374B25">
        <w:rPr>
          <w:bCs/>
          <w:i/>
          <w:sz w:val="28"/>
          <w:szCs w:val="28"/>
        </w:rPr>
        <w:t>- Trong E-HSDT, Nhà thầu nên ghi rõ xuất xứ, thương hiệu vật tư, không ghi “Tương đương” vào bảng vật tư chính đưa vào công trình.</w:t>
      </w:r>
    </w:p>
    <w:p w14:paraId="017DA17A" w14:textId="345465BF" w:rsidR="00374B25" w:rsidRPr="00374B25" w:rsidRDefault="00374B25" w:rsidP="00374B25">
      <w:pPr>
        <w:spacing w:before="60" w:after="60" w:line="259" w:lineRule="auto"/>
        <w:ind w:firstLine="567"/>
        <w:rPr>
          <w:b/>
          <w:bCs/>
          <w:sz w:val="28"/>
          <w:szCs w:val="28"/>
        </w:rPr>
      </w:pPr>
      <w:r w:rsidRPr="00374B25">
        <w:rPr>
          <w:b/>
          <w:bCs/>
          <w:sz w:val="28"/>
          <w:szCs w:val="28"/>
        </w:rPr>
        <w:t>Bảng 3.1: Yêu cầu kỹ thuật của các vật tư, vật liệu, thiết bị chính sử dụng cho gói thầu</w:t>
      </w:r>
    </w:p>
    <w:tbl>
      <w:tblPr>
        <w:tblStyle w:val="TableGrid"/>
        <w:tblW w:w="0" w:type="auto"/>
        <w:tblLook w:val="04A0" w:firstRow="1" w:lastRow="0" w:firstColumn="1" w:lastColumn="0" w:noHBand="0" w:noVBand="1"/>
      </w:tblPr>
      <w:tblGrid>
        <w:gridCol w:w="704"/>
        <w:gridCol w:w="2552"/>
        <w:gridCol w:w="5804"/>
      </w:tblGrid>
      <w:tr w:rsidR="00374B25" w14:paraId="540BF13D" w14:textId="77777777" w:rsidTr="00C923CD">
        <w:tc>
          <w:tcPr>
            <w:tcW w:w="704" w:type="dxa"/>
            <w:vAlign w:val="center"/>
          </w:tcPr>
          <w:p w14:paraId="37EF69A8" w14:textId="1B789BE3" w:rsidR="00374B25" w:rsidRPr="00374B25" w:rsidRDefault="00374B25" w:rsidP="00374B25">
            <w:pPr>
              <w:spacing w:before="60" w:after="60" w:line="259" w:lineRule="auto"/>
              <w:jc w:val="center"/>
              <w:rPr>
                <w:b/>
                <w:bCs/>
                <w:sz w:val="28"/>
                <w:szCs w:val="28"/>
              </w:rPr>
            </w:pPr>
            <w:r w:rsidRPr="00374B25">
              <w:rPr>
                <w:b/>
              </w:rPr>
              <w:t>STT</w:t>
            </w:r>
          </w:p>
        </w:tc>
        <w:tc>
          <w:tcPr>
            <w:tcW w:w="2552" w:type="dxa"/>
            <w:vAlign w:val="center"/>
          </w:tcPr>
          <w:p w14:paraId="76B52C77" w14:textId="424A2A47" w:rsidR="00374B25" w:rsidRPr="00374B25" w:rsidRDefault="00374B25" w:rsidP="00374B25">
            <w:pPr>
              <w:spacing w:before="60" w:after="60" w:line="259" w:lineRule="auto"/>
              <w:jc w:val="center"/>
              <w:rPr>
                <w:b/>
                <w:bCs/>
                <w:sz w:val="28"/>
                <w:szCs w:val="28"/>
              </w:rPr>
            </w:pPr>
            <w:r w:rsidRPr="00374B25">
              <w:rPr>
                <w:b/>
              </w:rPr>
              <w:t>Tên vật tư, vật liệu, thiết bị chính</w:t>
            </w:r>
          </w:p>
        </w:tc>
        <w:tc>
          <w:tcPr>
            <w:tcW w:w="5804" w:type="dxa"/>
            <w:vAlign w:val="center"/>
          </w:tcPr>
          <w:p w14:paraId="1F77DAA7" w14:textId="0C3EDB68" w:rsidR="00374B25" w:rsidRPr="00374B25" w:rsidRDefault="00374B25" w:rsidP="00374B25">
            <w:pPr>
              <w:spacing w:before="60" w:after="60" w:line="259" w:lineRule="auto"/>
              <w:jc w:val="center"/>
              <w:rPr>
                <w:b/>
                <w:bCs/>
                <w:sz w:val="28"/>
                <w:szCs w:val="28"/>
              </w:rPr>
            </w:pPr>
            <w:r w:rsidRPr="00374B25">
              <w:rPr>
                <w:b/>
              </w:rPr>
              <w:t>Thông số kỹ thuật/Tiêu chuẩn kỹ thuật</w:t>
            </w:r>
          </w:p>
        </w:tc>
      </w:tr>
      <w:tr w:rsidR="00374B25" w14:paraId="1F5B2C6F" w14:textId="77777777" w:rsidTr="00C923CD">
        <w:tc>
          <w:tcPr>
            <w:tcW w:w="704" w:type="dxa"/>
            <w:vAlign w:val="center"/>
          </w:tcPr>
          <w:p w14:paraId="691CC26B" w14:textId="4A8781C6" w:rsidR="00374B25" w:rsidRPr="003951D5" w:rsidRDefault="00F51DFC" w:rsidP="00F51DFC">
            <w:pPr>
              <w:spacing w:before="60" w:after="60" w:line="259" w:lineRule="auto"/>
              <w:jc w:val="center"/>
              <w:rPr>
                <w:sz w:val="26"/>
                <w:szCs w:val="26"/>
              </w:rPr>
            </w:pPr>
            <w:r w:rsidRPr="003951D5">
              <w:rPr>
                <w:sz w:val="26"/>
                <w:szCs w:val="26"/>
              </w:rPr>
              <w:t>1</w:t>
            </w:r>
          </w:p>
        </w:tc>
        <w:tc>
          <w:tcPr>
            <w:tcW w:w="2552" w:type="dxa"/>
            <w:vAlign w:val="center"/>
          </w:tcPr>
          <w:p w14:paraId="0F5B65DB" w14:textId="4902ADE6" w:rsidR="00374B25" w:rsidRPr="003951D5" w:rsidRDefault="00C923CD" w:rsidP="00EA597B">
            <w:pPr>
              <w:spacing w:before="60" w:after="60" w:line="259" w:lineRule="auto"/>
              <w:rPr>
                <w:sz w:val="26"/>
                <w:szCs w:val="26"/>
              </w:rPr>
            </w:pPr>
            <w:r>
              <w:rPr>
                <w:sz w:val="26"/>
                <w:szCs w:val="26"/>
              </w:rPr>
              <w:t>Xi măng</w:t>
            </w:r>
          </w:p>
        </w:tc>
        <w:tc>
          <w:tcPr>
            <w:tcW w:w="5804" w:type="dxa"/>
            <w:vAlign w:val="center"/>
          </w:tcPr>
          <w:p w14:paraId="405F3403" w14:textId="58461042" w:rsidR="00374B25" w:rsidRPr="003951D5" w:rsidRDefault="00374B25" w:rsidP="007A4334">
            <w:pPr>
              <w:spacing w:before="60" w:after="60" w:line="259" w:lineRule="auto"/>
              <w:rPr>
                <w:sz w:val="26"/>
                <w:szCs w:val="26"/>
              </w:rPr>
            </w:pPr>
            <w:r w:rsidRPr="003951D5">
              <w:rPr>
                <w:sz w:val="26"/>
                <w:szCs w:val="26"/>
              </w:rPr>
              <w:t xml:space="preserve">- Theo yêu cầu của Hồ sơ thiết kế/ Chỉ dẫn kỹ thuật được duyệt; </w:t>
            </w:r>
          </w:p>
        </w:tc>
      </w:tr>
      <w:tr w:rsidR="00374B25" w14:paraId="4FBCDA1E" w14:textId="77777777" w:rsidTr="00C923CD">
        <w:tc>
          <w:tcPr>
            <w:tcW w:w="704" w:type="dxa"/>
            <w:vAlign w:val="center"/>
          </w:tcPr>
          <w:p w14:paraId="10EDA486" w14:textId="4B8A6265" w:rsidR="00374B25" w:rsidRPr="003951D5" w:rsidRDefault="00F51DFC" w:rsidP="00F51DFC">
            <w:pPr>
              <w:spacing w:before="60" w:after="60" w:line="259" w:lineRule="auto"/>
              <w:jc w:val="center"/>
              <w:rPr>
                <w:sz w:val="26"/>
                <w:szCs w:val="26"/>
              </w:rPr>
            </w:pPr>
            <w:r w:rsidRPr="003951D5">
              <w:rPr>
                <w:sz w:val="26"/>
                <w:szCs w:val="26"/>
              </w:rPr>
              <w:t>2</w:t>
            </w:r>
          </w:p>
        </w:tc>
        <w:tc>
          <w:tcPr>
            <w:tcW w:w="2552" w:type="dxa"/>
            <w:vAlign w:val="center"/>
          </w:tcPr>
          <w:p w14:paraId="07CD6CB8" w14:textId="2B4E4219" w:rsidR="00374B25" w:rsidRPr="003951D5" w:rsidRDefault="00C923CD" w:rsidP="00EA597B">
            <w:pPr>
              <w:spacing w:before="60" w:after="60" w:line="259" w:lineRule="auto"/>
              <w:rPr>
                <w:sz w:val="26"/>
                <w:szCs w:val="26"/>
              </w:rPr>
            </w:pPr>
            <w:r>
              <w:rPr>
                <w:sz w:val="26"/>
                <w:szCs w:val="26"/>
              </w:rPr>
              <w:t>Cát xây dựng</w:t>
            </w:r>
          </w:p>
        </w:tc>
        <w:tc>
          <w:tcPr>
            <w:tcW w:w="5804" w:type="dxa"/>
            <w:vAlign w:val="center"/>
          </w:tcPr>
          <w:p w14:paraId="6ED07F9F" w14:textId="4C914E1D" w:rsidR="00374B25" w:rsidRPr="003951D5" w:rsidRDefault="00374B25" w:rsidP="007A4334">
            <w:pPr>
              <w:spacing w:before="60" w:after="60" w:line="259" w:lineRule="auto"/>
              <w:rPr>
                <w:sz w:val="26"/>
                <w:szCs w:val="26"/>
              </w:rPr>
            </w:pPr>
            <w:r w:rsidRPr="003951D5">
              <w:rPr>
                <w:sz w:val="26"/>
                <w:szCs w:val="26"/>
              </w:rPr>
              <w:t xml:space="preserve">- Theo yêu cầu của Hồ sơ thiết kế/ Chỉ dẫn kỹ thuật được duyệt; </w:t>
            </w:r>
          </w:p>
        </w:tc>
      </w:tr>
      <w:tr w:rsidR="00374B25" w14:paraId="52BD1995" w14:textId="77777777" w:rsidTr="00C923CD">
        <w:tc>
          <w:tcPr>
            <w:tcW w:w="704" w:type="dxa"/>
            <w:vAlign w:val="center"/>
          </w:tcPr>
          <w:p w14:paraId="520C0AB1" w14:textId="0C506305" w:rsidR="00374B25" w:rsidRPr="003951D5" w:rsidRDefault="00F51DFC" w:rsidP="00F51DFC">
            <w:pPr>
              <w:spacing w:before="60" w:after="60" w:line="259" w:lineRule="auto"/>
              <w:jc w:val="center"/>
              <w:rPr>
                <w:sz w:val="26"/>
                <w:szCs w:val="26"/>
              </w:rPr>
            </w:pPr>
            <w:r w:rsidRPr="003951D5">
              <w:rPr>
                <w:sz w:val="26"/>
                <w:szCs w:val="26"/>
              </w:rPr>
              <w:t>3</w:t>
            </w:r>
          </w:p>
        </w:tc>
        <w:tc>
          <w:tcPr>
            <w:tcW w:w="2552" w:type="dxa"/>
            <w:vAlign w:val="center"/>
          </w:tcPr>
          <w:p w14:paraId="33030B6F" w14:textId="588EA2D0" w:rsidR="00374B25" w:rsidRPr="003951D5" w:rsidRDefault="00C923CD" w:rsidP="00EA597B">
            <w:pPr>
              <w:spacing w:before="60" w:after="60" w:line="259" w:lineRule="auto"/>
              <w:rPr>
                <w:sz w:val="26"/>
                <w:szCs w:val="26"/>
              </w:rPr>
            </w:pPr>
            <w:r>
              <w:rPr>
                <w:sz w:val="26"/>
                <w:szCs w:val="26"/>
              </w:rPr>
              <w:t>Đá xây dựng</w:t>
            </w:r>
          </w:p>
        </w:tc>
        <w:tc>
          <w:tcPr>
            <w:tcW w:w="5804" w:type="dxa"/>
            <w:vAlign w:val="center"/>
          </w:tcPr>
          <w:p w14:paraId="16DA60B7" w14:textId="14335F65" w:rsidR="00374B25" w:rsidRPr="003951D5" w:rsidRDefault="00374B25" w:rsidP="007A4334">
            <w:pPr>
              <w:spacing w:before="60" w:after="60" w:line="259" w:lineRule="auto"/>
              <w:rPr>
                <w:sz w:val="26"/>
                <w:szCs w:val="26"/>
              </w:rPr>
            </w:pPr>
            <w:r w:rsidRPr="003951D5">
              <w:rPr>
                <w:sz w:val="26"/>
                <w:szCs w:val="26"/>
              </w:rPr>
              <w:t xml:space="preserve">- Theo yêu cầu của Hồ sơ thiết kế/ Chỉ dẫn kỹ thuật được duyệt; </w:t>
            </w:r>
          </w:p>
        </w:tc>
      </w:tr>
      <w:tr w:rsidR="00030A97" w14:paraId="1A60F577" w14:textId="77777777" w:rsidTr="00C923CD">
        <w:tc>
          <w:tcPr>
            <w:tcW w:w="704" w:type="dxa"/>
            <w:vAlign w:val="center"/>
          </w:tcPr>
          <w:p w14:paraId="5C5BCBFE" w14:textId="776FA04A" w:rsidR="00030A97" w:rsidRPr="003951D5" w:rsidRDefault="00030A97" w:rsidP="00030A97">
            <w:pPr>
              <w:spacing w:before="60" w:after="60" w:line="259" w:lineRule="auto"/>
              <w:jc w:val="center"/>
              <w:rPr>
                <w:sz w:val="26"/>
                <w:szCs w:val="26"/>
              </w:rPr>
            </w:pPr>
            <w:r>
              <w:rPr>
                <w:sz w:val="26"/>
                <w:szCs w:val="26"/>
              </w:rPr>
              <w:t>4</w:t>
            </w:r>
          </w:p>
        </w:tc>
        <w:tc>
          <w:tcPr>
            <w:tcW w:w="2552" w:type="dxa"/>
            <w:vAlign w:val="center"/>
          </w:tcPr>
          <w:p w14:paraId="48ADB434" w14:textId="11F06B9D" w:rsidR="00030A97" w:rsidRDefault="00030A97" w:rsidP="00030A97">
            <w:pPr>
              <w:spacing w:before="60" w:after="60" w:line="259" w:lineRule="auto"/>
              <w:rPr>
                <w:sz w:val="26"/>
                <w:szCs w:val="26"/>
              </w:rPr>
            </w:pPr>
            <w:r>
              <w:rPr>
                <w:sz w:val="26"/>
                <w:szCs w:val="26"/>
              </w:rPr>
              <w:t>Thép xây dựng</w:t>
            </w:r>
          </w:p>
        </w:tc>
        <w:tc>
          <w:tcPr>
            <w:tcW w:w="5804" w:type="dxa"/>
            <w:vAlign w:val="center"/>
          </w:tcPr>
          <w:p w14:paraId="4AE6FC11" w14:textId="4BF4E10F" w:rsidR="00030A97" w:rsidRPr="003951D5" w:rsidRDefault="00030A97" w:rsidP="00030A97">
            <w:pPr>
              <w:spacing w:before="60" w:after="60" w:line="259" w:lineRule="auto"/>
              <w:rPr>
                <w:sz w:val="26"/>
                <w:szCs w:val="26"/>
              </w:rPr>
            </w:pPr>
            <w:r w:rsidRPr="003951D5">
              <w:rPr>
                <w:sz w:val="26"/>
                <w:szCs w:val="26"/>
              </w:rPr>
              <w:t xml:space="preserve">- Theo yêu cầu của Hồ sơ thiết kế/ Chỉ dẫn kỹ thuật được duyệt; </w:t>
            </w:r>
          </w:p>
        </w:tc>
      </w:tr>
      <w:tr w:rsidR="00030A97" w14:paraId="61B0E46D" w14:textId="77777777" w:rsidTr="00C923CD">
        <w:tc>
          <w:tcPr>
            <w:tcW w:w="704" w:type="dxa"/>
            <w:vAlign w:val="center"/>
          </w:tcPr>
          <w:p w14:paraId="5086E3A0" w14:textId="1258E2D9" w:rsidR="00030A97" w:rsidRPr="003951D5" w:rsidRDefault="00030A97" w:rsidP="00030A97">
            <w:pPr>
              <w:spacing w:before="60" w:after="60" w:line="259" w:lineRule="auto"/>
              <w:jc w:val="center"/>
              <w:rPr>
                <w:sz w:val="26"/>
                <w:szCs w:val="26"/>
              </w:rPr>
            </w:pPr>
            <w:r>
              <w:rPr>
                <w:sz w:val="26"/>
                <w:szCs w:val="26"/>
              </w:rPr>
              <w:t>5</w:t>
            </w:r>
          </w:p>
        </w:tc>
        <w:tc>
          <w:tcPr>
            <w:tcW w:w="2552" w:type="dxa"/>
            <w:vAlign w:val="center"/>
          </w:tcPr>
          <w:p w14:paraId="61D73F93" w14:textId="3E75FB05" w:rsidR="00030A97" w:rsidRPr="003951D5" w:rsidRDefault="00030A97" w:rsidP="00030A97">
            <w:pPr>
              <w:spacing w:before="60" w:after="60" w:line="259" w:lineRule="auto"/>
              <w:rPr>
                <w:sz w:val="26"/>
                <w:szCs w:val="26"/>
              </w:rPr>
            </w:pPr>
            <w:r>
              <w:rPr>
                <w:sz w:val="26"/>
                <w:szCs w:val="26"/>
              </w:rPr>
              <w:t>Cấp phối đá dăm</w:t>
            </w:r>
          </w:p>
        </w:tc>
        <w:tc>
          <w:tcPr>
            <w:tcW w:w="5804" w:type="dxa"/>
            <w:vAlign w:val="center"/>
          </w:tcPr>
          <w:p w14:paraId="19AECB10" w14:textId="5C9873E5" w:rsidR="00030A97" w:rsidRPr="003951D5" w:rsidRDefault="00030A97" w:rsidP="00030A97">
            <w:pPr>
              <w:spacing w:before="60" w:after="60" w:line="259" w:lineRule="auto"/>
              <w:rPr>
                <w:sz w:val="26"/>
                <w:szCs w:val="26"/>
              </w:rPr>
            </w:pPr>
            <w:r w:rsidRPr="003951D5">
              <w:rPr>
                <w:sz w:val="26"/>
                <w:szCs w:val="26"/>
              </w:rPr>
              <w:t xml:space="preserve">- Theo yêu cầu của Hồ sơ thiết kế/ Chỉ dẫn kỹ thuật được duyệt; </w:t>
            </w:r>
          </w:p>
        </w:tc>
      </w:tr>
      <w:tr w:rsidR="00030A97" w14:paraId="28551F5B" w14:textId="77777777" w:rsidTr="00C923CD">
        <w:tc>
          <w:tcPr>
            <w:tcW w:w="704" w:type="dxa"/>
            <w:vAlign w:val="center"/>
          </w:tcPr>
          <w:p w14:paraId="0E5777F6" w14:textId="56FD80E9" w:rsidR="00030A97" w:rsidRPr="003951D5" w:rsidRDefault="00030A97" w:rsidP="00030A97">
            <w:pPr>
              <w:spacing w:before="60" w:after="60" w:line="259" w:lineRule="auto"/>
              <w:jc w:val="center"/>
              <w:rPr>
                <w:sz w:val="26"/>
                <w:szCs w:val="26"/>
              </w:rPr>
            </w:pPr>
            <w:r>
              <w:rPr>
                <w:sz w:val="26"/>
                <w:szCs w:val="26"/>
              </w:rPr>
              <w:t>6</w:t>
            </w:r>
          </w:p>
        </w:tc>
        <w:tc>
          <w:tcPr>
            <w:tcW w:w="2552" w:type="dxa"/>
            <w:vAlign w:val="center"/>
          </w:tcPr>
          <w:p w14:paraId="4CA1E338" w14:textId="106AEBBC" w:rsidR="00030A97" w:rsidRDefault="00030A97" w:rsidP="00030A97">
            <w:pPr>
              <w:spacing w:before="60" w:after="60" w:line="259" w:lineRule="auto"/>
              <w:rPr>
                <w:sz w:val="26"/>
                <w:szCs w:val="26"/>
              </w:rPr>
            </w:pPr>
            <w:r>
              <w:rPr>
                <w:sz w:val="26"/>
                <w:szCs w:val="26"/>
              </w:rPr>
              <w:t>Bê tông thương phẩm</w:t>
            </w:r>
          </w:p>
        </w:tc>
        <w:tc>
          <w:tcPr>
            <w:tcW w:w="5804" w:type="dxa"/>
            <w:vAlign w:val="center"/>
          </w:tcPr>
          <w:p w14:paraId="5345EC4E" w14:textId="77777777" w:rsidR="00030A97" w:rsidRPr="003951D5" w:rsidRDefault="00030A97" w:rsidP="00030A97">
            <w:pPr>
              <w:spacing w:before="60" w:after="60" w:line="259" w:lineRule="auto"/>
              <w:rPr>
                <w:sz w:val="26"/>
                <w:szCs w:val="26"/>
              </w:rPr>
            </w:pPr>
            <w:r w:rsidRPr="003951D5">
              <w:rPr>
                <w:sz w:val="26"/>
                <w:szCs w:val="26"/>
              </w:rPr>
              <w:t xml:space="preserve">- Theo yêu cầu của Hồ sơ thiết kế/ Chỉ dẫn kỹ thuật được duyệt; </w:t>
            </w:r>
          </w:p>
          <w:p w14:paraId="7996C6CA" w14:textId="3C875C6E" w:rsidR="00030A97" w:rsidRPr="003951D5" w:rsidRDefault="00030A97" w:rsidP="00030A97">
            <w:pPr>
              <w:spacing w:before="60" w:after="60" w:line="259" w:lineRule="auto"/>
              <w:rPr>
                <w:sz w:val="26"/>
                <w:szCs w:val="26"/>
              </w:rPr>
            </w:pPr>
            <w:r w:rsidRPr="003951D5">
              <w:rPr>
                <w:sz w:val="26"/>
                <w:szCs w:val="26"/>
              </w:rPr>
              <w:t>- Có Catalogue giới thiệu sản phẩm hoặc chứng chỉ chất lượng, công bố chất lượng sản phẩm của nhà sản xuất kèm theo hoặc các tài liệu khác tương đương</w:t>
            </w:r>
          </w:p>
        </w:tc>
      </w:tr>
      <w:tr w:rsidR="00E44BD9" w14:paraId="299F4159" w14:textId="77777777" w:rsidTr="00C923CD">
        <w:tc>
          <w:tcPr>
            <w:tcW w:w="704" w:type="dxa"/>
            <w:vAlign w:val="center"/>
          </w:tcPr>
          <w:p w14:paraId="6DBC35D9" w14:textId="2F480E3F" w:rsidR="00E44BD9" w:rsidRDefault="00E44BD9" w:rsidP="00E44BD9">
            <w:pPr>
              <w:spacing w:before="60" w:after="60" w:line="259" w:lineRule="auto"/>
              <w:jc w:val="center"/>
              <w:rPr>
                <w:sz w:val="26"/>
                <w:szCs w:val="26"/>
              </w:rPr>
            </w:pPr>
            <w:r>
              <w:rPr>
                <w:sz w:val="26"/>
                <w:szCs w:val="26"/>
              </w:rPr>
              <w:t>7</w:t>
            </w:r>
          </w:p>
        </w:tc>
        <w:tc>
          <w:tcPr>
            <w:tcW w:w="2552" w:type="dxa"/>
            <w:vAlign w:val="center"/>
          </w:tcPr>
          <w:p w14:paraId="686AB7DF" w14:textId="61DB561C" w:rsidR="00E44BD9" w:rsidRDefault="00E44BD9" w:rsidP="00E44BD9">
            <w:pPr>
              <w:spacing w:before="60" w:after="60" w:line="259" w:lineRule="auto"/>
              <w:rPr>
                <w:sz w:val="26"/>
                <w:szCs w:val="26"/>
              </w:rPr>
            </w:pPr>
            <w:r>
              <w:rPr>
                <w:sz w:val="26"/>
                <w:szCs w:val="26"/>
              </w:rPr>
              <w:t xml:space="preserve">Bê tông </w:t>
            </w:r>
            <w:r>
              <w:rPr>
                <w:sz w:val="26"/>
                <w:szCs w:val="26"/>
              </w:rPr>
              <w:t>nhựa nóng</w:t>
            </w:r>
          </w:p>
        </w:tc>
        <w:tc>
          <w:tcPr>
            <w:tcW w:w="5804" w:type="dxa"/>
            <w:vAlign w:val="center"/>
          </w:tcPr>
          <w:p w14:paraId="27D64D11" w14:textId="77777777" w:rsidR="00E44BD9" w:rsidRPr="003951D5" w:rsidRDefault="00E44BD9" w:rsidP="00E44BD9">
            <w:pPr>
              <w:spacing w:before="60" w:after="60" w:line="259" w:lineRule="auto"/>
              <w:rPr>
                <w:sz w:val="26"/>
                <w:szCs w:val="26"/>
              </w:rPr>
            </w:pPr>
            <w:r w:rsidRPr="003951D5">
              <w:rPr>
                <w:sz w:val="26"/>
                <w:szCs w:val="26"/>
              </w:rPr>
              <w:t xml:space="preserve">- Theo yêu cầu của Hồ sơ thiết kế/ Chỉ dẫn kỹ thuật được duyệt; </w:t>
            </w:r>
          </w:p>
          <w:p w14:paraId="611CD188" w14:textId="635755F2" w:rsidR="00E44BD9" w:rsidRPr="003951D5" w:rsidRDefault="00E44BD9" w:rsidP="00E44BD9">
            <w:pPr>
              <w:spacing w:before="60" w:after="60" w:line="259" w:lineRule="auto"/>
              <w:rPr>
                <w:sz w:val="26"/>
                <w:szCs w:val="26"/>
              </w:rPr>
            </w:pPr>
            <w:r w:rsidRPr="003951D5">
              <w:rPr>
                <w:sz w:val="26"/>
                <w:szCs w:val="26"/>
              </w:rPr>
              <w:t>- Có Catalogue giới thiệu sản phẩm hoặc chứng chỉ chất lượng, công bố chất lượng sản phẩm của nhà sản xuất kèm theo hoặc các tài liệu khác tương đương</w:t>
            </w:r>
          </w:p>
        </w:tc>
      </w:tr>
    </w:tbl>
    <w:p w14:paraId="19379B66" w14:textId="68EA522B" w:rsidR="00374B25" w:rsidRDefault="00AA4938" w:rsidP="00AA4938">
      <w:pPr>
        <w:spacing w:before="60" w:after="60" w:line="259" w:lineRule="auto"/>
        <w:ind w:firstLine="567"/>
        <w:rPr>
          <w:bCs/>
          <w:sz w:val="28"/>
          <w:szCs w:val="28"/>
        </w:rPr>
      </w:pPr>
      <w:r w:rsidRPr="00AA4938">
        <w:rPr>
          <w:bCs/>
          <w:sz w:val="28"/>
          <w:szCs w:val="28"/>
        </w:rPr>
        <w:t>- Bên mời thầu có quyền yêu cầu và nhà thầu có trách nhiệm cung cấp các</w:t>
      </w:r>
      <w:r>
        <w:rPr>
          <w:bCs/>
          <w:sz w:val="28"/>
          <w:szCs w:val="28"/>
        </w:rPr>
        <w:t xml:space="preserve"> </w:t>
      </w:r>
      <w:r w:rsidRPr="00AA4938">
        <w:rPr>
          <w:bCs/>
          <w:sz w:val="28"/>
          <w:szCs w:val="28"/>
        </w:rPr>
        <w:t>hồ sơ cần thiết khi bên mời thầu cần làm rõ các thông tin về 1 số loại vật tư, thiết</w:t>
      </w:r>
      <w:r w:rsidRPr="00AA4938">
        <w:rPr>
          <w:bCs/>
          <w:sz w:val="28"/>
          <w:szCs w:val="28"/>
        </w:rPr>
        <w:br/>
        <w:t>bị do nhà thầu chào. Trường hợp nhà thầu không cung cấp hồ sơ, tài liệu về vật</w:t>
      </w:r>
      <w:r>
        <w:rPr>
          <w:bCs/>
          <w:sz w:val="28"/>
          <w:szCs w:val="28"/>
        </w:rPr>
        <w:t xml:space="preserve"> </w:t>
      </w:r>
      <w:r w:rsidRPr="00AA4938">
        <w:rPr>
          <w:bCs/>
          <w:sz w:val="28"/>
          <w:szCs w:val="28"/>
        </w:rPr>
        <w:t>tư, thiết bị chào thầu hoặc tài liệu, hồ sơ không đầy đủ thì trong trường hợp trúng</w:t>
      </w:r>
      <w:r w:rsidRPr="00AA4938">
        <w:rPr>
          <w:bCs/>
          <w:sz w:val="28"/>
          <w:szCs w:val="28"/>
        </w:rPr>
        <w:br/>
      </w:r>
      <w:r w:rsidRPr="00AA4938">
        <w:rPr>
          <w:bCs/>
          <w:sz w:val="28"/>
          <w:szCs w:val="28"/>
        </w:rPr>
        <w:lastRenderedPageBreak/>
        <w:t>thầu, những phần chưa rõ hoặc thiếu sót sẽ do bên mời thầu quy định và nhà thầu</w:t>
      </w:r>
      <w:r>
        <w:rPr>
          <w:bCs/>
          <w:sz w:val="28"/>
          <w:szCs w:val="28"/>
        </w:rPr>
        <w:t xml:space="preserve"> </w:t>
      </w:r>
      <w:r w:rsidRPr="00AA4938">
        <w:rPr>
          <w:bCs/>
          <w:sz w:val="28"/>
          <w:szCs w:val="28"/>
        </w:rPr>
        <w:t>phải tuân thủ vô điều kiện các quy định đó khi tiến hành thi công công trình mà</w:t>
      </w:r>
      <w:r>
        <w:rPr>
          <w:bCs/>
          <w:sz w:val="28"/>
          <w:szCs w:val="28"/>
        </w:rPr>
        <w:t xml:space="preserve"> </w:t>
      </w:r>
      <w:r w:rsidRPr="00AA4938">
        <w:rPr>
          <w:bCs/>
          <w:sz w:val="28"/>
          <w:szCs w:val="28"/>
        </w:rPr>
        <w:t>không được điều chỉnh đơn giá thanh toán trong hợp đồng.</w:t>
      </w:r>
    </w:p>
    <w:p w14:paraId="14BCE91E" w14:textId="6E5B824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Nhà thầu phải lập danh mục các vật tư, vật liệu, thiết bị đưa vào để thi công</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theo mẫu tại </w:t>
      </w:r>
      <w:r w:rsidRPr="00AA4938">
        <w:rPr>
          <w:rStyle w:val="fontstyle21"/>
          <w:rFonts w:ascii="Times New Roman" w:eastAsiaTheme="majorEastAsia" w:hAnsi="Times New Roman"/>
          <w:sz w:val="28"/>
          <w:szCs w:val="28"/>
        </w:rPr>
        <w:t xml:space="preserve">Bảng 3.2 </w:t>
      </w:r>
      <w:r w:rsidRPr="00AA4938">
        <w:rPr>
          <w:rStyle w:val="fontstyle01"/>
          <w:rFonts w:ascii="Times New Roman" w:eastAsiaTheme="majorEastAsia" w:hAnsi="Times New Roman"/>
          <w:sz w:val="28"/>
          <w:szCs w:val="28"/>
        </w:rPr>
        <w:t>(các nội dung kê khai phù hợp với từng loại cụ thể) cho tất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 xml:space="preserve">cả các loại vật tư, vật liệu chính quy định tại </w:t>
      </w:r>
      <w:r w:rsidRPr="00AA4938">
        <w:rPr>
          <w:rStyle w:val="fontstyle21"/>
          <w:rFonts w:ascii="Times New Roman" w:eastAsiaTheme="majorEastAsia" w:hAnsi="Times New Roman"/>
          <w:sz w:val="28"/>
          <w:szCs w:val="28"/>
        </w:rPr>
        <w:t xml:space="preserve">Bảng 3.1 </w:t>
      </w:r>
      <w:r w:rsidRPr="00AA4938">
        <w:rPr>
          <w:rStyle w:val="fontstyle01"/>
          <w:rFonts w:ascii="Times New Roman" w:eastAsiaTheme="majorEastAsia" w:hAnsi="Times New Roman"/>
          <w:sz w:val="28"/>
          <w:szCs w:val="28"/>
        </w:rPr>
        <w:t>và cung cấp các tài liệu</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chứng minh nguồn gốc xuất xứ, thông số kỹ thuật, tiêu chuẩn chất lượng như</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Catalouge hoặc chứng chỉ chất lượng hoặc công bố chất lượng sản phẩm của nhà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sản xuất hoặc các tài liệu khác tương đương.</w:t>
      </w:r>
    </w:p>
    <w:p w14:paraId="041E8204" w14:textId="50BA3F37" w:rsidR="0081043A" w:rsidRPr="00374B25" w:rsidRDefault="0081043A" w:rsidP="0081043A">
      <w:pPr>
        <w:spacing w:before="60" w:after="60" w:line="259" w:lineRule="auto"/>
        <w:ind w:firstLine="567"/>
        <w:rPr>
          <w:b/>
          <w:bCs/>
          <w:sz w:val="28"/>
          <w:szCs w:val="28"/>
        </w:rPr>
      </w:pPr>
      <w:r w:rsidRPr="00374B25">
        <w:rPr>
          <w:b/>
          <w:bCs/>
          <w:sz w:val="28"/>
          <w:szCs w:val="28"/>
        </w:rPr>
        <w:t>Bảng 3.</w:t>
      </w:r>
      <w:r>
        <w:rPr>
          <w:b/>
          <w:bCs/>
          <w:sz w:val="28"/>
          <w:szCs w:val="28"/>
        </w:rPr>
        <w:t>2</w:t>
      </w:r>
      <w:r w:rsidRPr="00374B25">
        <w:rPr>
          <w:b/>
          <w:bCs/>
          <w:sz w:val="28"/>
          <w:szCs w:val="28"/>
        </w:rPr>
        <w:t xml:space="preserve">: </w:t>
      </w:r>
      <w:r w:rsidRPr="0081043A">
        <w:rPr>
          <w:b/>
          <w:bCs/>
          <w:sz w:val="28"/>
          <w:szCs w:val="28"/>
        </w:rPr>
        <w:t>Bảng kê các vật tư, vật liệu chính sử dụng cho gói thầu</w:t>
      </w:r>
    </w:p>
    <w:tbl>
      <w:tblPr>
        <w:tblStyle w:val="TableGrid"/>
        <w:tblW w:w="0" w:type="auto"/>
        <w:tblLook w:val="04A0" w:firstRow="1" w:lastRow="0" w:firstColumn="1" w:lastColumn="0" w:noHBand="0" w:noVBand="1"/>
      </w:tblPr>
      <w:tblGrid>
        <w:gridCol w:w="1271"/>
        <w:gridCol w:w="2353"/>
        <w:gridCol w:w="1812"/>
        <w:gridCol w:w="1812"/>
        <w:gridCol w:w="1812"/>
      </w:tblGrid>
      <w:tr w:rsidR="0081043A" w14:paraId="4264677A" w14:textId="77777777" w:rsidTr="0081043A">
        <w:trPr>
          <w:trHeight w:val="1098"/>
        </w:trPr>
        <w:tc>
          <w:tcPr>
            <w:tcW w:w="1271" w:type="dxa"/>
            <w:vAlign w:val="center"/>
          </w:tcPr>
          <w:p w14:paraId="42ED1FAC" w14:textId="101DE652"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r w:rsidRPr="0081043A">
              <w:rPr>
                <w:rStyle w:val="fontstyle01"/>
                <w:rFonts w:ascii="Times New Roman" w:eastAsiaTheme="majorEastAsia" w:hAnsi="Times New Roman"/>
                <w:b/>
                <w:sz w:val="28"/>
                <w:szCs w:val="28"/>
              </w:rPr>
              <w:t>Stt</w:t>
            </w:r>
          </w:p>
        </w:tc>
        <w:tc>
          <w:tcPr>
            <w:tcW w:w="2353" w:type="dxa"/>
            <w:vAlign w:val="center"/>
          </w:tcPr>
          <w:p w14:paraId="1DE4E593" w14:textId="5116EDAD"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Tên loại vật tư, vật liệu, thiết bị</w:t>
            </w:r>
          </w:p>
        </w:tc>
        <w:tc>
          <w:tcPr>
            <w:tcW w:w="1812" w:type="dxa"/>
            <w:vAlign w:val="center"/>
          </w:tcPr>
          <w:p w14:paraId="7147F4F1" w14:textId="77A8E41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Model/ Mã hiệu sản phẩm</w:t>
            </w:r>
          </w:p>
        </w:tc>
        <w:tc>
          <w:tcPr>
            <w:tcW w:w="1812" w:type="dxa"/>
            <w:vAlign w:val="center"/>
          </w:tcPr>
          <w:p w14:paraId="708CB8C2" w14:textId="2543CCFB"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Hãng sản xuất/ Xuất xứ</w:t>
            </w:r>
          </w:p>
        </w:tc>
        <w:tc>
          <w:tcPr>
            <w:tcW w:w="1812" w:type="dxa"/>
            <w:vAlign w:val="center"/>
          </w:tcPr>
          <w:p w14:paraId="6198EA61" w14:textId="4A4EA731" w:rsidR="0081043A" w:rsidRPr="0081043A" w:rsidRDefault="0081043A" w:rsidP="0081043A">
            <w:pPr>
              <w:jc w:val="center"/>
              <w:rPr>
                <w:rStyle w:val="fontstyle01"/>
                <w:rFonts w:ascii="Times New Roman" w:eastAsiaTheme="majorEastAsia" w:hAnsi="Times New Roman"/>
                <w:b/>
                <w:sz w:val="28"/>
                <w:szCs w:val="28"/>
              </w:rPr>
            </w:pPr>
            <w:r w:rsidRPr="0081043A">
              <w:rPr>
                <w:rStyle w:val="fontstyle01"/>
                <w:rFonts w:eastAsiaTheme="majorEastAsia"/>
                <w:b/>
              </w:rPr>
              <w:t>Thông số kỹ thuật/Tiêu chuẩn áp dụng</w:t>
            </w:r>
          </w:p>
        </w:tc>
      </w:tr>
      <w:tr w:rsidR="0081043A" w14:paraId="2EEC60ED" w14:textId="77777777" w:rsidTr="0081043A">
        <w:trPr>
          <w:trHeight w:val="423"/>
        </w:trPr>
        <w:tc>
          <w:tcPr>
            <w:tcW w:w="1271" w:type="dxa"/>
          </w:tcPr>
          <w:p w14:paraId="5DC3148B"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1FF80FC9" w14:textId="77777777" w:rsidR="0081043A" w:rsidRPr="0081043A" w:rsidRDefault="0081043A" w:rsidP="0081043A">
            <w:pPr>
              <w:jc w:val="center"/>
              <w:rPr>
                <w:rStyle w:val="fontstyle01"/>
                <w:rFonts w:eastAsiaTheme="majorEastAsia"/>
                <w:b/>
              </w:rPr>
            </w:pPr>
          </w:p>
        </w:tc>
        <w:tc>
          <w:tcPr>
            <w:tcW w:w="1812" w:type="dxa"/>
          </w:tcPr>
          <w:p w14:paraId="0A824C18" w14:textId="77777777" w:rsidR="0081043A" w:rsidRPr="0081043A" w:rsidRDefault="0081043A" w:rsidP="0081043A">
            <w:pPr>
              <w:jc w:val="center"/>
              <w:rPr>
                <w:rStyle w:val="fontstyle01"/>
                <w:rFonts w:eastAsiaTheme="majorEastAsia"/>
                <w:b/>
              </w:rPr>
            </w:pPr>
          </w:p>
        </w:tc>
        <w:tc>
          <w:tcPr>
            <w:tcW w:w="1812" w:type="dxa"/>
          </w:tcPr>
          <w:p w14:paraId="43ADDF6E" w14:textId="77777777" w:rsidR="0081043A" w:rsidRPr="0081043A" w:rsidRDefault="0081043A" w:rsidP="0081043A">
            <w:pPr>
              <w:jc w:val="center"/>
              <w:rPr>
                <w:rStyle w:val="fontstyle01"/>
                <w:rFonts w:eastAsiaTheme="majorEastAsia"/>
                <w:b/>
              </w:rPr>
            </w:pPr>
          </w:p>
        </w:tc>
        <w:tc>
          <w:tcPr>
            <w:tcW w:w="1812" w:type="dxa"/>
          </w:tcPr>
          <w:p w14:paraId="006146F9" w14:textId="77777777" w:rsidR="0081043A" w:rsidRPr="0081043A" w:rsidRDefault="0081043A" w:rsidP="0081043A">
            <w:pPr>
              <w:jc w:val="center"/>
              <w:rPr>
                <w:rStyle w:val="fontstyle01"/>
                <w:rFonts w:eastAsiaTheme="majorEastAsia"/>
                <w:b/>
              </w:rPr>
            </w:pPr>
          </w:p>
        </w:tc>
      </w:tr>
      <w:tr w:rsidR="0081043A" w14:paraId="7E6EDE6E" w14:textId="77777777" w:rsidTr="0081043A">
        <w:trPr>
          <w:trHeight w:val="529"/>
        </w:trPr>
        <w:tc>
          <w:tcPr>
            <w:tcW w:w="1271" w:type="dxa"/>
          </w:tcPr>
          <w:p w14:paraId="57E27C5F" w14:textId="77777777" w:rsidR="0081043A" w:rsidRPr="0081043A" w:rsidRDefault="0081043A" w:rsidP="0081043A">
            <w:pPr>
              <w:spacing w:before="60" w:after="60" w:line="259" w:lineRule="auto"/>
              <w:jc w:val="center"/>
              <w:rPr>
                <w:rStyle w:val="fontstyle01"/>
                <w:rFonts w:ascii="Times New Roman" w:eastAsiaTheme="majorEastAsia" w:hAnsi="Times New Roman"/>
                <w:b/>
                <w:sz w:val="28"/>
                <w:szCs w:val="28"/>
              </w:rPr>
            </w:pPr>
          </w:p>
        </w:tc>
        <w:tc>
          <w:tcPr>
            <w:tcW w:w="2353" w:type="dxa"/>
          </w:tcPr>
          <w:p w14:paraId="26CA3682" w14:textId="77777777" w:rsidR="0081043A" w:rsidRPr="0081043A" w:rsidRDefault="0081043A" w:rsidP="0081043A">
            <w:pPr>
              <w:jc w:val="center"/>
              <w:rPr>
                <w:rStyle w:val="fontstyle01"/>
                <w:rFonts w:eastAsiaTheme="majorEastAsia"/>
                <w:b/>
              </w:rPr>
            </w:pPr>
          </w:p>
        </w:tc>
        <w:tc>
          <w:tcPr>
            <w:tcW w:w="1812" w:type="dxa"/>
          </w:tcPr>
          <w:p w14:paraId="3699E594" w14:textId="77777777" w:rsidR="0081043A" w:rsidRPr="0081043A" w:rsidRDefault="0081043A" w:rsidP="0081043A">
            <w:pPr>
              <w:jc w:val="center"/>
              <w:rPr>
                <w:rStyle w:val="fontstyle01"/>
                <w:rFonts w:eastAsiaTheme="majorEastAsia"/>
                <w:b/>
              </w:rPr>
            </w:pPr>
          </w:p>
        </w:tc>
        <w:tc>
          <w:tcPr>
            <w:tcW w:w="1812" w:type="dxa"/>
          </w:tcPr>
          <w:p w14:paraId="49093C20" w14:textId="77777777" w:rsidR="0081043A" w:rsidRPr="0081043A" w:rsidRDefault="0081043A" w:rsidP="0081043A">
            <w:pPr>
              <w:jc w:val="center"/>
              <w:rPr>
                <w:rStyle w:val="fontstyle01"/>
                <w:rFonts w:eastAsiaTheme="majorEastAsia"/>
                <w:b/>
              </w:rPr>
            </w:pPr>
          </w:p>
        </w:tc>
        <w:tc>
          <w:tcPr>
            <w:tcW w:w="1812" w:type="dxa"/>
          </w:tcPr>
          <w:p w14:paraId="02547DE8" w14:textId="77777777" w:rsidR="0081043A" w:rsidRPr="0081043A" w:rsidRDefault="0081043A" w:rsidP="0081043A">
            <w:pPr>
              <w:jc w:val="center"/>
              <w:rPr>
                <w:rStyle w:val="fontstyle01"/>
                <w:rFonts w:eastAsiaTheme="majorEastAsia"/>
                <w:b/>
              </w:rPr>
            </w:pPr>
          </w:p>
        </w:tc>
      </w:tr>
    </w:tbl>
    <w:p w14:paraId="1EDC35FF" w14:textId="77777777" w:rsid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Trường hợp nhà thầu không kê khai đầy đủ danh mục vật tư, vật liệu, thiết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bị theo quy định tại Bảng 3.1 thì trong trường hợp trúng thầu, những vật tư, vật</w:t>
      </w:r>
      <w:r w:rsidRPr="00AA4938">
        <w:rPr>
          <w:rStyle w:val="fontstyle01"/>
          <w:rFonts w:ascii="Times New Roman" w:eastAsiaTheme="majorEastAsia" w:hAnsi="Times New Roman"/>
          <w:sz w:val="28"/>
          <w:szCs w:val="28"/>
        </w:rPr>
        <w:br/>
        <w:t>liệu, thiết bị không kê khai sẽ do bên mời thầu quy định và nhà thầu phải tuân thủ</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vô điều kiện các quy định đó trong quá trình thi công công trình.</w:t>
      </w:r>
    </w:p>
    <w:p w14:paraId="72CCEDBF" w14:textId="2E4A2ADF" w:rsidR="00AA4938" w:rsidRPr="00AA4938" w:rsidRDefault="00AA4938" w:rsidP="00AA4938">
      <w:pPr>
        <w:spacing w:before="60" w:after="60" w:line="259" w:lineRule="auto"/>
        <w:ind w:firstLine="567"/>
        <w:rPr>
          <w:rStyle w:val="fontstyle01"/>
          <w:rFonts w:ascii="Times New Roman" w:eastAsiaTheme="majorEastAsia" w:hAnsi="Times New Roman"/>
          <w:sz w:val="28"/>
          <w:szCs w:val="28"/>
        </w:rPr>
      </w:pPr>
      <w:r w:rsidRPr="00AA4938">
        <w:rPr>
          <w:rStyle w:val="fontstyle01"/>
          <w:rFonts w:ascii="Times New Roman" w:eastAsiaTheme="majorEastAsia" w:hAnsi="Times New Roman"/>
          <w:sz w:val="28"/>
          <w:szCs w:val="28"/>
        </w:rPr>
        <w:t>- Lưu ý: Nếu trong hồ sơ mời thầu, hồ sơ thiết kế (bao gồm cả bản vẽ, thuyết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minh, chỉ dẫn kỹ thuật (nếu có)) có nêu yêu cầu về nhãn hiệu, catalogue, hãng sản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xuất, xuất xứ của thiết bị, vật tư, vật liệu nào đó thì được hiểu là chỉ mang tính</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chất hướng dẫn, không mang tính chất bắt buộc. Nhà thầu lập hồ sơ dự thầu căn</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cứ các yêu cầu, thông số kỹ thuật của các loại vật tư, vật liệu, thiết bị phải đảm</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bảo có đặc tính kỹ thuật tương tự, có tính năng sử dụng là tương đương hoặc tốt</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hơn với các yêu cầu của hồ sơ mời thầu, hồ sơ thiết kế; đảm bảo tính đồng bộ và</w:t>
      </w:r>
      <w:r>
        <w:rPr>
          <w:rStyle w:val="fontstyle01"/>
          <w:rFonts w:ascii="Times New Roman" w:eastAsiaTheme="majorEastAsia" w:hAnsi="Times New Roman"/>
          <w:sz w:val="28"/>
          <w:szCs w:val="28"/>
        </w:rPr>
        <w:t xml:space="preserve"> </w:t>
      </w:r>
      <w:r w:rsidRPr="00AA4938">
        <w:rPr>
          <w:rStyle w:val="fontstyle01"/>
          <w:rFonts w:ascii="Times New Roman" w:eastAsiaTheme="majorEastAsia" w:hAnsi="Times New Roman"/>
          <w:sz w:val="28"/>
          <w:szCs w:val="28"/>
        </w:rPr>
        <w:t>tương thích với các chủng loại thiết bị trong công trình.</w:t>
      </w:r>
    </w:p>
    <w:p w14:paraId="40D9C44F" w14:textId="4BA87905" w:rsidR="00EA597B" w:rsidRPr="00BB50C7" w:rsidRDefault="00EA597B" w:rsidP="00EA597B">
      <w:pPr>
        <w:spacing w:before="60" w:after="60" w:line="259" w:lineRule="auto"/>
        <w:ind w:firstLine="567"/>
        <w:rPr>
          <w:b/>
          <w:bCs/>
          <w:sz w:val="28"/>
          <w:szCs w:val="28"/>
        </w:rPr>
      </w:pPr>
      <w:r w:rsidRPr="00BB50C7">
        <w:rPr>
          <w:b/>
          <w:bCs/>
          <w:sz w:val="28"/>
          <w:szCs w:val="28"/>
        </w:rPr>
        <w:t>4. Yêu cầu về trình tự thi công, lắp đặt</w:t>
      </w:r>
    </w:p>
    <w:p w14:paraId="7D4CF219" w14:textId="77777777" w:rsidR="00EA597B" w:rsidRPr="00BB50C7" w:rsidRDefault="00EA597B" w:rsidP="00EA597B">
      <w:pPr>
        <w:spacing w:before="60" w:after="60" w:line="259" w:lineRule="auto"/>
        <w:ind w:firstLine="567"/>
        <w:rPr>
          <w:bCs/>
          <w:sz w:val="28"/>
          <w:szCs w:val="28"/>
        </w:rPr>
      </w:pPr>
      <w:r w:rsidRPr="00BB50C7">
        <w:rPr>
          <w:bCs/>
          <w:sz w:val="28"/>
          <w:szCs w:val="28"/>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0BF09C66"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rPr>
        <w:t>5. Các yêu cầu về vận hành thử nghiệm, an toàn</w:t>
      </w:r>
    </w:p>
    <w:p w14:paraId="28ACBD8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Sau khi thi công xây dựng xong Nhà thầu phải có kế hoạch đào tạo, vận hành thử nghiệm toàn bộ hệ thống và chuyển giao công nghệ cho Chủ đầu tư.</w:t>
      </w:r>
    </w:p>
    <w:p w14:paraId="05EF16DF"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6. Yêu cầu về phòng, chống cháy nổ</w:t>
      </w:r>
    </w:p>
    <w:p w14:paraId="404D190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Tuân thủ theo đúng các quy định hiện hành về an toàn phòng, chống cháy, nổ trong suốt quá trình thi công xây dựng công trình (Từ khi khởi công đến khi hoàn thành bàn giao công trình đưa vào sử dụng).</w:t>
      </w:r>
    </w:p>
    <w:p w14:paraId="68C67F07"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7. Các yêu cầu về vệ sinh môi trường</w:t>
      </w:r>
    </w:p>
    <w:p w14:paraId="22042D0D"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154108B8"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dọn dẹp toàn bộ hệ thống kho bãi công trình, tổng vệ sinh các hạng mục, thu dọn phế thải để hoàn nguyên cảnh quan khu vực trước khi tiến hành nghiệm thu bàn giao công trình.</w:t>
      </w:r>
    </w:p>
    <w:p w14:paraId="7AF828C6"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8. Các yêu cầu về an toàn lao động</w:t>
      </w:r>
    </w:p>
    <w:p w14:paraId="1D411B0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65B6D958" w14:textId="2C78A24D"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Ngay trước khi bắt đầu tiến hành thi công. Nhà thầu phải trình TVGS bản biện pháp an toàn lao động. Biện pháp này bao gồm cả huấn luyện an toàn cho toàn nhân viên, người chỉ huy việc thực hiện gói thầu này.</w:t>
      </w:r>
    </w:p>
    <w:p w14:paraId="32BD043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1856DC5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574FB7D7"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284CA2D3"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sẽ không được thanh toán riêng phần đảm bảo an toàn lao động mà sẽ được thanh toán trong mục tương tự trong giá dự thầu.</w:t>
      </w:r>
    </w:p>
    <w:p w14:paraId="1F0F4BD3" w14:textId="77777777" w:rsidR="00EA597B" w:rsidRPr="00BB50C7" w:rsidRDefault="00EA597B" w:rsidP="00EA597B">
      <w:pPr>
        <w:spacing w:before="60" w:after="60" w:line="276" w:lineRule="auto"/>
        <w:ind w:firstLine="567"/>
        <w:rPr>
          <w:b/>
          <w:bCs/>
          <w:sz w:val="28"/>
          <w:szCs w:val="28"/>
          <w:lang w:val="vi-VN"/>
        </w:rPr>
      </w:pPr>
      <w:r w:rsidRPr="00BB50C7">
        <w:rPr>
          <w:b/>
          <w:bCs/>
          <w:sz w:val="28"/>
          <w:szCs w:val="28"/>
          <w:lang w:val="vi-VN"/>
        </w:rPr>
        <w:t>9. Biện pháp huy động nhân lực và thiết bị phục vụ thi công</w:t>
      </w:r>
    </w:p>
    <w:p w14:paraId="28DCA8F5"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phải có biện pháp huy động nhân lực và thiết bị phục vụ thi công hợp lý, đáp ứng yêu cầu kỹ thuật và tiến độ cam kết trong E-HSDT.</w:t>
      </w:r>
    </w:p>
    <w:p w14:paraId="344A8789"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lastRenderedPageBreak/>
        <w:t xml:space="preserve">Những thiết bị xe máy đưa vào công trình đều là loại được lựa chọn có công suất và tính năng phù hợp, chất lượng còn tốt, đảm bảo an toàn, vệ sinh môi trường. </w:t>
      </w:r>
    </w:p>
    <w:p w14:paraId="2A3E6604"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36DC79BA"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433698FB" w14:textId="77777777" w:rsidR="00EA597B" w:rsidRPr="00BB50C7" w:rsidRDefault="00EA597B" w:rsidP="00EA597B">
      <w:pPr>
        <w:spacing w:before="60" w:after="60" w:line="276" w:lineRule="auto"/>
        <w:ind w:firstLine="567"/>
        <w:rPr>
          <w:bCs/>
          <w:sz w:val="28"/>
          <w:szCs w:val="28"/>
          <w:lang w:val="vi-VN"/>
        </w:rPr>
      </w:pPr>
      <w:r w:rsidRPr="00BB50C7">
        <w:rPr>
          <w:bCs/>
          <w:sz w:val="28"/>
          <w:szCs w:val="28"/>
          <w:lang w:val="vi-VN"/>
        </w:rPr>
        <w:t>Tất cả các chi phí liên quan đến vận hành, bảo dưỡng, khấu hao và dời chuyển các máy móc thi công phải được tính trong giá dự thầu.</w:t>
      </w:r>
    </w:p>
    <w:p w14:paraId="2097A8CE"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 xml:space="preserve">10. Yêu cầu về biện pháp tổ chức thi công tổng thể và các hạng mục </w:t>
      </w:r>
    </w:p>
    <w:p w14:paraId="7533B595"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BCA11A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Biện pháp thi công các hạng mục của nhà thầu phải có đầy đủ các công việc theo bảng tiên lượng mời thầu nêu tại chương IV của E-HSMT đáp ứng thiết kế bản vẽ thi công và tiêu chuẩn, quy chuẩn và các văn bản pháp luật hiện hành bao gồm:</w:t>
      </w:r>
    </w:p>
    <w:p w14:paraId="7214560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a) Trong bản yêu cầu kỹ thuật này biện pháp thi công bao gồm các phần sau:</w:t>
      </w:r>
    </w:p>
    <w:p w14:paraId="113588B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Tiến độ thi công.</w:t>
      </w:r>
    </w:p>
    <w:p w14:paraId="4DCA884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Bản vẽ biện pháp thi công thể hiện các chi tiết yêu cầu cần đặc biệt lưu ý các biện pháp để tổ chức thi công gói thầu.</w:t>
      </w:r>
    </w:p>
    <w:p w14:paraId="6DDA132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Tính toán thiết kế các công trình tạm.</w:t>
      </w:r>
    </w:p>
    <w:p w14:paraId="621DD4C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Vật liệu, máy móc và nhân công cần thiết cho mỗi giai đoạn thi công.</w:t>
      </w:r>
    </w:p>
    <w:p w14:paraId="2D798C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nhu cầu cần thiết khác.</w:t>
      </w:r>
    </w:p>
    <w:p w14:paraId="2B071E1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b) Tiếp nhận mặt bằng công trình: </w:t>
      </w:r>
    </w:p>
    <w:p w14:paraId="4B19345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phải nộp bản tường trình biện pháp thi công chi tiết của cả việc thi công công trình chính và công trình tạm để Kỹ sư giám sát xem xét trước khi khởi công công trình.</w:t>
      </w:r>
    </w:p>
    <w:p w14:paraId="20F9AFFF"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25E17A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5627D79A"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187215C" w14:textId="77777777" w:rsidR="00EA597B" w:rsidRPr="008A1575" w:rsidRDefault="00EA597B" w:rsidP="00EA597B">
      <w:pPr>
        <w:spacing w:before="60" w:after="60" w:line="259" w:lineRule="auto"/>
        <w:ind w:firstLine="567"/>
        <w:rPr>
          <w:bCs/>
          <w:spacing w:val="-2"/>
          <w:sz w:val="28"/>
          <w:szCs w:val="28"/>
          <w:lang w:val="vi-VN"/>
        </w:rPr>
      </w:pPr>
      <w:r w:rsidRPr="008A1575">
        <w:rPr>
          <w:bCs/>
          <w:spacing w:val="-2"/>
          <w:sz w:val="28"/>
          <w:szCs w:val="28"/>
          <w:lang w:val="vi-VN"/>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4817AE4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4F8583D4" w14:textId="77777777" w:rsidR="00EA597B" w:rsidRPr="008A1575" w:rsidRDefault="00EA597B" w:rsidP="00EA597B">
      <w:pPr>
        <w:spacing w:before="60" w:after="60" w:line="269" w:lineRule="auto"/>
        <w:ind w:firstLine="567"/>
        <w:rPr>
          <w:bCs/>
          <w:spacing w:val="-2"/>
          <w:sz w:val="28"/>
          <w:szCs w:val="28"/>
          <w:lang w:val="vi-VN"/>
        </w:rPr>
      </w:pPr>
      <w:r w:rsidRPr="008A1575">
        <w:rPr>
          <w:bCs/>
          <w:spacing w:val="-2"/>
          <w:sz w:val="28"/>
          <w:szCs w:val="28"/>
          <w:lang w:val="vi-VN"/>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501F3208"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57CF4AD3"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46766C6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48296689"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774F7BAB"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w:t>
      </w:r>
      <w:r w:rsidRPr="00BB50C7">
        <w:rPr>
          <w:bCs/>
          <w:sz w:val="28"/>
          <w:szCs w:val="28"/>
          <w:lang w:val="vi-VN"/>
        </w:rPr>
        <w:lastRenderedPageBreak/>
        <w:t>chắn bảo vệ và hệ thống đường dây treo trên cột dẫn tới các điểm dùng điện, có tiếp đất an toàn theo đúng tiêu chuẩn an toàn về điện hiện hành.</w:t>
      </w:r>
    </w:p>
    <w:p w14:paraId="3F485086"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5445F2D4"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l) Thoát nước: Trên mặt bằng thi công, Nhà thầu cần bố trí hệ thống thoát nước tạm bằng mương và ống thích hợp. </w:t>
      </w:r>
    </w:p>
    <w:p w14:paraId="1A819A2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 xml:space="preserve">m) Đường thi công: Nhà thầu phải tự làm đường tạm để phục vụ quá trình thi công (nếu cần thiết). Sử dụng vận chuyển vật liệu khu vực thi công. </w:t>
      </w:r>
    </w:p>
    <w:p w14:paraId="79040D5A"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n) Thông tin liên lạc: Nhà thầu cần liên hệ đặt hệ thống thông tin liên lạc, máy điện thoại tạm thời tại khu công trường để đảm bảo liên lạc với các bên liên quan liên tục 24/24 giờ.</w:t>
      </w:r>
    </w:p>
    <w:p w14:paraId="2B813C91" w14:textId="77777777" w:rsidR="00EA597B" w:rsidRPr="00BB50C7" w:rsidRDefault="00EA597B" w:rsidP="00EA597B">
      <w:pPr>
        <w:spacing w:before="60" w:after="60" w:line="269" w:lineRule="auto"/>
        <w:ind w:firstLine="567"/>
        <w:rPr>
          <w:bCs/>
          <w:sz w:val="28"/>
          <w:szCs w:val="28"/>
          <w:lang w:val="vi-VN"/>
        </w:rPr>
      </w:pPr>
      <w:r w:rsidRPr="00BB50C7">
        <w:rPr>
          <w:bCs/>
          <w:sz w:val="28"/>
          <w:szCs w:val="28"/>
          <w:lang w:val="vi-VN"/>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17FD5EB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6E277CBA" w14:textId="77777777" w:rsidR="00EA597B" w:rsidRPr="00BB50C7" w:rsidRDefault="00EA597B" w:rsidP="00EA597B">
      <w:pPr>
        <w:spacing w:before="60" w:after="60" w:line="259" w:lineRule="auto"/>
        <w:ind w:firstLine="567"/>
        <w:rPr>
          <w:b/>
          <w:bCs/>
          <w:sz w:val="28"/>
          <w:szCs w:val="28"/>
          <w:lang w:val="vi-VN"/>
        </w:rPr>
      </w:pPr>
      <w:r w:rsidRPr="00BB50C7">
        <w:rPr>
          <w:b/>
          <w:bCs/>
          <w:sz w:val="28"/>
          <w:szCs w:val="28"/>
          <w:lang w:val="vi-VN"/>
        </w:rPr>
        <w:t>11. Hệ thống kiểm tra, giám sát chất lượng của nhà thầu</w:t>
      </w:r>
    </w:p>
    <w:p w14:paraId="7BE8DB2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2F2BB963"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3B73E5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83A433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 xml:space="preserve"> 11.4. Quản lý môi trường, các biện pháp giảm thiểu (biện pháp giảm thiểu tiếng ồn; biện pháp giảm thiểu bụi, khói; biện pháp kiểm soát rác thải, nhà vệ sinh của công nhân trên công trường).</w:t>
      </w:r>
    </w:p>
    <w:p w14:paraId="1E316B8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11.5 Công tác đổ phế thải</w:t>
      </w:r>
    </w:p>
    <w:p w14:paraId="68F6C5A6"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Công tác thu gom, vận chuyển và xử lý chất thải: phải đảm bảo quy định về môi trường của pháp luật hiện hành.</w:t>
      </w:r>
    </w:p>
    <w:p w14:paraId="5E0966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29B0ACC8"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79E141E7"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51AA4589"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Kế hoạch Kiểm tra chất lượng của nhà thầu phải bao gồm nhưng không giới hạn các công việc sau:</w:t>
      </w:r>
    </w:p>
    <w:p w14:paraId="0C3A741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Cơ cấu tổ chức kiểm soát chất lượng</w:t>
      </w:r>
    </w:p>
    <w:p w14:paraId="398519C2"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Đường dây liên lạc và thủ tục liên lạc</w:t>
      </w:r>
    </w:p>
    <w:p w14:paraId="4239FB2C"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soát chất lượng của nhà thầu phụ</w:t>
      </w:r>
    </w:p>
    <w:p w14:paraId="45659CB4"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Danh sách thí nghiệm</w:t>
      </w:r>
    </w:p>
    <w:p w14:paraId="6639776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Thí nghiệm trong và ngoài hiện trường</w:t>
      </w:r>
    </w:p>
    <w:p w14:paraId="45A7D98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Kế hoạch kiểm tra chất lượng</w:t>
      </w:r>
    </w:p>
    <w:p w14:paraId="5351FC9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Kiểm tra việc kiểm soát chất lượng</w:t>
      </w:r>
    </w:p>
    <w:p w14:paraId="0B533AA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Các mẫu biểu kiểm tra, báo cáo …</w:t>
      </w:r>
    </w:p>
    <w:p w14:paraId="12FE6C7E"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Theo dõi các hỏng hóc,</w:t>
      </w:r>
    </w:p>
    <w:p w14:paraId="4594E45B"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Giám sát và kiểm toán</w:t>
      </w:r>
    </w:p>
    <w:p w14:paraId="7C0954F1"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t>+ Hồ sơ, tài liệu có liên quan.</w:t>
      </w:r>
    </w:p>
    <w:p w14:paraId="0D0C923F" w14:textId="77777777" w:rsidR="00EA597B" w:rsidRPr="00BB50C7" w:rsidRDefault="00EA597B" w:rsidP="00EA597B">
      <w:pPr>
        <w:spacing w:before="60" w:after="60" w:line="259" w:lineRule="auto"/>
        <w:ind w:firstLine="567"/>
        <w:rPr>
          <w:bCs/>
          <w:sz w:val="28"/>
          <w:szCs w:val="28"/>
          <w:lang w:val="vi-VN"/>
        </w:rPr>
      </w:pPr>
      <w:r w:rsidRPr="00BB50C7">
        <w:rPr>
          <w:bCs/>
          <w:sz w:val="28"/>
          <w:szCs w:val="28"/>
          <w:lang w:val="vi-VN"/>
        </w:rPr>
        <w:lastRenderedPageBreak/>
        <w:t>11.7. Biện pháp thi công chung của gói thầu: Nhà thầu phải đề xuất biện pháp thi công phù hợp với tiêu chuẩn kỹ thuật hiện hành phù hợp hiện trạng công trình xây dựng, phòng chống lụt bão.</w:t>
      </w:r>
    </w:p>
    <w:bookmarkEnd w:id="0"/>
    <w:p w14:paraId="109BEFCB" w14:textId="77777777" w:rsidR="00EA597B" w:rsidRPr="00BB50C7" w:rsidRDefault="00EA597B" w:rsidP="00EA597B">
      <w:pPr>
        <w:widowControl w:val="0"/>
        <w:tabs>
          <w:tab w:val="left" w:pos="1418"/>
        </w:tabs>
        <w:spacing w:before="60" w:after="60" w:line="276" w:lineRule="auto"/>
        <w:ind w:firstLine="567"/>
        <w:rPr>
          <w:b/>
          <w:sz w:val="28"/>
          <w:szCs w:val="28"/>
          <w:lang w:val="es-ES_tradnl"/>
        </w:rPr>
      </w:pPr>
      <w:r w:rsidRPr="00BB50C7">
        <w:rPr>
          <w:b/>
          <w:sz w:val="28"/>
          <w:szCs w:val="28"/>
          <w:lang w:val="es-ES_tradnl"/>
        </w:rPr>
        <w:t>IV. Các bản vẽ</w:t>
      </w:r>
    </w:p>
    <w:p w14:paraId="494AF598" w14:textId="77777777" w:rsidR="00EA597B" w:rsidRPr="00BB50C7" w:rsidRDefault="00EA597B" w:rsidP="00EA597B">
      <w:pPr>
        <w:widowControl w:val="0"/>
        <w:tabs>
          <w:tab w:val="left" w:pos="1418"/>
        </w:tabs>
        <w:spacing w:before="60" w:after="60" w:line="276" w:lineRule="auto"/>
        <w:ind w:firstLine="567"/>
        <w:rPr>
          <w:sz w:val="28"/>
          <w:szCs w:val="28"/>
          <w:lang w:val="es-ES_tradnl"/>
        </w:rPr>
      </w:pPr>
      <w:r w:rsidRPr="00BB50C7">
        <w:rPr>
          <w:sz w:val="28"/>
          <w:szCs w:val="28"/>
          <w:lang w:val="es-ES_tradnl"/>
        </w:rPr>
        <w:t>E-HSMT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489"/>
        <w:gridCol w:w="2349"/>
        <w:gridCol w:w="3476"/>
      </w:tblGrid>
      <w:tr w:rsidR="00BB50C7" w:rsidRPr="00BB50C7" w14:paraId="175AB270" w14:textId="77777777" w:rsidTr="003915F8">
        <w:trPr>
          <w:trHeight w:val="70"/>
        </w:trPr>
        <w:tc>
          <w:tcPr>
            <w:tcW w:w="310" w:type="pct"/>
            <w:shd w:val="clear" w:color="auto" w:fill="E2EFD9"/>
          </w:tcPr>
          <w:p w14:paraId="5BBCA08F"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STT</w:t>
            </w:r>
          </w:p>
        </w:tc>
        <w:tc>
          <w:tcPr>
            <w:tcW w:w="1408" w:type="pct"/>
            <w:shd w:val="clear" w:color="auto" w:fill="E2EFD9"/>
          </w:tcPr>
          <w:p w14:paraId="6E686DB4"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Ký hiệu</w:t>
            </w:r>
          </w:p>
        </w:tc>
        <w:tc>
          <w:tcPr>
            <w:tcW w:w="1330" w:type="pct"/>
            <w:shd w:val="clear" w:color="auto" w:fill="E2EFD9"/>
          </w:tcPr>
          <w:p w14:paraId="374597D7"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Tên bản vẽ</w:t>
            </w:r>
          </w:p>
        </w:tc>
        <w:tc>
          <w:tcPr>
            <w:tcW w:w="1952" w:type="pct"/>
            <w:shd w:val="clear" w:color="auto" w:fill="E2EFD9"/>
          </w:tcPr>
          <w:p w14:paraId="03DED9EB" w14:textId="77777777" w:rsidR="00EA597B" w:rsidRPr="00BB50C7" w:rsidRDefault="00EA597B" w:rsidP="003915F8">
            <w:pPr>
              <w:widowControl w:val="0"/>
              <w:tabs>
                <w:tab w:val="left" w:pos="1418"/>
              </w:tabs>
              <w:spacing w:before="60" w:after="60" w:line="276" w:lineRule="auto"/>
              <w:jc w:val="center"/>
              <w:rPr>
                <w:b/>
                <w:sz w:val="28"/>
                <w:szCs w:val="28"/>
                <w:lang w:val="en-GB"/>
              </w:rPr>
            </w:pPr>
            <w:r w:rsidRPr="00BB50C7">
              <w:rPr>
                <w:b/>
                <w:sz w:val="28"/>
                <w:szCs w:val="28"/>
                <w:lang w:val="en-GB"/>
              </w:rPr>
              <w:t>Phiên bản/ngày phát hành</w:t>
            </w:r>
          </w:p>
        </w:tc>
      </w:tr>
      <w:tr w:rsidR="00EA597B" w:rsidRPr="00BB50C7" w14:paraId="00430485" w14:textId="77777777" w:rsidTr="003915F8">
        <w:trPr>
          <w:trHeight w:val="70"/>
        </w:trPr>
        <w:tc>
          <w:tcPr>
            <w:tcW w:w="310" w:type="pct"/>
            <w:vAlign w:val="center"/>
          </w:tcPr>
          <w:p w14:paraId="0D7C30A8" w14:textId="77777777" w:rsidR="00EA597B" w:rsidRPr="00BB50C7" w:rsidRDefault="00EA597B" w:rsidP="003915F8">
            <w:pPr>
              <w:widowControl w:val="0"/>
              <w:tabs>
                <w:tab w:val="left" w:pos="1418"/>
              </w:tabs>
              <w:spacing w:before="60" w:after="60" w:line="276" w:lineRule="auto"/>
              <w:jc w:val="center"/>
              <w:rPr>
                <w:sz w:val="28"/>
                <w:szCs w:val="28"/>
                <w:lang w:val="en-GB"/>
              </w:rPr>
            </w:pPr>
            <w:r w:rsidRPr="00BB50C7">
              <w:rPr>
                <w:sz w:val="28"/>
                <w:szCs w:val="28"/>
                <w:lang w:val="en-GB"/>
              </w:rPr>
              <w:t>1</w:t>
            </w:r>
          </w:p>
        </w:tc>
        <w:tc>
          <w:tcPr>
            <w:tcW w:w="1408" w:type="pct"/>
            <w:vAlign w:val="center"/>
          </w:tcPr>
          <w:p w14:paraId="706358D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330" w:type="pct"/>
            <w:vAlign w:val="center"/>
          </w:tcPr>
          <w:p w14:paraId="2E536E8B"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c>
          <w:tcPr>
            <w:tcW w:w="1952" w:type="pct"/>
            <w:vAlign w:val="center"/>
          </w:tcPr>
          <w:p w14:paraId="51C4A6E2" w14:textId="77777777" w:rsidR="00EA597B" w:rsidRPr="00BB50C7" w:rsidRDefault="00EA597B" w:rsidP="003915F8">
            <w:pPr>
              <w:widowControl w:val="0"/>
              <w:tabs>
                <w:tab w:val="left" w:pos="1418"/>
              </w:tabs>
              <w:spacing w:before="60" w:after="60" w:line="276" w:lineRule="auto"/>
              <w:rPr>
                <w:sz w:val="28"/>
                <w:szCs w:val="28"/>
                <w:lang w:val="en-GB"/>
              </w:rPr>
            </w:pPr>
            <w:r w:rsidRPr="00BB50C7">
              <w:rPr>
                <w:sz w:val="28"/>
                <w:szCs w:val="28"/>
                <w:lang w:val="en-GB"/>
              </w:rPr>
              <w:t>Chi tiết theo bản vẽ đính kèm</w:t>
            </w:r>
          </w:p>
        </w:tc>
      </w:tr>
    </w:tbl>
    <w:p w14:paraId="1B7D15EB" w14:textId="77777777" w:rsidR="00A311F2" w:rsidRPr="00BB50C7" w:rsidRDefault="00A311F2"/>
    <w:sectPr w:rsidR="00A311F2" w:rsidRPr="00BB50C7" w:rsidSect="00266C8C">
      <w:pgSz w:w="11907" w:h="16840" w:code="9"/>
      <w:pgMar w:top="1138" w:right="1138" w:bottom="1138" w:left="1699" w:header="720" w:footer="2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IDFont+F1">
    <w:altName w:val="Times New Roman"/>
    <w:panose1 w:val="00000000000000000000"/>
    <w:charset w:val="00"/>
    <w:family w:val="roman"/>
    <w:notTrueType/>
    <w:pitch w:val="default"/>
  </w:font>
  <w:font w:name="CIDFont+F2">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63B4A"/>
    <w:multiLevelType w:val="hybridMultilevel"/>
    <w:tmpl w:val="632C00F0"/>
    <w:lvl w:ilvl="0" w:tplc="04090001">
      <w:start w:val="1"/>
      <w:numFmt w:val="decimal"/>
      <w:lvlText w:val="%1."/>
      <w:lvlJc w:val="left"/>
      <w:pPr>
        <w:tabs>
          <w:tab w:val="num" w:pos="763"/>
        </w:tabs>
        <w:ind w:left="1117" w:hanging="111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 w15:restartNumberingAfterBreak="0">
    <w:nsid w:val="3F196F89"/>
    <w:multiLevelType w:val="hybridMultilevel"/>
    <w:tmpl w:val="745C71C0"/>
    <w:lvl w:ilvl="0" w:tplc="C302BBFA">
      <w:start w:val="1"/>
      <w:numFmt w:val="decimal"/>
      <w:lvlText w:val="%1."/>
      <w:lvlJc w:val="left"/>
      <w:pPr>
        <w:tabs>
          <w:tab w:val="num" w:pos="644"/>
        </w:tabs>
        <w:ind w:left="644" w:hanging="360"/>
      </w:pPr>
    </w:lvl>
    <w:lvl w:ilvl="1" w:tplc="042A0003" w:tentative="1">
      <w:start w:val="1"/>
      <w:numFmt w:val="lowerLetter"/>
      <w:lvlText w:val="%2."/>
      <w:lvlJc w:val="left"/>
      <w:pPr>
        <w:tabs>
          <w:tab w:val="num" w:pos="1440"/>
        </w:tabs>
        <w:ind w:left="1440" w:hanging="360"/>
      </w:pPr>
    </w:lvl>
    <w:lvl w:ilvl="2" w:tplc="042A0005" w:tentative="1">
      <w:start w:val="1"/>
      <w:numFmt w:val="lowerRoman"/>
      <w:lvlText w:val="%3."/>
      <w:lvlJc w:val="right"/>
      <w:pPr>
        <w:tabs>
          <w:tab w:val="num" w:pos="2160"/>
        </w:tabs>
        <w:ind w:left="2160" w:hanging="180"/>
      </w:pPr>
    </w:lvl>
    <w:lvl w:ilvl="3" w:tplc="042A0001" w:tentative="1">
      <w:start w:val="1"/>
      <w:numFmt w:val="decimal"/>
      <w:lvlText w:val="%4."/>
      <w:lvlJc w:val="left"/>
      <w:pPr>
        <w:tabs>
          <w:tab w:val="num" w:pos="2880"/>
        </w:tabs>
        <w:ind w:left="2880" w:hanging="360"/>
      </w:pPr>
    </w:lvl>
    <w:lvl w:ilvl="4" w:tplc="042A0003" w:tentative="1">
      <w:start w:val="1"/>
      <w:numFmt w:val="lowerLetter"/>
      <w:lvlText w:val="%5."/>
      <w:lvlJc w:val="left"/>
      <w:pPr>
        <w:tabs>
          <w:tab w:val="num" w:pos="3600"/>
        </w:tabs>
        <w:ind w:left="3600" w:hanging="360"/>
      </w:pPr>
    </w:lvl>
    <w:lvl w:ilvl="5" w:tplc="042A0005" w:tentative="1">
      <w:start w:val="1"/>
      <w:numFmt w:val="lowerRoman"/>
      <w:lvlText w:val="%6."/>
      <w:lvlJc w:val="right"/>
      <w:pPr>
        <w:tabs>
          <w:tab w:val="num" w:pos="4320"/>
        </w:tabs>
        <w:ind w:left="4320" w:hanging="180"/>
      </w:pPr>
    </w:lvl>
    <w:lvl w:ilvl="6" w:tplc="042A0001" w:tentative="1">
      <w:start w:val="1"/>
      <w:numFmt w:val="decimal"/>
      <w:lvlText w:val="%7."/>
      <w:lvlJc w:val="left"/>
      <w:pPr>
        <w:tabs>
          <w:tab w:val="num" w:pos="5040"/>
        </w:tabs>
        <w:ind w:left="5040" w:hanging="360"/>
      </w:pPr>
    </w:lvl>
    <w:lvl w:ilvl="7" w:tplc="042A0003" w:tentative="1">
      <w:start w:val="1"/>
      <w:numFmt w:val="lowerLetter"/>
      <w:lvlText w:val="%8."/>
      <w:lvlJc w:val="left"/>
      <w:pPr>
        <w:tabs>
          <w:tab w:val="num" w:pos="5760"/>
        </w:tabs>
        <w:ind w:left="5760" w:hanging="360"/>
      </w:pPr>
    </w:lvl>
    <w:lvl w:ilvl="8" w:tplc="042A0005" w:tentative="1">
      <w:start w:val="1"/>
      <w:numFmt w:val="lowerRoman"/>
      <w:lvlText w:val="%9."/>
      <w:lvlJc w:val="right"/>
      <w:pPr>
        <w:tabs>
          <w:tab w:val="num" w:pos="6480"/>
        </w:tabs>
        <w:ind w:left="6480" w:hanging="180"/>
      </w:pPr>
    </w:lvl>
  </w:abstractNum>
  <w:abstractNum w:abstractNumId="2" w15:restartNumberingAfterBreak="0">
    <w:nsid w:val="42B305FA"/>
    <w:multiLevelType w:val="multilevel"/>
    <w:tmpl w:val="A52E4604"/>
    <w:lvl w:ilvl="0">
      <w:start w:val="1"/>
      <w:numFmt w:val="decimal"/>
      <w:lvlText w:val="%1."/>
      <w:lvlJc w:val="left"/>
      <w:pPr>
        <w:tabs>
          <w:tab w:val="num" w:pos="763"/>
        </w:tabs>
        <w:ind w:left="1117" w:hanging="1117"/>
      </w:pPr>
      <w:rPr>
        <w:rFonts w:hint="default"/>
      </w:rPr>
    </w:lvl>
    <w:lvl w:ilvl="1">
      <w:start w:val="1"/>
      <w:numFmt w:val="decimal"/>
      <w:isLgl/>
      <w:lvlText w:val="%1.%2."/>
      <w:lvlJc w:val="left"/>
      <w:pPr>
        <w:ind w:left="1003" w:hanging="720"/>
      </w:pPr>
      <w:rPr>
        <w:rFonts w:hint="default"/>
      </w:rPr>
    </w:lvl>
    <w:lvl w:ilvl="2">
      <w:start w:val="3"/>
      <w:numFmt w:val="decimal"/>
      <w:isLgl/>
      <w:lvlText w:val="%1.%2.%3."/>
      <w:lvlJc w:val="left"/>
      <w:pPr>
        <w:ind w:left="1286"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498" w:hanging="180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424" w:hanging="2160"/>
      </w:pPr>
      <w:rPr>
        <w:rFonts w:hint="default"/>
      </w:rPr>
    </w:lvl>
  </w:abstractNum>
  <w:abstractNum w:abstractNumId="3" w15:restartNumberingAfterBreak="0">
    <w:nsid w:val="775000A0"/>
    <w:multiLevelType w:val="hybridMultilevel"/>
    <w:tmpl w:val="6F8852DA"/>
    <w:lvl w:ilvl="0" w:tplc="FFFFFFFF">
      <w:start w:val="1"/>
      <w:numFmt w:val="decimal"/>
      <w:lvlText w:val="%1."/>
      <w:lvlJc w:val="left"/>
      <w:pPr>
        <w:tabs>
          <w:tab w:val="num" w:pos="763"/>
        </w:tabs>
        <w:ind w:left="1117" w:hanging="111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7B"/>
    <w:rsid w:val="00030A97"/>
    <w:rsid w:val="000C6C0F"/>
    <w:rsid w:val="00237A13"/>
    <w:rsid w:val="0026043C"/>
    <w:rsid w:val="00266C8C"/>
    <w:rsid w:val="003025BB"/>
    <w:rsid w:val="0034695D"/>
    <w:rsid w:val="00346CEE"/>
    <w:rsid w:val="00374B25"/>
    <w:rsid w:val="003951D5"/>
    <w:rsid w:val="00415983"/>
    <w:rsid w:val="00433CBA"/>
    <w:rsid w:val="004D65E8"/>
    <w:rsid w:val="00547E3E"/>
    <w:rsid w:val="00586A59"/>
    <w:rsid w:val="00766E00"/>
    <w:rsid w:val="007A4334"/>
    <w:rsid w:val="0081043A"/>
    <w:rsid w:val="00825442"/>
    <w:rsid w:val="00835E9D"/>
    <w:rsid w:val="00896B95"/>
    <w:rsid w:val="008A1575"/>
    <w:rsid w:val="008B384D"/>
    <w:rsid w:val="00937F62"/>
    <w:rsid w:val="009E3E7A"/>
    <w:rsid w:val="00A278EB"/>
    <w:rsid w:val="00A311F2"/>
    <w:rsid w:val="00AA4938"/>
    <w:rsid w:val="00B6235E"/>
    <w:rsid w:val="00B81C94"/>
    <w:rsid w:val="00BB50C7"/>
    <w:rsid w:val="00C1314F"/>
    <w:rsid w:val="00C47EB7"/>
    <w:rsid w:val="00C923CD"/>
    <w:rsid w:val="00CF7882"/>
    <w:rsid w:val="00DB0A96"/>
    <w:rsid w:val="00E44BD9"/>
    <w:rsid w:val="00EA597B"/>
    <w:rsid w:val="00EB16B8"/>
    <w:rsid w:val="00F5064F"/>
    <w:rsid w:val="00F51DFC"/>
    <w:rsid w:val="00F56B76"/>
    <w:rsid w:val="00F76345"/>
    <w:rsid w:val="00FB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69E73"/>
  <w15:chartTrackingRefBased/>
  <w15:docId w15:val="{FC58A24C-738C-4EA3-A1EF-9CE20AD4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7B"/>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A597B"/>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A597B"/>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A597B"/>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A597B"/>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A597B"/>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A597B"/>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A597B"/>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A597B"/>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A597B"/>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9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9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9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9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9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97B"/>
    <w:rPr>
      <w:rFonts w:eastAsiaTheme="majorEastAsia" w:cstheme="majorBidi"/>
      <w:color w:val="272727" w:themeColor="text1" w:themeTint="D8"/>
    </w:rPr>
  </w:style>
  <w:style w:type="paragraph" w:styleId="Title">
    <w:name w:val="Title"/>
    <w:basedOn w:val="Normal"/>
    <w:next w:val="Normal"/>
    <w:link w:val="TitleChar"/>
    <w:uiPriority w:val="10"/>
    <w:qFormat/>
    <w:rsid w:val="00EA597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A5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97B"/>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A5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97B"/>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A597B"/>
    <w:rPr>
      <w:i/>
      <w:iCs/>
      <w:color w:val="404040" w:themeColor="text1" w:themeTint="BF"/>
    </w:rPr>
  </w:style>
  <w:style w:type="paragraph" w:styleId="ListParagraph">
    <w:name w:val="List Paragraph"/>
    <w:basedOn w:val="Normal"/>
    <w:uiPriority w:val="34"/>
    <w:qFormat/>
    <w:rsid w:val="00EA597B"/>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A597B"/>
    <w:rPr>
      <w:i/>
      <w:iCs/>
      <w:color w:val="2F5496" w:themeColor="accent1" w:themeShade="BF"/>
    </w:rPr>
  </w:style>
  <w:style w:type="paragraph" w:styleId="IntenseQuote">
    <w:name w:val="Intense Quote"/>
    <w:basedOn w:val="Normal"/>
    <w:next w:val="Normal"/>
    <w:link w:val="IntenseQuoteChar"/>
    <w:uiPriority w:val="30"/>
    <w:qFormat/>
    <w:rsid w:val="00EA59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A597B"/>
    <w:rPr>
      <w:i/>
      <w:iCs/>
      <w:color w:val="2F5496" w:themeColor="accent1" w:themeShade="BF"/>
    </w:rPr>
  </w:style>
  <w:style w:type="character" w:styleId="IntenseReference">
    <w:name w:val="Intense Reference"/>
    <w:basedOn w:val="DefaultParagraphFont"/>
    <w:uiPriority w:val="32"/>
    <w:qFormat/>
    <w:rsid w:val="00EA597B"/>
    <w:rPr>
      <w:b/>
      <w:bCs/>
      <w:smallCaps/>
      <w:color w:val="2F5496" w:themeColor="accent1" w:themeShade="BF"/>
      <w:spacing w:val="5"/>
    </w:rPr>
  </w:style>
  <w:style w:type="paragraph" w:customStyle="1" w:styleId="Style11">
    <w:name w:val="Style 11"/>
    <w:basedOn w:val="Normal"/>
    <w:rsid w:val="00EA597B"/>
    <w:pPr>
      <w:widowControl w:val="0"/>
      <w:autoSpaceDE w:val="0"/>
      <w:autoSpaceDN w:val="0"/>
      <w:spacing w:line="384" w:lineRule="atLeast"/>
      <w:jc w:val="left"/>
    </w:pPr>
    <w:rPr>
      <w:szCs w:val="24"/>
    </w:rPr>
  </w:style>
  <w:style w:type="character" w:customStyle="1" w:styleId="GDDChar">
    <w:name w:val="GDD Char"/>
    <w:link w:val="GDD"/>
    <w:locked/>
    <w:rsid w:val="00BB50C7"/>
    <w:rPr>
      <w:sz w:val="26"/>
      <w:szCs w:val="24"/>
      <w:lang w:val="de-DE"/>
    </w:rPr>
  </w:style>
  <w:style w:type="paragraph" w:customStyle="1" w:styleId="GDD">
    <w:name w:val="GDD"/>
    <w:basedOn w:val="Normal"/>
    <w:link w:val="GDDChar"/>
    <w:qFormat/>
    <w:rsid w:val="00BB50C7"/>
    <w:pPr>
      <w:tabs>
        <w:tab w:val="num" w:pos="284"/>
        <w:tab w:val="left" w:pos="992"/>
      </w:tabs>
      <w:autoSpaceDE w:val="0"/>
      <w:autoSpaceDN w:val="0"/>
      <w:adjustRightInd w:val="0"/>
      <w:spacing w:before="120" w:after="60"/>
      <w:outlineLvl w:val="0"/>
    </w:pPr>
    <w:rPr>
      <w:rFonts w:asciiTheme="minorHAnsi" w:eastAsiaTheme="minorHAnsi" w:hAnsiTheme="minorHAnsi" w:cstheme="minorBidi"/>
      <w:kern w:val="2"/>
      <w:sz w:val="26"/>
      <w:szCs w:val="24"/>
      <w:lang w:val="de-DE"/>
      <w14:ligatures w14:val="standardContextual"/>
    </w:rPr>
  </w:style>
  <w:style w:type="table" w:styleId="TableGrid">
    <w:name w:val="Table Grid"/>
    <w:basedOn w:val="TableNormal"/>
    <w:uiPriority w:val="39"/>
    <w:rsid w:val="0037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A4938"/>
    <w:rPr>
      <w:rFonts w:ascii="CIDFont+F1" w:hAnsi="CIDFont+F1" w:hint="default"/>
      <w:b w:val="0"/>
      <w:bCs w:val="0"/>
      <w:i w:val="0"/>
      <w:iCs w:val="0"/>
      <w:color w:val="000000"/>
      <w:sz w:val="26"/>
      <w:szCs w:val="26"/>
    </w:rPr>
  </w:style>
  <w:style w:type="character" w:customStyle="1" w:styleId="fontstyle21">
    <w:name w:val="fontstyle21"/>
    <w:basedOn w:val="DefaultParagraphFont"/>
    <w:rsid w:val="00AA4938"/>
    <w:rPr>
      <w:rFonts w:ascii="CIDFont+F2" w:hAnsi="CIDFont+F2" w:hint="default"/>
      <w:b/>
      <w:bCs/>
      <w:i w:val="0"/>
      <w:iCs w:val="0"/>
      <w:color w:val="000000"/>
      <w:sz w:val="26"/>
      <w:szCs w:val="26"/>
    </w:rPr>
  </w:style>
  <w:style w:type="paragraph" w:customStyle="1" w:styleId="I">
    <w:name w:val="I"/>
    <w:basedOn w:val="Normal"/>
    <w:link w:val="IChar"/>
    <w:qFormat/>
    <w:rsid w:val="00C1314F"/>
    <w:pPr>
      <w:spacing w:before="40" w:line="264" w:lineRule="auto"/>
      <w:ind w:firstLine="567"/>
    </w:pPr>
    <w:rPr>
      <w:b/>
      <w:sz w:val="26"/>
      <w:szCs w:val="26"/>
      <w:lang w:val="en-GB" w:eastAsia="x-none"/>
    </w:rPr>
  </w:style>
  <w:style w:type="character" w:customStyle="1" w:styleId="IChar">
    <w:name w:val="I Char"/>
    <w:link w:val="I"/>
    <w:locked/>
    <w:rsid w:val="00C1314F"/>
    <w:rPr>
      <w:rFonts w:ascii="Times New Roman" w:eastAsia="Times New Roman" w:hAnsi="Times New Roman" w:cs="Times New Roman"/>
      <w:b/>
      <w:kern w:val="0"/>
      <w:sz w:val="26"/>
      <w:szCs w:val="26"/>
      <w:lang w:val="en-GB"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4431">
      <w:bodyDiv w:val="1"/>
      <w:marLeft w:val="0"/>
      <w:marRight w:val="0"/>
      <w:marTop w:val="0"/>
      <w:marBottom w:val="0"/>
      <w:divBdr>
        <w:top w:val="none" w:sz="0" w:space="0" w:color="auto"/>
        <w:left w:val="none" w:sz="0" w:space="0" w:color="auto"/>
        <w:bottom w:val="none" w:sz="0" w:space="0" w:color="auto"/>
        <w:right w:val="none" w:sz="0" w:space="0" w:color="auto"/>
      </w:divBdr>
    </w:div>
    <w:div w:id="1078210669">
      <w:bodyDiv w:val="1"/>
      <w:marLeft w:val="0"/>
      <w:marRight w:val="0"/>
      <w:marTop w:val="0"/>
      <w:marBottom w:val="0"/>
      <w:divBdr>
        <w:top w:val="none" w:sz="0" w:space="0" w:color="auto"/>
        <w:left w:val="none" w:sz="0" w:space="0" w:color="auto"/>
        <w:bottom w:val="none" w:sz="0" w:space="0" w:color="auto"/>
        <w:right w:val="none" w:sz="0" w:space="0" w:color="auto"/>
      </w:divBdr>
    </w:div>
    <w:div w:id="1346204314">
      <w:bodyDiv w:val="1"/>
      <w:marLeft w:val="0"/>
      <w:marRight w:val="0"/>
      <w:marTop w:val="0"/>
      <w:marBottom w:val="0"/>
      <w:divBdr>
        <w:top w:val="none" w:sz="0" w:space="0" w:color="auto"/>
        <w:left w:val="none" w:sz="0" w:space="0" w:color="auto"/>
        <w:bottom w:val="none" w:sz="0" w:space="0" w:color="auto"/>
        <w:right w:val="none" w:sz="0" w:space="0" w:color="auto"/>
      </w:divBdr>
    </w:div>
    <w:div w:id="206355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21</Pages>
  <Words>7379</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khoa tran</dc:creator>
  <cp:keywords/>
  <dc:description/>
  <cp:lastModifiedBy>toan nguyen</cp:lastModifiedBy>
  <cp:revision>33</cp:revision>
  <cp:lastPrinted>2026-01-28T07:00:00Z</cp:lastPrinted>
  <dcterms:created xsi:type="dcterms:W3CDTF">2025-11-04T15:41:00Z</dcterms:created>
  <dcterms:modified xsi:type="dcterms:W3CDTF">2026-02-01T08:19:00Z</dcterms:modified>
</cp:coreProperties>
</file>