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1096F230"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3C1120" w:rsidRPr="003C1120">
        <w:rPr>
          <w:color w:val="000000"/>
          <w:sz w:val="28"/>
          <w:szCs w:val="28"/>
          <w:lang w:val="es-PE"/>
        </w:rPr>
        <w:t>Xây dựng nhà đa năng và các hạng mục phụ trợ trường tiểu học Nguyễn Trãi, phường Trung Sơn</w:t>
      </w:r>
      <w:r>
        <w:rPr>
          <w:color w:val="000000"/>
          <w:sz w:val="28"/>
          <w:szCs w:val="28"/>
          <w:lang w:val="es-PE"/>
        </w:rPr>
        <w:t>.</w:t>
      </w:r>
    </w:p>
    <w:p w14:paraId="69CB1A4C" w14:textId="2C836DBE"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BD6489">
        <w:rPr>
          <w:color w:val="000000"/>
          <w:sz w:val="28"/>
          <w:szCs w:val="28"/>
          <w:lang w:val="es-PE"/>
        </w:rPr>
        <w:t xml:space="preserve">Phường </w:t>
      </w:r>
      <w:r w:rsidR="003C1120">
        <w:rPr>
          <w:color w:val="000000"/>
          <w:sz w:val="28"/>
          <w:szCs w:val="28"/>
          <w:lang w:val="es-PE"/>
        </w:rPr>
        <w:t>Trung Sơn</w:t>
      </w:r>
      <w:r w:rsidR="00062DD1">
        <w:rPr>
          <w:color w:val="000000"/>
          <w:sz w:val="28"/>
          <w:szCs w:val="28"/>
          <w:lang w:val="es-PE"/>
        </w:rPr>
        <w:t>, tỉnh Ninh Bình</w:t>
      </w:r>
      <w:r>
        <w:rPr>
          <w:color w:val="000000"/>
          <w:sz w:val="28"/>
          <w:szCs w:val="28"/>
          <w:lang w:val="es-PE"/>
        </w:rPr>
        <w:t>.</w:t>
      </w:r>
    </w:p>
    <w:p w14:paraId="69CB1A4D" w14:textId="6585774E"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2B6694" w:rsidRPr="002B6694">
        <w:rPr>
          <w:color w:val="000000"/>
          <w:sz w:val="28"/>
          <w:szCs w:val="28"/>
          <w:lang w:val="es-PE"/>
        </w:rPr>
        <w:t xml:space="preserve">UBND </w:t>
      </w:r>
      <w:r w:rsidR="00BD6489">
        <w:rPr>
          <w:color w:val="000000"/>
          <w:sz w:val="28"/>
          <w:szCs w:val="28"/>
          <w:lang w:val="es-PE"/>
        </w:rPr>
        <w:t xml:space="preserve">phường </w:t>
      </w:r>
      <w:r w:rsidR="003C1120">
        <w:rPr>
          <w:color w:val="000000"/>
          <w:sz w:val="28"/>
          <w:szCs w:val="28"/>
          <w:lang w:val="es-PE"/>
        </w:rPr>
        <w:t>Trung Sơn</w:t>
      </w:r>
      <w:r>
        <w:rPr>
          <w:color w:val="000000"/>
          <w:sz w:val="28"/>
          <w:szCs w:val="28"/>
          <w:lang w:val="es-PE"/>
        </w:rPr>
        <w:t>.</w:t>
      </w:r>
    </w:p>
    <w:p w14:paraId="69CB1A4E" w14:textId="3E9460E0" w:rsidR="00635986" w:rsidRDefault="00635986" w:rsidP="008E0896">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2B6694">
        <w:rPr>
          <w:color w:val="000000"/>
          <w:sz w:val="28"/>
          <w:szCs w:val="28"/>
          <w:lang w:val="es-PE"/>
        </w:rPr>
        <w:t>10</w:t>
      </w:r>
      <w:r w:rsidR="00E22C2F">
        <w:rPr>
          <w:color w:val="000000"/>
          <w:sz w:val="28"/>
          <w:szCs w:val="28"/>
          <w:lang w:val="es-PE"/>
        </w:rPr>
        <w:t>%</w:t>
      </w:r>
      <w:r w:rsidR="00B960E6">
        <w:rPr>
          <w:color w:val="000000"/>
          <w:sz w:val="28"/>
          <w:szCs w:val="28"/>
          <w:lang w:val="es-PE"/>
        </w:rPr>
        <w:t>.</w:t>
      </w:r>
    </w:p>
    <w:p w14:paraId="69CB1A4F" w14:textId="77777777"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124E89D8" w14:textId="51531041" w:rsidR="003C1120" w:rsidRPr="003C1120" w:rsidRDefault="003C1120" w:rsidP="003C1120">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3C1120">
        <w:rPr>
          <w:color w:val="000000"/>
          <w:sz w:val="28"/>
          <w:szCs w:val="28"/>
          <w:lang w:val="pt-BR"/>
        </w:rPr>
        <w:t>.1.</w:t>
      </w:r>
      <w:r>
        <w:rPr>
          <w:color w:val="000000"/>
          <w:sz w:val="28"/>
          <w:szCs w:val="28"/>
          <w:lang w:val="pt-BR"/>
        </w:rPr>
        <w:t xml:space="preserve"> </w:t>
      </w:r>
      <w:r w:rsidRPr="003C1120">
        <w:rPr>
          <w:color w:val="000000"/>
          <w:sz w:val="28"/>
          <w:szCs w:val="28"/>
          <w:lang w:val="pt-BR"/>
        </w:rPr>
        <w:t>Xây dựng nhà đa năng</w:t>
      </w:r>
    </w:p>
    <w:p w14:paraId="6A0ACC27"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a. Phần kiến trúc: Xây mới Nhà đa năng diện tích xây dựng 646 m2, tổng diện tích sàn 586 m2 (không bao gồm phần sê nô).Chiều dài nhà 31,5m, Chiều rộng nhà 18,6m, chiều cao nhà tính từ cao độ sân hoàn thiện là 12,6m. Sàn mái bê tông cốt thép kết hợp mái tôn trên hệ vì kèo, xà gồ thép. Tường nhà xây gạch không nung trát hoàn thiện vữa xi măng mác 75 lăn sơn tường không bả 1 nước lót 2 nước màu. Cửa sổ, cửa đi sử dụng cửa nhôm kính. Cửa sổ có hoa sắt inox 304 bảo vệ. Nền sân khấu, sảnh lát gạch kích thước 600x600mm, nền sân khu phục vụ thi đấu lăn sơn epoxy chuyên dụng. Bậc cấp lát đá granite tự nhiên. Trần nhôm tiêu âm kích thước 600x600mm.</w:t>
      </w:r>
    </w:p>
    <w:p w14:paraId="3B46E636"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b. Phần kết cấu: Kết cấu nhà khung bê tông cốt thép chịu lực. Bê tông đài móng, dầm móng và giằng móng sử dụng bê tông cốt thép đá 1x2 mác 250. Cột, dầm, sàn mái bê tông cốt thép đá 1x2 mác 250. Tường xây gạch không nung vữa xi măng mác 75. Vì kèo thép tổ hợp thép hình chữ I, giằng vì kèo sử dụng thép hình kết hợp tăng đơ. Xà gồ thép C150x50mm.</w:t>
      </w:r>
    </w:p>
    <w:p w14:paraId="29FA6AA1"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c. Cấp điện, cấp nước, thu lôi chống sét.</w:t>
      </w:r>
    </w:p>
    <w:p w14:paraId="06D96122"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Cấp điện: Nguồn điện sử dụng nguồn điện hiện có của nhà trường (đấu nối tại vị trí tủ điện tổng), dây dẫn điện sử dụng dây cáp luồn trong ống nhựa đi ngầm trong tường. Lắp điện thiết bị điện gồm đèn chiếu sáng, đèn pha (sân khấu), quạt treo tường, ổ cắm, công tắc…</w:t>
      </w:r>
    </w:p>
    <w:p w14:paraId="5C700322"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xml:space="preserve">- Cấp nước: Nguồn nước sử dụng nguồn nước hiện có của trường, đường ống cấp nước sử dụng ống nhựa chịu nhiệt, đường ống thoát nước sử dụng ống nhựa PVC. Lắp đặt thiết bị vệ sinh gồm chậu xí bệt, tiểu nam, vòi xả nhanh và một số thiết bị khác. </w:t>
      </w:r>
    </w:p>
    <w:p w14:paraId="50350884"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xml:space="preserve">- Thu lôi chống sét: Kim thu sét lắp đặt trên mái, dây dẫn sét đi trên mái và </w:t>
      </w:r>
      <w:r w:rsidRPr="003C1120">
        <w:rPr>
          <w:color w:val="000000"/>
          <w:sz w:val="28"/>
          <w:szCs w:val="28"/>
          <w:lang w:val="pt-BR"/>
        </w:rPr>
        <w:lastRenderedPageBreak/>
        <w:t xml:space="preserve">trên tường sử dụng thép tròn đường kính 12mm; cọc tiếp địa sử dụng thép hình V63x63x6 dài 2,5m. </w:t>
      </w:r>
    </w:p>
    <w:p w14:paraId="1D948FA4" w14:textId="2D8DDB63" w:rsidR="003C1120" w:rsidRPr="003C1120" w:rsidRDefault="003C1120" w:rsidP="003C1120">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3C1120">
        <w:rPr>
          <w:color w:val="000000"/>
          <w:sz w:val="28"/>
          <w:szCs w:val="28"/>
          <w:lang w:val="pt-BR"/>
        </w:rPr>
        <w:t>.2. Các hạng mục phụ trợ</w:t>
      </w:r>
    </w:p>
    <w:p w14:paraId="67573854"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xml:space="preserve">a. Xây dựng nhà vệ sinh học sinh: Xây dựng nhà vệ sinh mái bằng bê tông cốt thép chiều dài 6,0m chiều rộng 3,3m chiều cao 3,0m tính từ cos nền. Kết cấu móng băng bê tông cốt thép, cột, dầm, sàn bê tông cốt thép đá 1x2 mác 250. Tường xây gạch không nung vữa xi măng mác 75, trát tường vữa xi măng mác 75 dày 1,5cm. nền lát gạch chống trơn 300x300mm, tường trong nhà ốp gạch 300x600mm, lăn sơn tường không bả 1 nước lót 2 nước phủ. Cửa đi cửa sổ sử dụng cửa nhôm kính. Lắp đặt hệ thống cấp điện, cấp nước theo tiêu chuẩn. </w:t>
      </w:r>
    </w:p>
    <w:p w14:paraId="1818DFBC"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xml:space="preserve">b. Cải tạo nhà học 2 tầng 8 lớp </w:t>
      </w:r>
    </w:p>
    <w:p w14:paraId="0D4BF462"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xml:space="preserve">- Hiện trạng: Nhà học 2 tầng 8 lớp dài 37,2m chiều rộng 7,8m. Hiện trạng gạch lát nền đã bong vỡ nhiều vị trí cửa đi cửa sổ sử dụng cửa gỗ đã xuống cấp. </w:t>
      </w:r>
    </w:p>
    <w:p w14:paraId="35EB1936"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xml:space="preserve">- Sửa chữa: Bóc lớp gạch lát nền hiện trạng lát hoàn trả gạch men kích thước 600x600mm; thay mới toàn bộ cửa đi, cửa sổ bằng cửa hệ nhôm kính.  </w:t>
      </w:r>
    </w:p>
    <w:p w14:paraId="1732FCA5"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xml:space="preserve">c. Cải tạo nhà học 2 tầng 10 lớp </w:t>
      </w:r>
    </w:p>
    <w:p w14:paraId="1A12F91F"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xml:space="preserve">- Hiện trạng: Nhà học 2 tầng 10 lớp dài 45,96m chiều rộng 7,8m. Hiện trạng cửa đi cửa sổ sử dụng cửa gỗ đã xuống cấp. </w:t>
      </w:r>
    </w:p>
    <w:p w14:paraId="64EBD00F"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xml:space="preserve">- Sửa chữa: Thay mới toàn bộ cửa đi, cửa sổ bằng cửa hệ nhôm kính.  </w:t>
      </w:r>
    </w:p>
    <w:p w14:paraId="4599B953"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xml:space="preserve">d. Xây dụng sân khấu </w:t>
      </w:r>
    </w:p>
    <w:p w14:paraId="356771E1"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Xây dựng sân khấu ngoài trời trước sảnh nhà học 2 tầng 10 lớp học, chiều dài 13,3m chiều rộng 8,7m, chiều cao 6,9m tính từ cos nền. Kết cấu cột thép hình bịt alumin, mái lợp tôn trên hệ vì kèo xà gồ thép. Nền lát gạch 600x600mm bậc cấp lát đá Granite tự nhiên. Lắp đặt hệ thống cấp điện theo tiêu chuẩn.</w:t>
      </w:r>
    </w:p>
    <w:p w14:paraId="5C889E93"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e. San lấp mặt bằng, cải tạo tường rào, sân, rãnh thoát nước, phá dỡ nhà vệ sinh học sinh</w:t>
      </w:r>
    </w:p>
    <w:p w14:paraId="00386571"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San lấp mặt bằng: San lấp sân trường hiện trạng (diện tích bố trí mặt bằng xây dựng nhà đa năng) diện tích 1.188,93 m2 bằng đất đá hỗn hợp đầm chặt K90.</w:t>
      </w:r>
    </w:p>
    <w:p w14:paraId="0E985315"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xml:space="preserve">- Cải tạo tường rào: Xây dựng 184,27m tường rào (Hoàn trả tường rào đoạn tường rào khu vực xây dựng nhà đa năng chiều dài 96m và đoạn tường rào phía sau nhà lớp học 2 tầng 10 phòng chiều dài 88,27m) chiều cao tường 2,0m tính từ cos giằng tường. Kết cấu móng đơn bê tông cốt thép đá 1x2 mác 200 kết hợp móng xây gạch không nung vữa xi măng mác 75. Cột trụ, giằng tường bê tông cốt thép đá 1x2 mác 200, tường xây gạch không nung vữa xi măng mác 75 trát </w:t>
      </w:r>
      <w:r w:rsidRPr="003C1120">
        <w:rPr>
          <w:color w:val="000000"/>
          <w:sz w:val="28"/>
          <w:szCs w:val="28"/>
          <w:lang w:val="pt-BR"/>
        </w:rPr>
        <w:lastRenderedPageBreak/>
        <w:t xml:space="preserve">hoàn thiện vữa xi măng lăn sơn không bả 1 nước lót 2 nước phủ. </w:t>
      </w:r>
    </w:p>
    <w:p w14:paraId="04B7F47F"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Rãnh thoát nước: Xây dựng rãnh thoát nước sân nhà đa năng chiều dài 35m. Kết cấu rãnh dạng cống bản B=0,4m đáy rãnh bê tông đá 1x2 mác 200, tường rãnh xây gạch không nung vữa xi măng mác 75, trát tường vữa xi măng, tấm đan bê tông cốt thép đá 1x2 mác 200.</w:t>
      </w:r>
    </w:p>
    <w:p w14:paraId="202B5FE5"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 Cải tạo sân: Cải tạo 1.350 m2 sân kết cấu sân từ trên xuống như sau:</w:t>
      </w:r>
    </w:p>
    <w:p w14:paraId="3B0AA339"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ab/>
        <w:t>+ Lát gạch terrazzo kích thước 400x400x30mm</w:t>
      </w:r>
    </w:p>
    <w:p w14:paraId="22249541"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ab/>
        <w:t>+ Lớp bê tông xi măng đá 1x2 mác 200 dày 10cm</w:t>
      </w:r>
    </w:p>
    <w:p w14:paraId="707EA664" w14:textId="77777777" w:rsidR="003C1120" w:rsidRPr="003C1120"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ab/>
        <w:t>+ Cấp phối đá dăm loại II đầm chặt.</w:t>
      </w:r>
    </w:p>
    <w:p w14:paraId="32F69F8E" w14:textId="45C24AFB" w:rsidR="00C93CAB" w:rsidRDefault="003C1120" w:rsidP="003C1120">
      <w:pPr>
        <w:widowControl w:val="0"/>
        <w:spacing w:beforeLines="24" w:before="57" w:afterLines="24" w:after="57" w:line="288" w:lineRule="auto"/>
        <w:ind w:firstLine="567"/>
        <w:rPr>
          <w:color w:val="000000"/>
          <w:sz w:val="28"/>
          <w:szCs w:val="28"/>
          <w:lang w:val="pt-BR"/>
        </w:rPr>
      </w:pPr>
      <w:r w:rsidRPr="003C1120">
        <w:rPr>
          <w:color w:val="000000"/>
          <w:sz w:val="28"/>
          <w:szCs w:val="28"/>
          <w:lang w:val="pt-BR"/>
        </w:rPr>
        <w:tab/>
        <w:t>+ Đất tự nhiên đầm chặt.</w:t>
      </w:r>
    </w:p>
    <w:p w14:paraId="69CB1A5D" w14:textId="6F844D36" w:rsidR="00635986" w:rsidRDefault="00635986" w:rsidP="00E92F04">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BD6489">
        <w:rPr>
          <w:color w:val="000000"/>
          <w:sz w:val="28"/>
          <w:szCs w:val="28"/>
          <w:lang w:val="es-PE"/>
        </w:rPr>
        <w:t>2</w:t>
      </w:r>
      <w:r w:rsidR="003C1120">
        <w:rPr>
          <w:color w:val="000000"/>
          <w:sz w:val="28"/>
          <w:szCs w:val="28"/>
          <w:lang w:val="es-PE"/>
        </w:rPr>
        <w:t>4</w:t>
      </w:r>
      <w:r w:rsidR="002B6694">
        <w:rPr>
          <w:color w:val="000000"/>
          <w:sz w:val="28"/>
          <w:szCs w:val="28"/>
          <w:lang w:val="es-PE"/>
        </w:rPr>
        <w:t xml:space="preserve"> tháng</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3EAEE001"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BD6489">
        <w:rPr>
          <w:color w:val="000000"/>
          <w:sz w:val="28"/>
          <w:szCs w:val="28"/>
        </w:rPr>
        <w:t>2</w:t>
      </w:r>
      <w:r w:rsidR="003C1120">
        <w:rPr>
          <w:color w:val="000000"/>
          <w:sz w:val="28"/>
          <w:szCs w:val="28"/>
        </w:rPr>
        <w:t>4</w:t>
      </w:r>
      <w:r w:rsidR="00BD6489">
        <w:rPr>
          <w:color w:val="000000"/>
          <w:sz w:val="28"/>
          <w:szCs w:val="28"/>
        </w:rPr>
        <w:t xml:space="preserve"> </w:t>
      </w:r>
      <w:r w:rsidR="002B6694">
        <w:rPr>
          <w:color w:val="000000"/>
          <w:sz w:val="28"/>
          <w:szCs w:val="28"/>
        </w:rPr>
        <w:t>tháng</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8E0896">
      <w:pPr>
        <w:widowControl w:val="0"/>
        <w:spacing w:beforeLines="24" w:before="57" w:afterLines="24" w:after="57"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Tất cả các vật tư, vật liệu, bán thành phẩm phải là mới nguyên và phải </w:t>
      </w:r>
      <w:r>
        <w:rPr>
          <w:color w:val="000000"/>
          <w:sz w:val="28"/>
          <w:szCs w:val="28"/>
          <w:lang w:val="vi-VN"/>
        </w:rPr>
        <w:lastRenderedPageBreak/>
        <w:t>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xml:space="preserve">- Trình tự thi công, xây lắp phụ thuộc vào đặc điểm riêng của từng gói </w:t>
      </w:r>
      <w:r>
        <w:rPr>
          <w:color w:val="000000"/>
          <w:spacing w:val="2"/>
          <w:sz w:val="28"/>
          <w:szCs w:val="28"/>
          <w:lang w:val="vi-VN"/>
        </w:rPr>
        <w:lastRenderedPageBreak/>
        <w:t>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xây dựng có trách nhiệm đào tạo, hướng dẫn phổ biến các quy </w:t>
      </w:r>
      <w:r>
        <w:rPr>
          <w:color w:val="000000"/>
          <w:sz w:val="28"/>
          <w:szCs w:val="28"/>
          <w:lang w:val="vi-VN"/>
        </w:rPr>
        <w:lastRenderedPageBreak/>
        <w:t>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b. Nhà thầu thực hiện các yêu cầu cụ thể sau để đảm bảo vệ sinh, bảo vệ </w:t>
      </w:r>
      <w:r>
        <w:rPr>
          <w:color w:val="000000"/>
          <w:sz w:val="28"/>
          <w:szCs w:val="28"/>
          <w:lang w:val="vi-VN"/>
        </w:rPr>
        <w:lastRenderedPageBreak/>
        <w:t>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w:t>
      </w:r>
      <w:r>
        <w:rPr>
          <w:color w:val="000000"/>
          <w:spacing w:val="4"/>
          <w:sz w:val="28"/>
          <w:szCs w:val="28"/>
          <w:lang w:val="vi-VN"/>
        </w:rPr>
        <w:lastRenderedPageBreak/>
        <w:t>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173339B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w:t>
      </w:r>
      <w:r>
        <w:rPr>
          <w:color w:val="000000"/>
          <w:sz w:val="28"/>
          <w:szCs w:val="28"/>
          <w:lang w:val="vi-VN"/>
        </w:rPr>
        <w:lastRenderedPageBreak/>
        <w:t xml:space="preserve">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002DAF7F"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a. </w:t>
      </w:r>
      <w:r w:rsidR="002B6694">
        <w:rPr>
          <w:color w:val="000000"/>
          <w:sz w:val="28"/>
          <w:szCs w:val="28"/>
        </w:rPr>
        <w:t>Thông</w:t>
      </w:r>
      <w:r>
        <w:rPr>
          <w:color w:val="000000"/>
          <w:sz w:val="28"/>
          <w:szCs w:val="28"/>
          <w:lang w:val="vi-VN"/>
        </w:rPr>
        <w:t xml:space="preserve">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Báo cáo định kỳ: Nhà thầu phối hợp với Tư vấn giám sát thực hiện chế độ báo cáo định kỳ về tiến độ, chất lượng và khối lượng cùng với các vấn đề tồn tại, </w:t>
      </w:r>
      <w:r>
        <w:rPr>
          <w:color w:val="000000"/>
          <w:sz w:val="28"/>
          <w:szCs w:val="28"/>
          <w:lang w:val="vi-VN"/>
        </w:rPr>
        <w:lastRenderedPageBreak/>
        <w:t>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Thời gian họp định kỳ tuỳ theo yêu cầu tiến độ của gói thầu và do Chủ </w:t>
      </w:r>
      <w:r>
        <w:rPr>
          <w:color w:val="000000"/>
          <w:sz w:val="28"/>
          <w:szCs w:val="28"/>
          <w:lang w:val="vi-VN"/>
        </w:rPr>
        <w:lastRenderedPageBreak/>
        <w:t>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9BF3BB0" w:rsidR="006A5593" w:rsidRDefault="002B6694"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Hồ sơ 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4E7BA812"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w:t>
            </w:r>
            <w:r w:rsidR="003C1120">
              <w:rPr>
                <w:color w:val="000000"/>
                <w:sz w:val="26"/>
                <w:szCs w:val="26"/>
              </w:rPr>
              <w:t>6</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94B8" w14:textId="77777777" w:rsidR="006E5478" w:rsidRDefault="006E5478" w:rsidP="00E05AF1">
      <w:r>
        <w:separator/>
      </w:r>
    </w:p>
  </w:endnote>
  <w:endnote w:type="continuationSeparator" w:id="0">
    <w:p w14:paraId="0E842F71" w14:textId="77777777" w:rsidR="006E5478" w:rsidRDefault="006E547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F70F" w14:textId="77777777" w:rsidR="006E5478" w:rsidRDefault="006E5478" w:rsidP="00E05AF1">
      <w:r>
        <w:separator/>
      </w:r>
    </w:p>
  </w:footnote>
  <w:footnote w:type="continuationSeparator" w:id="0">
    <w:p w14:paraId="24C5C003" w14:textId="77777777" w:rsidR="006E5478" w:rsidRDefault="006E547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07B7D"/>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23B4"/>
    <w:rsid w:val="001A58BF"/>
    <w:rsid w:val="001A5FCD"/>
    <w:rsid w:val="001B2A68"/>
    <w:rsid w:val="001B2F1B"/>
    <w:rsid w:val="001B313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69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052"/>
    <w:rsid w:val="002F2278"/>
    <w:rsid w:val="002F34E0"/>
    <w:rsid w:val="002F35E1"/>
    <w:rsid w:val="002F652F"/>
    <w:rsid w:val="0030022A"/>
    <w:rsid w:val="00301893"/>
    <w:rsid w:val="00301BD4"/>
    <w:rsid w:val="00302AB9"/>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120"/>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5478"/>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87EF1"/>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5A51"/>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6489"/>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6583"/>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6C8"/>
    <w:rsid w:val="00C84C31"/>
    <w:rsid w:val="00C84D92"/>
    <w:rsid w:val="00C86C48"/>
    <w:rsid w:val="00C87F1B"/>
    <w:rsid w:val="00C913CE"/>
    <w:rsid w:val="00C917F3"/>
    <w:rsid w:val="00C926BC"/>
    <w:rsid w:val="00C931B0"/>
    <w:rsid w:val="00C93CAB"/>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58D"/>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13</Pages>
  <Words>3865</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301</cp:revision>
  <cp:lastPrinted>2025-06-20T09:37:00Z</cp:lastPrinted>
  <dcterms:created xsi:type="dcterms:W3CDTF">2024-05-05T01:30:00Z</dcterms:created>
  <dcterms:modified xsi:type="dcterms:W3CDTF">2026-02-01T07:58:00Z</dcterms:modified>
</cp:coreProperties>
</file>