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98" w:rsidRPr="00EB2705" w:rsidRDefault="00621498" w:rsidP="00621498">
      <w:pPr>
        <w:spacing w:before="120" w:after="120"/>
        <w:rPr>
          <w:rFonts w:ascii="Times New Roman" w:hAnsi="Times New Roman" w:cs="Times New Roman"/>
          <w:sz w:val="28"/>
          <w:szCs w:val="28"/>
        </w:rPr>
      </w:pPr>
      <w:r w:rsidRPr="00EB2705">
        <w:rPr>
          <w:rFonts w:ascii="Times New Roman" w:hAnsi="Times New Roman" w:cs="Times New Roman"/>
          <w:b/>
          <w:iCs/>
          <w:sz w:val="28"/>
          <w:szCs w:val="28"/>
        </w:rPr>
        <w:t>3.1. Đánh giá theo phương pháp</w:t>
      </w:r>
      <w:r w:rsidRPr="00EB2705" w:rsidDel="00BE4476">
        <w:rPr>
          <w:rFonts w:ascii="Times New Roman" w:hAnsi="Times New Roman" w:cs="Times New Roman"/>
          <w:b/>
          <w:iCs/>
          <w:sz w:val="28"/>
          <w:szCs w:val="28"/>
        </w:rPr>
        <w:t xml:space="preserve"> </w:t>
      </w:r>
      <w:r w:rsidRPr="00EB2705">
        <w:rPr>
          <w:rFonts w:ascii="Times New Roman" w:hAnsi="Times New Roman" w:cs="Times New Roman"/>
          <w:b/>
          <w:iCs/>
          <w:sz w:val="28"/>
          <w:szCs w:val="28"/>
        </w:rPr>
        <w:t>đạt/không đạt</w:t>
      </w:r>
      <w:r w:rsidRPr="00EB2705">
        <w:rPr>
          <w:rFonts w:ascii="Times New Roman" w:hAnsi="Times New Roman" w:cs="Times New Roman"/>
          <w:b/>
          <w:sz w:val="28"/>
          <w:szCs w:val="28"/>
        </w:rPr>
        <w:t>:</w:t>
      </w:r>
    </w:p>
    <w:p w:rsidR="00621498" w:rsidRPr="00EB2705" w:rsidRDefault="00621498" w:rsidP="00621498">
      <w:pPr>
        <w:pStyle w:val="ListParagraph1"/>
        <w:tabs>
          <w:tab w:val="left" w:pos="0"/>
        </w:tabs>
        <w:spacing w:before="120" w:after="120" w:line="240" w:lineRule="auto"/>
        <w:ind w:left="0" w:firstLine="709"/>
        <w:contextualSpacing w:val="0"/>
        <w:jc w:val="both"/>
        <w:rPr>
          <w:rFonts w:ascii="Times New Roman" w:hAnsi="Times New Roman"/>
          <w:spacing w:val="2"/>
          <w:sz w:val="28"/>
          <w:szCs w:val="28"/>
          <w:lang w:val="vi-VN"/>
        </w:rPr>
      </w:pPr>
      <w:r w:rsidRPr="00EB2705">
        <w:rPr>
          <w:rFonts w:ascii="Times New Roman" w:hAnsi="Times New Roman"/>
          <w:sz w:val="28"/>
          <w:szCs w:val="28"/>
          <w:lang w:val="es-ES"/>
        </w:rPr>
        <w:t>- Đánh</w:t>
      </w:r>
      <w:r w:rsidRPr="00EB2705">
        <w:rPr>
          <w:rFonts w:ascii="Times New Roman" w:hAnsi="Times New Roman"/>
          <w:spacing w:val="2"/>
          <w:sz w:val="28"/>
          <w:szCs w:val="28"/>
          <w:lang w:val="vi-VN"/>
        </w:rPr>
        <w:t xml:space="preserve"> giá theo phương pháp đạt/không đạt.</w:t>
      </w:r>
    </w:p>
    <w:p w:rsidR="00621498" w:rsidRPr="00EB2705" w:rsidRDefault="00621498" w:rsidP="00621498">
      <w:pPr>
        <w:pStyle w:val="ListParagraph1"/>
        <w:tabs>
          <w:tab w:val="left" w:pos="0"/>
        </w:tabs>
        <w:spacing w:before="120" w:after="120" w:line="240" w:lineRule="auto"/>
        <w:ind w:left="0" w:firstLine="709"/>
        <w:contextualSpacing w:val="0"/>
        <w:jc w:val="both"/>
        <w:rPr>
          <w:rFonts w:ascii="Times New Roman" w:hAnsi="Times New Roman"/>
          <w:sz w:val="28"/>
          <w:szCs w:val="28"/>
          <w:lang w:val="es-ES"/>
        </w:rPr>
      </w:pPr>
      <w:r w:rsidRPr="00EB2705">
        <w:rPr>
          <w:rFonts w:ascii="Times New Roman" w:hAnsi="Times New Roman"/>
          <w:spacing w:val="2"/>
          <w:sz w:val="28"/>
          <w:szCs w:val="28"/>
          <w:lang w:val="vi-VN"/>
        </w:rPr>
        <w:t xml:space="preserve">- </w:t>
      </w:r>
      <w:r w:rsidRPr="00EB2705">
        <w:rPr>
          <w:rFonts w:ascii="Times New Roman" w:hAnsi="Times New Roman"/>
          <w:sz w:val="28"/>
          <w:szCs w:val="28"/>
          <w:lang w:val="es-ES"/>
        </w:rPr>
        <w:t>E-HSDT được đánh giá là đáp ứng yêu cầu về kỹ thuật khi có tất cả các yêu cầu đều được đánh giá là đạt.</w:t>
      </w:r>
      <w:r w:rsidRPr="00EB2705">
        <w:rPr>
          <w:rFonts w:ascii="Times New Roman" w:hAnsi="Times New Roman"/>
          <w:sz w:val="28"/>
          <w:szCs w:val="28"/>
          <w:lang w:val="vi-VN"/>
        </w:rPr>
        <w:t xml:space="preserve"> Trường hợp nhà thầu không đạt một trong các tiêu chuẩn thì được đánh giá là không đạt và không được xem xét, đánh giá bước tiếp theo,</w:t>
      </w:r>
      <w:r w:rsidRPr="00EB2705">
        <w:rPr>
          <w:rFonts w:ascii="Times New Roman" w:hAnsi="Times New Roman"/>
          <w:sz w:val="28"/>
          <w:szCs w:val="28"/>
          <w:lang w:val="es-ES"/>
        </w:rPr>
        <w:t xml:space="preserve"> chi tiết: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57"/>
        <w:gridCol w:w="2552"/>
        <w:gridCol w:w="3121"/>
        <w:gridCol w:w="2834"/>
      </w:tblGrid>
      <w:tr w:rsidR="00621498" w:rsidRPr="00EB2705" w:rsidTr="00621498">
        <w:trPr>
          <w:trHeight w:val="453"/>
          <w:tblHeader/>
          <w:jc w:val="center"/>
        </w:trPr>
        <w:tc>
          <w:tcPr>
            <w:tcW w:w="557" w:type="dxa"/>
            <w:vMerge w:val="restart"/>
            <w:shd w:val="clear" w:color="auto" w:fill="auto"/>
            <w:vAlign w:val="center"/>
          </w:tcPr>
          <w:p w:rsidR="00621498" w:rsidRPr="00EB2705" w:rsidRDefault="00621498" w:rsidP="007547ED">
            <w:pPr>
              <w:spacing w:beforeLines="50" w:before="120" w:afterLines="50" w:after="120"/>
              <w:jc w:val="center"/>
              <w:rPr>
                <w:rFonts w:ascii="Times New Roman" w:eastAsia="Calibri" w:hAnsi="Times New Roman" w:cs="Times New Roman"/>
                <w:b/>
                <w:sz w:val="28"/>
                <w:szCs w:val="28"/>
              </w:rPr>
            </w:pPr>
            <w:r w:rsidRPr="00EB2705">
              <w:rPr>
                <w:rFonts w:ascii="Times New Roman" w:eastAsia="Calibri" w:hAnsi="Times New Roman" w:cs="Times New Roman"/>
                <w:b/>
                <w:sz w:val="28"/>
                <w:szCs w:val="28"/>
              </w:rPr>
              <w:t>TT</w:t>
            </w:r>
          </w:p>
        </w:tc>
        <w:tc>
          <w:tcPr>
            <w:tcW w:w="2553" w:type="dxa"/>
            <w:vMerge w:val="restart"/>
            <w:shd w:val="clear" w:color="auto" w:fill="auto"/>
            <w:vAlign w:val="center"/>
          </w:tcPr>
          <w:p w:rsidR="00621498" w:rsidRPr="00EB2705" w:rsidRDefault="00621498" w:rsidP="007547ED">
            <w:pPr>
              <w:spacing w:beforeLines="50" w:before="120" w:afterLines="50" w:after="120"/>
              <w:jc w:val="center"/>
              <w:rPr>
                <w:rFonts w:ascii="Times New Roman" w:eastAsia="Calibri" w:hAnsi="Times New Roman" w:cs="Times New Roman"/>
                <w:b/>
                <w:sz w:val="28"/>
                <w:szCs w:val="28"/>
              </w:rPr>
            </w:pPr>
            <w:r w:rsidRPr="00EB2705">
              <w:rPr>
                <w:rFonts w:ascii="Times New Roman" w:eastAsia="Calibri" w:hAnsi="Times New Roman" w:cs="Times New Roman"/>
                <w:b/>
                <w:sz w:val="28"/>
                <w:szCs w:val="28"/>
              </w:rPr>
              <w:t>Nội dung yêu cầu</w:t>
            </w:r>
          </w:p>
        </w:tc>
        <w:tc>
          <w:tcPr>
            <w:tcW w:w="5957" w:type="dxa"/>
            <w:gridSpan w:val="2"/>
            <w:shd w:val="clear" w:color="auto" w:fill="auto"/>
          </w:tcPr>
          <w:p w:rsidR="00621498" w:rsidRPr="00EB2705" w:rsidRDefault="00621498" w:rsidP="007547ED">
            <w:pPr>
              <w:spacing w:beforeLines="50" w:before="120" w:afterLines="50" w:after="120"/>
              <w:jc w:val="center"/>
              <w:rPr>
                <w:rFonts w:ascii="Times New Roman" w:eastAsia="Calibri" w:hAnsi="Times New Roman" w:cs="Times New Roman"/>
                <w:b/>
                <w:sz w:val="28"/>
                <w:szCs w:val="28"/>
              </w:rPr>
            </w:pPr>
            <w:r w:rsidRPr="00EB2705">
              <w:rPr>
                <w:rFonts w:ascii="Times New Roman" w:eastAsia="Calibri" w:hAnsi="Times New Roman" w:cs="Times New Roman"/>
                <w:b/>
                <w:sz w:val="28"/>
                <w:szCs w:val="28"/>
              </w:rPr>
              <w:t>Mức độ đáp ứng</w:t>
            </w:r>
          </w:p>
        </w:tc>
      </w:tr>
      <w:tr w:rsidR="00621498" w:rsidRPr="00EB2705" w:rsidTr="00621498">
        <w:trPr>
          <w:trHeight w:val="437"/>
          <w:tblHeader/>
          <w:jc w:val="center"/>
        </w:trPr>
        <w:tc>
          <w:tcPr>
            <w:tcW w:w="557" w:type="dxa"/>
            <w:vMerge/>
            <w:shd w:val="clear" w:color="auto" w:fill="auto"/>
          </w:tcPr>
          <w:p w:rsidR="00621498" w:rsidRPr="00EB2705" w:rsidRDefault="00621498" w:rsidP="007547ED">
            <w:pPr>
              <w:spacing w:beforeLines="50" w:before="120" w:afterLines="50" w:after="120"/>
              <w:jc w:val="center"/>
              <w:rPr>
                <w:rFonts w:ascii="Times New Roman" w:eastAsia="Calibri" w:hAnsi="Times New Roman" w:cs="Times New Roman"/>
                <w:b/>
                <w:sz w:val="28"/>
                <w:szCs w:val="28"/>
              </w:rPr>
            </w:pPr>
          </w:p>
        </w:tc>
        <w:tc>
          <w:tcPr>
            <w:tcW w:w="2553" w:type="dxa"/>
            <w:vMerge/>
            <w:shd w:val="clear" w:color="auto" w:fill="auto"/>
          </w:tcPr>
          <w:p w:rsidR="00621498" w:rsidRPr="00EB2705" w:rsidRDefault="00621498" w:rsidP="007547ED">
            <w:pPr>
              <w:spacing w:beforeLines="50" w:before="120" w:afterLines="50" w:after="120"/>
              <w:jc w:val="center"/>
              <w:rPr>
                <w:rFonts w:ascii="Times New Roman" w:eastAsia="Calibri" w:hAnsi="Times New Roman" w:cs="Times New Roman"/>
                <w:b/>
                <w:sz w:val="28"/>
                <w:szCs w:val="28"/>
              </w:rPr>
            </w:pPr>
          </w:p>
        </w:tc>
        <w:tc>
          <w:tcPr>
            <w:tcW w:w="3122" w:type="dxa"/>
            <w:shd w:val="clear" w:color="auto" w:fill="auto"/>
          </w:tcPr>
          <w:p w:rsidR="00621498" w:rsidRPr="00EB2705" w:rsidRDefault="00621498" w:rsidP="007547ED">
            <w:pPr>
              <w:spacing w:beforeLines="50" w:before="120" w:afterLines="50" w:after="120"/>
              <w:jc w:val="center"/>
              <w:rPr>
                <w:rFonts w:ascii="Times New Roman" w:eastAsia="Calibri" w:hAnsi="Times New Roman" w:cs="Times New Roman"/>
                <w:b/>
                <w:sz w:val="28"/>
                <w:szCs w:val="28"/>
              </w:rPr>
            </w:pPr>
            <w:r w:rsidRPr="00EB2705">
              <w:rPr>
                <w:rFonts w:ascii="Times New Roman" w:eastAsia="Calibri" w:hAnsi="Times New Roman" w:cs="Times New Roman"/>
                <w:b/>
                <w:sz w:val="28"/>
                <w:szCs w:val="28"/>
              </w:rPr>
              <w:t>Đạt</w:t>
            </w:r>
          </w:p>
        </w:tc>
        <w:tc>
          <w:tcPr>
            <w:tcW w:w="2835" w:type="dxa"/>
            <w:shd w:val="clear" w:color="auto" w:fill="auto"/>
          </w:tcPr>
          <w:p w:rsidR="00621498" w:rsidRPr="00EB2705" w:rsidRDefault="00621498" w:rsidP="007547ED">
            <w:pPr>
              <w:spacing w:beforeLines="50" w:before="120" w:afterLines="50" w:after="120"/>
              <w:jc w:val="center"/>
              <w:rPr>
                <w:rFonts w:ascii="Times New Roman" w:eastAsia="Calibri" w:hAnsi="Times New Roman" w:cs="Times New Roman"/>
                <w:b/>
                <w:sz w:val="28"/>
                <w:szCs w:val="28"/>
              </w:rPr>
            </w:pPr>
            <w:r w:rsidRPr="00EB2705">
              <w:rPr>
                <w:rFonts w:ascii="Times New Roman" w:eastAsia="Calibri" w:hAnsi="Times New Roman" w:cs="Times New Roman"/>
                <w:b/>
                <w:sz w:val="28"/>
                <w:szCs w:val="28"/>
              </w:rPr>
              <w:t>Không đạt</w:t>
            </w:r>
          </w:p>
        </w:tc>
      </w:tr>
      <w:tr w:rsidR="00621498" w:rsidRPr="00EB2705" w:rsidTr="00621498">
        <w:trPr>
          <w:trHeight w:val="470"/>
          <w:jc w:val="center"/>
        </w:trPr>
        <w:tc>
          <w:tcPr>
            <w:tcW w:w="557" w:type="dxa"/>
            <w:vAlign w:val="center"/>
          </w:tcPr>
          <w:p w:rsidR="00621498" w:rsidRPr="00EB2705" w:rsidRDefault="00621498" w:rsidP="007547ED">
            <w:pPr>
              <w:spacing w:beforeLines="50" w:before="120" w:afterLines="50" w:after="120"/>
              <w:jc w:val="center"/>
              <w:rPr>
                <w:rFonts w:ascii="Times New Roman" w:eastAsia="Calibri" w:hAnsi="Times New Roman" w:cs="Times New Roman"/>
                <w:b/>
                <w:bCs/>
                <w:sz w:val="28"/>
                <w:szCs w:val="28"/>
              </w:rPr>
            </w:pPr>
            <w:r w:rsidRPr="00EB2705">
              <w:rPr>
                <w:rFonts w:ascii="Times New Roman" w:hAnsi="Times New Roman" w:cs="Times New Roman"/>
                <w:b/>
                <w:bCs/>
                <w:sz w:val="28"/>
                <w:szCs w:val="28"/>
              </w:rPr>
              <w:t>1</w:t>
            </w:r>
          </w:p>
        </w:tc>
        <w:tc>
          <w:tcPr>
            <w:tcW w:w="2553" w:type="dxa"/>
            <w:vAlign w:val="center"/>
          </w:tcPr>
          <w:p w:rsidR="00621498" w:rsidRPr="008215D9" w:rsidRDefault="00621498" w:rsidP="008215D9">
            <w:pPr>
              <w:spacing w:beforeLines="50" w:before="120" w:afterLines="50" w:after="120"/>
              <w:ind w:left="110" w:right="146"/>
              <w:jc w:val="both"/>
              <w:rPr>
                <w:rFonts w:ascii="Times New Roman" w:hAnsi="Times New Roman" w:cs="Times New Roman"/>
                <w:b/>
                <w:bCs/>
                <w:sz w:val="28"/>
                <w:szCs w:val="28"/>
              </w:rPr>
            </w:pPr>
            <w:r w:rsidRPr="00EB2705">
              <w:rPr>
                <w:rFonts w:ascii="Times New Roman" w:hAnsi="Times New Roman" w:cs="Times New Roman"/>
                <w:b/>
                <w:bCs/>
                <w:sz w:val="28"/>
                <w:szCs w:val="28"/>
              </w:rPr>
              <w:t>Tính hiệu quả của việc cung cấp dịch vụ</w:t>
            </w:r>
          </w:p>
        </w:tc>
        <w:tc>
          <w:tcPr>
            <w:tcW w:w="3122"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Trình bày một cách rõ ràng, chi tiết, phù hợp với phạm vi cung cấp dịch vụ và các yêu cầu nêu tại Chương V, E-HSMT.</w:t>
            </w:r>
          </w:p>
        </w:tc>
        <w:tc>
          <w:tcPr>
            <w:tcW w:w="2835"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Không trình bày hoặc có trình bày nhưng sơ sài hoặc thiếu nội dung cơ bản.</w:t>
            </w:r>
          </w:p>
        </w:tc>
      </w:tr>
      <w:tr w:rsidR="00621498" w:rsidRPr="00EB2705" w:rsidTr="00621498">
        <w:trPr>
          <w:trHeight w:val="432"/>
          <w:jc w:val="center"/>
        </w:trPr>
        <w:tc>
          <w:tcPr>
            <w:tcW w:w="557" w:type="dxa"/>
            <w:vAlign w:val="center"/>
          </w:tcPr>
          <w:p w:rsidR="00621498" w:rsidRPr="00EB2705" w:rsidRDefault="00621498" w:rsidP="007547ED">
            <w:pPr>
              <w:spacing w:beforeLines="50" w:before="120" w:afterLines="50" w:after="120"/>
              <w:jc w:val="center"/>
              <w:rPr>
                <w:rFonts w:ascii="Times New Roman" w:eastAsia="Calibri" w:hAnsi="Times New Roman" w:cs="Times New Roman"/>
                <w:b/>
                <w:bCs/>
                <w:sz w:val="28"/>
                <w:szCs w:val="28"/>
              </w:rPr>
            </w:pPr>
            <w:r w:rsidRPr="00EB2705">
              <w:rPr>
                <w:rFonts w:ascii="Times New Roman" w:eastAsia="Calibri" w:hAnsi="Times New Roman" w:cs="Times New Roman"/>
                <w:b/>
                <w:bCs/>
                <w:sz w:val="28"/>
                <w:szCs w:val="28"/>
                <w:lang w:val="vi-VN"/>
              </w:rPr>
              <w:t>2</w:t>
            </w:r>
          </w:p>
        </w:tc>
        <w:tc>
          <w:tcPr>
            <w:tcW w:w="2553" w:type="dxa"/>
            <w:vAlign w:val="center"/>
          </w:tcPr>
          <w:p w:rsidR="00621498" w:rsidRPr="008215D9" w:rsidRDefault="00621498" w:rsidP="008215D9">
            <w:pPr>
              <w:spacing w:beforeLines="50" w:before="120" w:afterLines="50" w:after="120"/>
              <w:ind w:left="110" w:right="146"/>
              <w:jc w:val="both"/>
              <w:rPr>
                <w:rFonts w:ascii="Times New Roman" w:hAnsi="Times New Roman" w:cs="Times New Roman"/>
                <w:b/>
                <w:bCs/>
                <w:sz w:val="28"/>
                <w:szCs w:val="28"/>
              </w:rPr>
            </w:pPr>
            <w:r w:rsidRPr="008215D9">
              <w:rPr>
                <w:rFonts w:ascii="Times New Roman" w:hAnsi="Times New Roman" w:cs="Times New Roman"/>
                <w:b/>
                <w:bCs/>
                <w:sz w:val="28"/>
                <w:szCs w:val="28"/>
              </w:rPr>
              <w:t xml:space="preserve">Phạm vi </w:t>
            </w:r>
            <w:r w:rsidRPr="00EB2705">
              <w:rPr>
                <w:rFonts w:ascii="Times New Roman" w:hAnsi="Times New Roman" w:cs="Times New Roman"/>
                <w:b/>
                <w:bCs/>
                <w:sz w:val="28"/>
                <w:szCs w:val="28"/>
              </w:rPr>
              <w:t>cung</w:t>
            </w:r>
            <w:r w:rsidRPr="008215D9">
              <w:rPr>
                <w:rFonts w:ascii="Times New Roman" w:hAnsi="Times New Roman" w:cs="Times New Roman"/>
                <w:b/>
                <w:bCs/>
                <w:sz w:val="28"/>
                <w:szCs w:val="28"/>
              </w:rPr>
              <w:t xml:space="preserve"> cấp</w:t>
            </w:r>
          </w:p>
        </w:tc>
        <w:tc>
          <w:tcPr>
            <w:tcW w:w="3122"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 xml:space="preserve">Đáp ứng phạm vi cung cấp nêu tại Mẫu số 01 Chương IV của E-HSMT. </w:t>
            </w:r>
          </w:p>
        </w:tc>
        <w:tc>
          <w:tcPr>
            <w:tcW w:w="2835"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Không đáp ứng phạm vi cung cấp nêu tại Mẫu số 01 Chương IV của E-HSMT.</w:t>
            </w:r>
          </w:p>
        </w:tc>
      </w:tr>
      <w:tr w:rsidR="00621498" w:rsidRPr="00EB2705" w:rsidTr="00621498">
        <w:trPr>
          <w:trHeight w:val="989"/>
          <w:jc w:val="center"/>
        </w:trPr>
        <w:tc>
          <w:tcPr>
            <w:tcW w:w="557" w:type="dxa"/>
            <w:vAlign w:val="center"/>
          </w:tcPr>
          <w:p w:rsidR="00621498" w:rsidRPr="00EB2705" w:rsidRDefault="00621498" w:rsidP="007547ED">
            <w:pPr>
              <w:spacing w:beforeLines="50" w:before="120" w:afterLines="50" w:after="120"/>
              <w:jc w:val="center"/>
              <w:rPr>
                <w:rFonts w:ascii="Times New Roman" w:eastAsia="Calibri" w:hAnsi="Times New Roman" w:cs="Times New Roman"/>
                <w:b/>
                <w:bCs/>
                <w:sz w:val="28"/>
                <w:szCs w:val="28"/>
                <w:lang w:val="vi-VN"/>
              </w:rPr>
            </w:pPr>
            <w:r w:rsidRPr="00EB2705">
              <w:rPr>
                <w:rFonts w:ascii="Times New Roman" w:eastAsia="Calibri" w:hAnsi="Times New Roman" w:cs="Times New Roman"/>
                <w:b/>
                <w:bCs/>
                <w:sz w:val="28"/>
                <w:szCs w:val="28"/>
                <w:lang w:val="vi-VN"/>
              </w:rPr>
              <w:t>3</w:t>
            </w:r>
          </w:p>
        </w:tc>
        <w:tc>
          <w:tcPr>
            <w:tcW w:w="2553" w:type="dxa"/>
            <w:vAlign w:val="center"/>
          </w:tcPr>
          <w:p w:rsidR="00621498" w:rsidRPr="00EB2705" w:rsidRDefault="00621498" w:rsidP="008215D9">
            <w:pPr>
              <w:spacing w:beforeLines="50" w:before="120" w:afterLines="50" w:after="120"/>
              <w:ind w:left="110" w:right="146"/>
              <w:jc w:val="both"/>
              <w:rPr>
                <w:rFonts w:ascii="Times New Roman" w:hAnsi="Times New Roman" w:cs="Times New Roman"/>
                <w:b/>
                <w:bCs/>
                <w:sz w:val="28"/>
                <w:szCs w:val="28"/>
              </w:rPr>
            </w:pPr>
            <w:r w:rsidRPr="00EB2705">
              <w:rPr>
                <w:rFonts w:ascii="Times New Roman" w:hAnsi="Times New Roman" w:cs="Times New Roman"/>
                <w:b/>
                <w:bCs/>
                <w:sz w:val="28"/>
                <w:szCs w:val="28"/>
              </w:rPr>
              <w:t>Tiến độ thực hiện</w:t>
            </w:r>
          </w:p>
        </w:tc>
        <w:tc>
          <w:tcPr>
            <w:tcW w:w="3122"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Có bảng tiến độ thực hiện gói thầu chi tiết, hợp lý, khoa học phù hợp với kế hoạch triển khai</w:t>
            </w:r>
          </w:p>
        </w:tc>
        <w:tc>
          <w:tcPr>
            <w:tcW w:w="2835"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Không có hoặc có nhưng không hợp lý, khả thi hoặc không phù hợp với kế hoạch triển khai.</w:t>
            </w:r>
          </w:p>
        </w:tc>
      </w:tr>
      <w:tr w:rsidR="00621498" w:rsidRPr="00EB2705" w:rsidTr="00621498">
        <w:trPr>
          <w:trHeight w:val="1439"/>
          <w:jc w:val="center"/>
        </w:trPr>
        <w:tc>
          <w:tcPr>
            <w:tcW w:w="557" w:type="dxa"/>
            <w:vAlign w:val="center"/>
          </w:tcPr>
          <w:p w:rsidR="00621498" w:rsidRPr="00EB2705" w:rsidRDefault="00621498" w:rsidP="007547ED">
            <w:pPr>
              <w:spacing w:beforeLines="50" w:before="120" w:afterLines="50" w:after="120"/>
              <w:jc w:val="center"/>
              <w:rPr>
                <w:rFonts w:ascii="Times New Roman" w:eastAsia="Calibri" w:hAnsi="Times New Roman" w:cs="Times New Roman"/>
                <w:b/>
                <w:bCs/>
                <w:sz w:val="28"/>
                <w:szCs w:val="28"/>
              </w:rPr>
            </w:pPr>
            <w:r w:rsidRPr="00EB2705">
              <w:rPr>
                <w:rFonts w:ascii="Times New Roman" w:eastAsia="Calibri" w:hAnsi="Times New Roman" w:cs="Times New Roman"/>
                <w:b/>
                <w:bCs/>
                <w:sz w:val="28"/>
                <w:szCs w:val="28"/>
              </w:rPr>
              <w:t>4</w:t>
            </w:r>
          </w:p>
        </w:tc>
        <w:tc>
          <w:tcPr>
            <w:tcW w:w="2553" w:type="dxa"/>
            <w:vAlign w:val="center"/>
          </w:tcPr>
          <w:p w:rsidR="00621498" w:rsidRPr="00EB2705" w:rsidRDefault="00621498" w:rsidP="008215D9">
            <w:pPr>
              <w:spacing w:beforeLines="50" w:before="120" w:afterLines="50" w:after="120"/>
              <w:ind w:left="110" w:right="146"/>
              <w:jc w:val="both"/>
              <w:rPr>
                <w:rFonts w:ascii="Times New Roman" w:hAnsi="Times New Roman" w:cs="Times New Roman"/>
                <w:b/>
                <w:bCs/>
                <w:sz w:val="28"/>
                <w:szCs w:val="28"/>
              </w:rPr>
            </w:pPr>
            <w:r w:rsidRPr="00EB2705">
              <w:rPr>
                <w:rFonts w:ascii="Times New Roman" w:hAnsi="Times New Roman" w:cs="Times New Roman"/>
                <w:b/>
                <w:bCs/>
                <w:sz w:val="28"/>
                <w:szCs w:val="28"/>
              </w:rPr>
              <w:t>Yêu cầu về kỹ thuật dịch vụ</w:t>
            </w:r>
          </w:p>
        </w:tc>
        <w:tc>
          <w:tcPr>
            <w:tcW w:w="3122"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Đáp ứng yêu cầu về kỹ thuật dịch vụ nêu tại Mục 3  Chương V của E-HSMT.</w:t>
            </w:r>
          </w:p>
        </w:tc>
        <w:tc>
          <w:tcPr>
            <w:tcW w:w="2835"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Không đáp ứng yêu cầu về kỹ thuật dịch vụ nêu tại Mục 3  Chương V của E-HSMT.</w:t>
            </w:r>
          </w:p>
        </w:tc>
      </w:tr>
      <w:tr w:rsidR="00621498" w:rsidRPr="00EB2705" w:rsidTr="00621498">
        <w:trPr>
          <w:trHeight w:val="827"/>
          <w:jc w:val="center"/>
        </w:trPr>
        <w:tc>
          <w:tcPr>
            <w:tcW w:w="557" w:type="dxa"/>
            <w:vAlign w:val="center"/>
          </w:tcPr>
          <w:p w:rsidR="00621498" w:rsidRPr="00EB2705" w:rsidRDefault="00621498" w:rsidP="007547ED">
            <w:pPr>
              <w:spacing w:beforeLines="50" w:before="120" w:afterLines="50" w:after="120"/>
              <w:jc w:val="center"/>
              <w:rPr>
                <w:rFonts w:ascii="Times New Roman" w:eastAsia="Calibri" w:hAnsi="Times New Roman" w:cs="Times New Roman"/>
                <w:b/>
                <w:bCs/>
                <w:sz w:val="28"/>
                <w:szCs w:val="28"/>
              </w:rPr>
            </w:pPr>
            <w:r w:rsidRPr="00EB2705">
              <w:rPr>
                <w:rFonts w:ascii="Times New Roman" w:eastAsia="Calibri" w:hAnsi="Times New Roman" w:cs="Times New Roman"/>
                <w:b/>
                <w:bCs/>
                <w:sz w:val="28"/>
                <w:szCs w:val="28"/>
              </w:rPr>
              <w:t>5</w:t>
            </w:r>
          </w:p>
        </w:tc>
        <w:tc>
          <w:tcPr>
            <w:tcW w:w="2553" w:type="dxa"/>
            <w:vAlign w:val="center"/>
          </w:tcPr>
          <w:p w:rsidR="00621498" w:rsidRPr="00EB2705" w:rsidRDefault="00621498" w:rsidP="008215D9">
            <w:pPr>
              <w:spacing w:beforeLines="50" w:before="120" w:afterLines="50" w:after="120"/>
              <w:ind w:left="110" w:right="146"/>
              <w:jc w:val="both"/>
              <w:rPr>
                <w:rFonts w:ascii="Times New Roman" w:hAnsi="Times New Roman" w:cs="Times New Roman"/>
                <w:b/>
                <w:bCs/>
                <w:sz w:val="28"/>
                <w:szCs w:val="28"/>
              </w:rPr>
            </w:pPr>
            <w:r w:rsidRPr="00EB2705">
              <w:rPr>
                <w:rFonts w:ascii="Times New Roman" w:hAnsi="Times New Roman" w:cs="Times New Roman"/>
                <w:b/>
                <w:bCs/>
                <w:sz w:val="28"/>
                <w:szCs w:val="28"/>
              </w:rPr>
              <w:t>Tính h</w:t>
            </w:r>
            <w:bookmarkStart w:id="0" w:name="_GoBack"/>
            <w:bookmarkEnd w:id="0"/>
            <w:r w:rsidRPr="00EB2705">
              <w:rPr>
                <w:rFonts w:ascii="Times New Roman" w:hAnsi="Times New Roman" w:cs="Times New Roman"/>
                <w:b/>
                <w:bCs/>
                <w:sz w:val="28"/>
                <w:szCs w:val="28"/>
              </w:rPr>
              <w:t>ợp lý và khả thi của kế hoạch triển khai gói thầu</w:t>
            </w:r>
          </w:p>
        </w:tc>
        <w:tc>
          <w:tcPr>
            <w:tcW w:w="3122"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Có bảng kế hoạch thực hiện toàn bộ các hạng mục công việc của gói thầu và quy trình chi tiết tổ chức thực hiện từng hạng mục cụ thể từ khi bắt đầu đến khi kết thúc gói thầu.</w:t>
            </w:r>
          </w:p>
        </w:tc>
        <w:tc>
          <w:tcPr>
            <w:tcW w:w="2835"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Không trình bày hoặc có trình bày nhưng sơ sài hoặc thiếu nội dung cơ bản</w:t>
            </w:r>
          </w:p>
        </w:tc>
      </w:tr>
      <w:tr w:rsidR="00621498" w:rsidRPr="00EB2705" w:rsidTr="00621498">
        <w:trPr>
          <w:trHeight w:val="1122"/>
          <w:jc w:val="center"/>
        </w:trPr>
        <w:tc>
          <w:tcPr>
            <w:tcW w:w="557" w:type="dxa"/>
            <w:vAlign w:val="center"/>
          </w:tcPr>
          <w:p w:rsidR="00621498" w:rsidRPr="00EB2705" w:rsidRDefault="00621498" w:rsidP="007547ED">
            <w:pPr>
              <w:spacing w:beforeLines="50" w:before="120" w:afterLines="50" w:after="120"/>
              <w:jc w:val="center"/>
              <w:rPr>
                <w:rFonts w:ascii="Times New Roman" w:eastAsia="Calibri" w:hAnsi="Times New Roman" w:cs="Times New Roman"/>
                <w:b/>
                <w:bCs/>
                <w:sz w:val="28"/>
                <w:szCs w:val="28"/>
              </w:rPr>
            </w:pPr>
            <w:r w:rsidRPr="00EB2705">
              <w:rPr>
                <w:rFonts w:ascii="Times New Roman" w:eastAsia="Calibri" w:hAnsi="Times New Roman" w:cs="Times New Roman"/>
                <w:b/>
                <w:bCs/>
                <w:sz w:val="28"/>
                <w:szCs w:val="28"/>
              </w:rPr>
              <w:lastRenderedPageBreak/>
              <w:t>6</w:t>
            </w:r>
          </w:p>
        </w:tc>
        <w:tc>
          <w:tcPr>
            <w:tcW w:w="2553" w:type="dxa"/>
            <w:vAlign w:val="center"/>
          </w:tcPr>
          <w:p w:rsidR="00621498" w:rsidRPr="00EB2705" w:rsidRDefault="00621498" w:rsidP="008215D9">
            <w:pPr>
              <w:spacing w:beforeLines="50" w:before="120" w:afterLines="50" w:after="120"/>
              <w:ind w:left="110" w:right="146"/>
              <w:jc w:val="both"/>
              <w:rPr>
                <w:rFonts w:ascii="Times New Roman" w:hAnsi="Times New Roman" w:cs="Times New Roman"/>
                <w:b/>
                <w:bCs/>
                <w:sz w:val="28"/>
                <w:szCs w:val="28"/>
              </w:rPr>
            </w:pPr>
            <w:r w:rsidRPr="00EB2705">
              <w:rPr>
                <w:rFonts w:ascii="Times New Roman" w:hAnsi="Times New Roman" w:cs="Times New Roman"/>
                <w:b/>
                <w:bCs/>
                <w:sz w:val="28"/>
                <w:szCs w:val="28"/>
              </w:rPr>
              <w:t>Các yêu cầu khác</w:t>
            </w:r>
          </w:p>
        </w:tc>
        <w:tc>
          <w:tcPr>
            <w:tcW w:w="3122"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Đáp ứng yêu cầu nêu tại Mục 4 Chương V của E-HSMT.</w:t>
            </w:r>
          </w:p>
        </w:tc>
        <w:tc>
          <w:tcPr>
            <w:tcW w:w="2835"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Không đáp ứng yêu cầu nêu tại Mục 4 Chương V của E-HSMT.</w:t>
            </w:r>
          </w:p>
        </w:tc>
      </w:tr>
      <w:tr w:rsidR="00621498" w:rsidRPr="00EB2705" w:rsidTr="00621498">
        <w:trPr>
          <w:trHeight w:val="1439"/>
          <w:jc w:val="center"/>
        </w:trPr>
        <w:tc>
          <w:tcPr>
            <w:tcW w:w="557" w:type="dxa"/>
            <w:vAlign w:val="center"/>
          </w:tcPr>
          <w:p w:rsidR="00621498" w:rsidRPr="00EB2705" w:rsidRDefault="00621498" w:rsidP="007547ED">
            <w:pPr>
              <w:spacing w:beforeLines="50" w:before="120" w:afterLines="50" w:after="120"/>
              <w:jc w:val="center"/>
              <w:rPr>
                <w:rFonts w:ascii="Times New Roman" w:eastAsia="Calibri" w:hAnsi="Times New Roman" w:cs="Times New Roman"/>
                <w:b/>
                <w:bCs/>
                <w:sz w:val="28"/>
                <w:szCs w:val="28"/>
              </w:rPr>
            </w:pPr>
            <w:r w:rsidRPr="00EB2705">
              <w:rPr>
                <w:rFonts w:ascii="Times New Roman" w:eastAsia="Calibri" w:hAnsi="Times New Roman" w:cs="Times New Roman"/>
                <w:b/>
                <w:bCs/>
                <w:sz w:val="28"/>
                <w:szCs w:val="28"/>
              </w:rPr>
              <w:t>7</w:t>
            </w:r>
          </w:p>
        </w:tc>
        <w:tc>
          <w:tcPr>
            <w:tcW w:w="2553" w:type="dxa"/>
            <w:vAlign w:val="center"/>
          </w:tcPr>
          <w:p w:rsidR="00621498" w:rsidRPr="00EB2705" w:rsidRDefault="00621498" w:rsidP="008215D9">
            <w:pPr>
              <w:spacing w:beforeLines="50" w:before="120" w:afterLines="50" w:after="120"/>
              <w:ind w:left="110" w:right="146"/>
              <w:jc w:val="both"/>
              <w:rPr>
                <w:rFonts w:ascii="Times New Roman" w:hAnsi="Times New Roman" w:cs="Times New Roman"/>
                <w:b/>
                <w:bCs/>
                <w:sz w:val="28"/>
                <w:szCs w:val="28"/>
              </w:rPr>
            </w:pPr>
            <w:r w:rsidRPr="00EB2705">
              <w:rPr>
                <w:rFonts w:ascii="Times New Roman" w:hAnsi="Times New Roman" w:cs="Times New Roman"/>
                <w:b/>
                <w:bCs/>
                <w:sz w:val="28"/>
                <w:szCs w:val="28"/>
              </w:rPr>
              <w:t>Phương án bảo đảm điều kiện về phòng cháy, chữa cháy, hư hỏng, thất lạc hồ sơ và biện pháp khắc phục sự cố</w:t>
            </w:r>
          </w:p>
        </w:tc>
        <w:tc>
          <w:tcPr>
            <w:tcW w:w="3122"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Trình bày đầy đủ, chi tiết phương án bảo đảm điều kiện về phòng cháy, chữa cháy, hư hỏng, thất lạc hồ sơ và biện pháp khắc phục sự cố phù hợp với phạm vi cung cấp và kế hoạch triển khai.</w:t>
            </w:r>
          </w:p>
        </w:tc>
        <w:tc>
          <w:tcPr>
            <w:tcW w:w="2835" w:type="dxa"/>
            <w:vAlign w:val="center"/>
          </w:tcPr>
          <w:p w:rsidR="00621498" w:rsidRPr="00EB2705" w:rsidRDefault="00621498" w:rsidP="00621498">
            <w:pPr>
              <w:spacing w:beforeLines="50" w:before="120" w:afterLines="50" w:after="120"/>
              <w:ind w:left="110" w:right="146"/>
              <w:jc w:val="both"/>
              <w:rPr>
                <w:rFonts w:ascii="Times New Roman" w:hAnsi="Times New Roman" w:cs="Times New Roman"/>
                <w:sz w:val="28"/>
                <w:szCs w:val="28"/>
              </w:rPr>
            </w:pPr>
            <w:r w:rsidRPr="00EB2705">
              <w:rPr>
                <w:rFonts w:ascii="Times New Roman" w:hAnsi="Times New Roman" w:cs="Times New Roman"/>
                <w:sz w:val="28"/>
                <w:szCs w:val="28"/>
              </w:rPr>
              <w:t>Không trình bày hoặc có trình bày nhưng sơ sài, không đầy đủ.</w:t>
            </w:r>
          </w:p>
        </w:tc>
      </w:tr>
    </w:tbl>
    <w:p w:rsidR="00621498" w:rsidRPr="00EB2705" w:rsidRDefault="00621498">
      <w:pPr>
        <w:rPr>
          <w:rFonts w:ascii="Times New Roman" w:hAnsi="Times New Roman" w:cs="Times New Roman"/>
          <w:sz w:val="28"/>
          <w:szCs w:val="28"/>
        </w:rPr>
      </w:pPr>
    </w:p>
    <w:sectPr w:rsidR="00621498" w:rsidRPr="00EB2705" w:rsidSect="00C22B88">
      <w:pgSz w:w="11907" w:h="16840" w:code="9"/>
      <w:pgMar w:top="1134" w:right="1134" w:bottom="1134" w:left="1699" w:header="176" w:footer="1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41A5E"/>
    <w:multiLevelType w:val="hybridMultilevel"/>
    <w:tmpl w:val="F55A0092"/>
    <w:lvl w:ilvl="0" w:tplc="9E5CD5C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98"/>
    <w:rsid w:val="002725E3"/>
    <w:rsid w:val="00621498"/>
    <w:rsid w:val="008215D9"/>
    <w:rsid w:val="00C22B88"/>
    <w:rsid w:val="00C824A7"/>
    <w:rsid w:val="00CD1CE6"/>
    <w:rsid w:val="00EB2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5D5DE-DE86-4387-A9D1-00D7912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AR Bul Normal"/>
    <w:basedOn w:val="Normal"/>
    <w:uiPriority w:val="34"/>
    <w:qFormat/>
    <w:rsid w:val="00621498"/>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VuTuyen</dc:creator>
  <cp:keywords/>
  <dc:description/>
  <cp:lastModifiedBy>VuTuyen</cp:lastModifiedBy>
  <cp:revision>4</cp:revision>
  <dcterms:created xsi:type="dcterms:W3CDTF">2026-01-20T02:25:00Z</dcterms:created>
  <dcterms:modified xsi:type="dcterms:W3CDTF">2026-01-29T06:35:00Z</dcterms:modified>
</cp:coreProperties>
</file>