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63C7D2E4"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2E4819" w:rsidRPr="002E4819">
        <w:rPr>
          <w:color w:val="000000"/>
          <w:sz w:val="28"/>
          <w:szCs w:val="28"/>
          <w:lang w:val="es-PE"/>
        </w:rPr>
        <w:t>Xây dựng đường giao thông nông thôn xã Cúc Phương</w:t>
      </w:r>
      <w:r>
        <w:rPr>
          <w:color w:val="000000"/>
          <w:sz w:val="28"/>
          <w:szCs w:val="28"/>
          <w:lang w:val="es-PE"/>
        </w:rPr>
        <w:t>.</w:t>
      </w:r>
    </w:p>
    <w:p w14:paraId="69CB1A4C" w14:textId="0AD84EF4"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A46933">
        <w:rPr>
          <w:color w:val="000000"/>
          <w:sz w:val="28"/>
          <w:szCs w:val="28"/>
          <w:lang w:val="es-PE"/>
        </w:rPr>
        <w:t xml:space="preserve">Xã </w:t>
      </w:r>
      <w:r w:rsidR="002E4819">
        <w:rPr>
          <w:color w:val="000000"/>
          <w:sz w:val="28"/>
          <w:szCs w:val="28"/>
          <w:lang w:val="es-PE"/>
        </w:rPr>
        <w:t>Cúc Phương</w:t>
      </w:r>
      <w:r w:rsidR="00062DD1">
        <w:rPr>
          <w:color w:val="000000"/>
          <w:sz w:val="28"/>
          <w:szCs w:val="28"/>
          <w:lang w:val="es-PE"/>
        </w:rPr>
        <w:t>, tỉnh Ninh Bình</w:t>
      </w:r>
      <w:r>
        <w:rPr>
          <w:color w:val="000000"/>
          <w:sz w:val="28"/>
          <w:szCs w:val="28"/>
          <w:lang w:val="es-PE"/>
        </w:rPr>
        <w:t>.</w:t>
      </w:r>
    </w:p>
    <w:p w14:paraId="69CB1A4D" w14:textId="3674174B"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2B6694" w:rsidRPr="002B6694">
        <w:rPr>
          <w:color w:val="000000"/>
          <w:sz w:val="28"/>
          <w:szCs w:val="28"/>
          <w:lang w:val="es-PE"/>
        </w:rPr>
        <w:t xml:space="preserve">UBND </w:t>
      </w:r>
      <w:r w:rsidR="00A46933">
        <w:rPr>
          <w:color w:val="000000"/>
          <w:sz w:val="28"/>
          <w:szCs w:val="28"/>
          <w:lang w:val="es-PE"/>
        </w:rPr>
        <w:t xml:space="preserve">xã </w:t>
      </w:r>
      <w:r w:rsidR="002E4819">
        <w:rPr>
          <w:color w:val="000000"/>
          <w:sz w:val="28"/>
          <w:szCs w:val="28"/>
          <w:lang w:val="es-PE"/>
        </w:rPr>
        <w:t>Cúc Phương</w:t>
      </w:r>
      <w:r>
        <w:rPr>
          <w:color w:val="000000"/>
          <w:sz w:val="28"/>
          <w:szCs w:val="28"/>
          <w:lang w:val="es-PE"/>
        </w:rPr>
        <w:t>.</w:t>
      </w:r>
    </w:p>
    <w:p w14:paraId="69CB1A4E" w14:textId="43A22C0F"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30588E">
        <w:rPr>
          <w:color w:val="000000"/>
          <w:sz w:val="28"/>
          <w:szCs w:val="28"/>
          <w:lang w:val="es-PE"/>
        </w:rPr>
        <w:t>10</w:t>
      </w:r>
      <w:r w:rsidR="00E22C2F">
        <w:rPr>
          <w:color w:val="000000"/>
          <w:sz w:val="28"/>
          <w:szCs w:val="28"/>
          <w:lang w:val="es-PE"/>
        </w:rPr>
        <w:t>%</w:t>
      </w:r>
      <w:r w:rsidR="00B960E6">
        <w:rPr>
          <w:color w:val="000000"/>
          <w:sz w:val="28"/>
          <w:szCs w:val="28"/>
          <w:lang w:val="es-PE"/>
        </w:rPr>
        <w:t>.</w:t>
      </w:r>
      <w:r w:rsidR="002E4819">
        <w:rPr>
          <w:color w:val="000000"/>
          <w:sz w:val="28"/>
          <w:szCs w:val="28"/>
          <w:lang w:val="es-PE"/>
        </w:rPr>
        <w:t xml:space="preserve"> Trong đó tỷ lệ dự phòng là </w:t>
      </w:r>
      <w:r w:rsidR="00D336A7">
        <w:rPr>
          <w:color w:val="000000"/>
          <w:sz w:val="28"/>
          <w:szCs w:val="28"/>
          <w:lang w:val="es-PE"/>
        </w:rPr>
        <w:t>1,9%.</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59A4FF5F"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Đầu tư nâng cấp, mở rộng 02 tuyến đường giao thông nông thôn xã Cúc Phương với tổng chiều dài khoảng 1.469,04m, gồm 1.107,58m đạt tiêu chuẩn đường cấp IV miền núi (theo TCVN4054-2005) và 361,46m đạt tiêu chuẩn đường cấp V miền núi (theo TCVN4054-2005) và các công trình trên tuyến cụ thể như sau :</w:t>
      </w:r>
    </w:p>
    <w:p w14:paraId="29E5C8F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a) Phần đường:</w:t>
      </w:r>
    </w:p>
    <w:p w14:paraId="6F5A6877"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Bình đồ, Hướng tuyến:</w:t>
      </w:r>
    </w:p>
    <w:p w14:paraId="7A668FCB"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Tuyến 1: Điểm đầu từ suối cây Vả thôn Nga 2; điểm cuối giao với đường Cúc Phương – Bái Đính. Chiều dài tuyến 1.107,58m.</w:t>
      </w:r>
    </w:p>
    <w:p w14:paraId="4BA7549C"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Tuyến 2: Điểm đầu giao với tuyến 1; điểm cuối nối với đường đi bản Mét. Chiều dài tuyến 361,46m.</w:t>
      </w:r>
    </w:p>
    <w:p w14:paraId="6D65B3DE"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Thiết kế trắc dọc: Cao độ đường đỏ thiết kế trên cơ sở cao độ mặt đường cũ, với các điểm khống chế công trình trên tuyến, giao cắt với đường hiện hữu đảm bảo các yêu cầu kỹ thuật.</w:t>
      </w:r>
    </w:p>
    <w:p w14:paraId="71B24BA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Thiết kế trắc ngang:</w:t>
      </w:r>
    </w:p>
    <w:p w14:paraId="600C1C41"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Tuyến 1: Chiều rộng nền đường Bn= 7,5m; chiều rộng mặt đường Bm=5,5m; chiều rộng lề gia cố Blgc=2x0,5=1,0m; chiều rộng lề đất Blềđất=2x0,5=1,0m.</w:t>
      </w:r>
    </w:p>
    <w:p w14:paraId="4BA4CF71"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Tuyến 2: Chiều rộng nền đường Bn= 6,5m; chiều rộng mặt đường Bm=3,5m; chiều rộng lề gia cố Blgc=2x1,0=2,0m; chiều rộng lề đất Blềđất=2x0,5=1m.</w:t>
      </w:r>
    </w:p>
    <w:p w14:paraId="0CB6F62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Độ dốc ngang mặt đường, lề gia cố im=2%, ilgc=2%; lề đất ilềđất= 4%.</w:t>
      </w:r>
    </w:p>
    <w:p w14:paraId="620CD575"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Độ dốc mái ta luy nền đường đắp 1/1,5; nền đường đào 1/1,0.</w:t>
      </w:r>
    </w:p>
    <w:p w14:paraId="2165CD5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xml:space="preserve">* Kết cấu nền đường: Đào bỏ mặt đường cũ, đào bỏ lớp đất không thích </w:t>
      </w:r>
      <w:r w:rsidRPr="003547F7">
        <w:rPr>
          <w:color w:val="000000"/>
          <w:sz w:val="28"/>
          <w:szCs w:val="28"/>
          <w:lang w:val="pt-BR"/>
        </w:rPr>
        <w:lastRenderedPageBreak/>
        <w:t>hợp dày trung bình 30cm, đánh cấp đối với những vị trí nền đường cũ có mái dốc  tự nhiên ≥20%. Đắp hoàn trả phần đào đất không thích hợp, đắp bù cấp và đắp nền đường bằng đất đá hỗn hợp mua về và đất tận dụng đầm chặt K≥0,95đốivới tuyến chính và K≥0,90 với tuyến nhánh; lớp tiếp giáp đáy móng đường dày 50cm đầm chặt K≥0,98 đối với tuyến 1 và 30cm đầm chặt K≥0,95 với tuyến 2.</w:t>
      </w:r>
    </w:p>
    <w:p w14:paraId="5982277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Kết cấu mặt đường, lề gia cố:</w:t>
      </w:r>
    </w:p>
    <w:p w14:paraId="712FE86C"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Kết cấu mặt đường tuyến 1: Lớp bê tông nhựa C16 dày 5cm; tưới nhựa dính bám tiêu chuẩn 0,5 Lít/m2; lớp bê tông nhựa C19 dày 7cm; tưới nhựa thấm bám tiêu chuẩn 1,0 Lít/m2; lớp móng cấp phối đá dăm loại I dày 15cm sau lu lèn; lớp móng cấp phối đá dăm loại II dày 17cm sau lu lèn.</w:t>
      </w:r>
    </w:p>
    <w:p w14:paraId="55F47749"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Kết cấu mặt đường tuyến 2: Lớp bê tông nhựa C16 dày 7cm; tưới nhựa thấm bám tiêu chuẩn 1,0 Lít/m2; lớp móng cấp phối đá dăm loại I dày 15cm sau lu lèn; lớp móng cấp phối đá dăm loại II dày 15cm sau lu lèn.</w:t>
      </w:r>
    </w:p>
    <w:p w14:paraId="1E9115B2"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Nút giao, vuốt nối với đường giao dân sinh: Thiết kế các nút giao kiểu</w:t>
      </w:r>
    </w:p>
    <w:p w14:paraId="3EFA0FE7"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cùng mức và vuốt nối các đường giao dân sinh đảm bảo êm thuận. Kết cấu mặt</w:t>
      </w:r>
    </w:p>
    <w:p w14:paraId="1A40DA47"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đường nút giao như kết cấu mặt đường tuyến chính thiết kế; kết cấu vuốt nối các</w:t>
      </w:r>
    </w:p>
    <w:p w14:paraId="4502829A"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đường giao dân sinh phù hợp với kết cấu mặt đường hiện trạng.</w:t>
      </w:r>
    </w:p>
    <w:p w14:paraId="0C59194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b) Phần công trình trên tuyến:</w:t>
      </w:r>
    </w:p>
    <w:p w14:paraId="512A74C8"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Hệ thống thoát nước ngang: Xây mới và thay thế 06 cống thoát nước ngang, gồm: 04 cống hộp khẩu độ BxH =(0,6x0,6)m; 02 cống hộp khẩu độ BxH=(1x1)m.</w:t>
      </w:r>
    </w:p>
    <w:p w14:paraId="64CEEFE6"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Kết cấu cống hộp (0,6x0,6)m và (1,0x1,0)m: Thân cống bằng BTCT đúc sẵn mác 200. Móng cống, sân cống, bằng BTXM M150 đá 2x4 trên lớp đá dăm đệm dày 10cm. Tường cánh, móng tường cánh, bằng BTXM M150 đá 2x4. Bố trí bản giảm tải bằng BTCT mác 200.</w:t>
      </w:r>
    </w:p>
    <w:p w14:paraId="71D64330"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Kết cấu hố ga thu nước: Hố ga bằng gạch xây VXM M75 kích thước 1x1m, móng dùng bê tông xi măng đá 2x4 M150 dày 15cm, trên lớp đá dăm đệm dày 10cm. Mũ mố hố ga bằng BTCT M200 đá 1x2. Hố ga được đậy tấm đan chịu lực bằng BTCT M250 đá 1x2.</w:t>
      </w:r>
    </w:p>
    <w:p w14:paraId="43DC7336"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Hệ thống thoát nước dọc:</w:t>
      </w:r>
    </w:p>
    <w:p w14:paraId="7B3CB24F"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xml:space="preserve">- Xây dựng rãnh dọc khẩu độ B600 đoạn từ Km0+180,5 – Km0+244,16 bên phải tuyến 1 và đoạn từ Km0+6.59 nối ra cửa xả. Kết cấu: Móng kênh </w:t>
      </w:r>
      <w:r w:rsidRPr="003547F7">
        <w:rPr>
          <w:color w:val="000000"/>
          <w:sz w:val="28"/>
          <w:szCs w:val="28"/>
          <w:lang w:val="pt-BR"/>
        </w:rPr>
        <w:lastRenderedPageBreak/>
        <w:t>bằngBTXM mác 150 dày 15cm, trên lớp đá dăm đệm dày 10cm, tường kênh xây gạch VXM mác 75 dày 22cm. Mũ mố rãnh bằng BTCT M200 đá 1x2. Rãnh được đậy tấm đan chịu lực bằng BTCT M250 đá 1x2.</w:t>
      </w:r>
    </w:p>
    <w:p w14:paraId="62917CC7"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Xây dựng mới 524,33m rãnh dọc khẩu độ B500. Kết cấu: Móng kênh bằng BTXM mác 150 dày 15cm, trên lớp đá dăm đệm dày 10cm, tường kênh xây gạch VXM mác 75 dày 22cm. Mũ mố rãnh bằng BTCT M200 đá 1x2. Rãnh được đậy tấm đan chịu lực bằng BTCT M250 đá 1x2. Bố trí hố ga khoảng cách bố trí trung bình 30m/hố ga.</w:t>
      </w:r>
    </w:p>
    <w:p w14:paraId="026CD6B5"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Xây dựng 157,5m cống dọc khẩu độ D600 đoạn từ từ Km0+31,81-</w:t>
      </w:r>
    </w:p>
    <w:p w14:paraId="24758D43"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Km0+75,85 trên tuyến 1 và Km0+9,84-Km0+123,45 trên tuyến 2. Kết cấu: thân</w:t>
      </w:r>
    </w:p>
    <w:p w14:paraId="4CB8FCF6"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cống BTCT đúc sẵn chịu tải trọng HL93. Móng cống bằng bê tông xi măng đá 2x4 mác150 dày 15cm, trên lớp đá dăm đệm dày 10cm. Bố trí hố ga bằng BTCTmác250. Tấm đan hố ga chịu lực bằng BTCT mác 250.</w:t>
      </w:r>
    </w:p>
    <w:p w14:paraId="6FCD4DFE"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Xây hoàn trả tường rào: Xây hoàn trả 520,35m tường rào. Kết cấu: tường rào xây gạch bê tông VXM M75, bổ trụ khoảng cách 3m/trụ. Trát hàng rào bằng VXM M75 dày 1,5cm. Móng tường rào xây gạch VXM M75 trên lớp bê tông lót móng M100 đá 2x4, dày 10cm; Giằng móng bằng BTCT mác 200.</w:t>
      </w:r>
    </w:p>
    <w:p w14:paraId="3236074E" w14:textId="77777777" w:rsidR="003547F7" w:rsidRPr="003547F7"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Hệ thống an toàn giao thông: Bố trí hệ thống an toàn giao thông theo Quy chuẩn kỹ thuật quốc gia về báo hiệu đường bộ QCVN 41:2024/BGTVT và Tiêu chuẩn cơ sở TCCS 34:2020/TCĐBVN.</w:t>
      </w:r>
    </w:p>
    <w:p w14:paraId="2FCC74CC" w14:textId="5DC302E4" w:rsidR="007176CB" w:rsidRDefault="003547F7" w:rsidP="003547F7">
      <w:pPr>
        <w:widowControl w:val="0"/>
        <w:spacing w:beforeLines="24" w:before="57" w:afterLines="24" w:after="57" w:line="288" w:lineRule="auto"/>
        <w:ind w:firstLine="567"/>
        <w:rPr>
          <w:color w:val="000000"/>
          <w:sz w:val="28"/>
          <w:szCs w:val="28"/>
          <w:lang w:val="pt-BR"/>
        </w:rPr>
      </w:pPr>
      <w:r w:rsidRPr="003547F7">
        <w:rPr>
          <w:color w:val="000000"/>
          <w:sz w:val="28"/>
          <w:szCs w:val="28"/>
          <w:lang w:val="pt-BR"/>
        </w:rPr>
        <w:t>* Hạng mục phụ trợ khác: Di chuyển thay mới 22 cột điện hạ thế và cột viễn thông trên các tuyến để đảm bảo mặt bằng thi công dự án.</w:t>
      </w:r>
    </w:p>
    <w:p w14:paraId="69CB1A5D" w14:textId="4FA153F7" w:rsidR="00635986" w:rsidRDefault="00635986" w:rsidP="00E92F04">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A46933">
        <w:rPr>
          <w:color w:val="000000"/>
          <w:sz w:val="28"/>
          <w:szCs w:val="28"/>
          <w:lang w:val="es-PE"/>
        </w:rPr>
        <w:t>10</w:t>
      </w:r>
      <w:r w:rsidR="002B6694">
        <w:rPr>
          <w:color w:val="000000"/>
          <w:sz w:val="28"/>
          <w:szCs w:val="28"/>
          <w:lang w:val="es-PE"/>
        </w:rPr>
        <w:t xml:space="preserve"> tháng</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5CA77A6"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A46933">
        <w:rPr>
          <w:color w:val="000000"/>
          <w:sz w:val="28"/>
          <w:szCs w:val="28"/>
        </w:rPr>
        <w:t>10</w:t>
      </w:r>
      <w:r w:rsidR="00BD6489">
        <w:rPr>
          <w:color w:val="000000"/>
          <w:sz w:val="28"/>
          <w:szCs w:val="28"/>
        </w:rPr>
        <w:t xml:space="preserve"> </w:t>
      </w:r>
      <w:r w:rsidR="002B6694">
        <w:rPr>
          <w:color w:val="000000"/>
          <w:sz w:val="28"/>
          <w:szCs w:val="28"/>
        </w:rPr>
        <w:t>tháng</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w:t>
      </w:r>
      <w:r>
        <w:rPr>
          <w:color w:val="000000"/>
          <w:sz w:val="28"/>
          <w:szCs w:val="28"/>
          <w:lang w:val="es-PE"/>
        </w:rPr>
        <w:lastRenderedPageBreak/>
        <w:t>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Với mọi sự thay đổi nguồn cung cấp vật liệu, Nhà thầu đều phải tiến hành các thủ tục thí nghiệm kiểm tra như ban đầu. Nghiêm cấm Nhà thầu tự ý thay </w:t>
      </w:r>
      <w:r>
        <w:rPr>
          <w:color w:val="000000"/>
          <w:sz w:val="28"/>
          <w:szCs w:val="28"/>
          <w:lang w:val="vi-VN"/>
        </w:rPr>
        <w:lastRenderedPageBreak/>
        <w:t>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w:t>
      </w:r>
      <w:r>
        <w:rPr>
          <w:color w:val="000000"/>
          <w:spacing w:val="2"/>
          <w:sz w:val="28"/>
          <w:szCs w:val="28"/>
          <w:lang w:val="vi-VN"/>
        </w:rPr>
        <w:lastRenderedPageBreak/>
        <w:t>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lastRenderedPageBreak/>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lastRenderedPageBreak/>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9BF3BB0" w:rsidR="006A5593" w:rsidRDefault="002B6694"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0D1878E3"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w:t>
            </w:r>
            <w:r w:rsidR="003547F7">
              <w:rPr>
                <w:color w:val="000000"/>
                <w:sz w:val="26"/>
                <w:szCs w:val="26"/>
              </w:rPr>
              <w:t>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C2D4" w14:textId="77777777" w:rsidR="003B3529" w:rsidRDefault="003B3529" w:rsidP="00E05AF1">
      <w:r>
        <w:separator/>
      </w:r>
    </w:p>
  </w:endnote>
  <w:endnote w:type="continuationSeparator" w:id="0">
    <w:p w14:paraId="68EE1D0A" w14:textId="77777777" w:rsidR="003B3529" w:rsidRDefault="003B35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46EF" w14:textId="77777777" w:rsidR="003B3529" w:rsidRDefault="003B3529" w:rsidP="00E05AF1">
      <w:r>
        <w:separator/>
      </w:r>
    </w:p>
  </w:footnote>
  <w:footnote w:type="continuationSeparator" w:id="0">
    <w:p w14:paraId="091C5A74" w14:textId="77777777" w:rsidR="003B3529" w:rsidRDefault="003B352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07B7D"/>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1F77"/>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4EF8"/>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3314"/>
    <w:rsid w:val="001A58BF"/>
    <w:rsid w:val="001A5FCD"/>
    <w:rsid w:val="001B2A68"/>
    <w:rsid w:val="001B2F1B"/>
    <w:rsid w:val="001B313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14FF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819"/>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0588E"/>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47F7"/>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529"/>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2FE"/>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4C1B"/>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B7E60"/>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6CB"/>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2AEC"/>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1822"/>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46933"/>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49B2"/>
    <w:rsid w:val="00B15531"/>
    <w:rsid w:val="00B16D05"/>
    <w:rsid w:val="00B22240"/>
    <w:rsid w:val="00B235C4"/>
    <w:rsid w:val="00B24C26"/>
    <w:rsid w:val="00B25A51"/>
    <w:rsid w:val="00B26353"/>
    <w:rsid w:val="00B2753A"/>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6489"/>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6583"/>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36A7"/>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82C"/>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1B01"/>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13</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305</cp:revision>
  <cp:lastPrinted>2025-06-20T09:37:00Z</cp:lastPrinted>
  <dcterms:created xsi:type="dcterms:W3CDTF">2024-05-05T01:30:00Z</dcterms:created>
  <dcterms:modified xsi:type="dcterms:W3CDTF">2026-02-01T02:52:00Z</dcterms:modified>
</cp:coreProperties>
</file>