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341" w:rsidRPr="003F3E36" w:rsidRDefault="00903341" w:rsidP="00903341">
      <w:pPr>
        <w:pStyle w:val="Heading4"/>
        <w:spacing w:before="0" w:after="0" w:line="340" w:lineRule="exact"/>
        <w:rPr>
          <w:rFonts w:eastAsia="MS Mincho"/>
          <w:sz w:val="26"/>
          <w:szCs w:val="26"/>
          <w:lang w:eastAsia="vi-VN"/>
        </w:rPr>
      </w:pPr>
      <w:bookmarkStart w:id="0" w:name="_Toc106072023"/>
      <w:r w:rsidRPr="003F3E36">
        <w:rPr>
          <w:sz w:val="26"/>
          <w:szCs w:val="26"/>
        </w:rPr>
        <w:t xml:space="preserve">Mục </w:t>
      </w:r>
      <w:r w:rsidRPr="003F3E36">
        <w:rPr>
          <w:sz w:val="26"/>
          <w:szCs w:val="26"/>
          <w:lang w:val="pl-PL"/>
        </w:rPr>
        <w:t>3</w:t>
      </w:r>
      <w:r w:rsidRPr="003F3E36">
        <w:rPr>
          <w:sz w:val="26"/>
          <w:szCs w:val="26"/>
        </w:rPr>
        <w:t>. Tiêu chuẩn đánh giá về kỹ thuật</w:t>
      </w:r>
      <w:bookmarkEnd w:id="0"/>
      <w:r w:rsidRPr="003F3E36">
        <w:rPr>
          <w:rFonts w:eastAsia="MS Mincho"/>
          <w:sz w:val="26"/>
          <w:szCs w:val="26"/>
          <w:lang w:eastAsia="vi-VN"/>
        </w:rPr>
        <w:t xml:space="preserve"> </w:t>
      </w:r>
    </w:p>
    <w:p w:rsidR="00903341" w:rsidRPr="003F3E36" w:rsidRDefault="00903341" w:rsidP="00903341">
      <w:pPr>
        <w:tabs>
          <w:tab w:val="left" w:pos="851"/>
        </w:tabs>
        <w:spacing w:line="340" w:lineRule="exact"/>
        <w:ind w:firstLine="709"/>
        <w:rPr>
          <w:spacing w:val="2"/>
          <w:sz w:val="26"/>
          <w:szCs w:val="26"/>
        </w:rPr>
      </w:pPr>
      <w:bookmarkStart w:id="1" w:name="_Hlk99723051"/>
      <w:r w:rsidRPr="003F3E36">
        <w:rPr>
          <w:sz w:val="26"/>
          <w:szCs w:val="26"/>
        </w:rPr>
        <w:t>Phương pháp đánh giá: Đạt/Không đạt</w:t>
      </w:r>
    </w:p>
    <w:bookmarkEnd w:id="1"/>
    <w:p w:rsidR="00903341" w:rsidRPr="003F3E36" w:rsidRDefault="00903341" w:rsidP="00903341">
      <w:pPr>
        <w:tabs>
          <w:tab w:val="left" w:pos="851"/>
        </w:tabs>
        <w:spacing w:line="340" w:lineRule="exact"/>
        <w:ind w:firstLine="709"/>
        <w:rPr>
          <w:sz w:val="26"/>
          <w:szCs w:val="26"/>
        </w:rPr>
      </w:pPr>
      <w:r w:rsidRPr="003F3E36">
        <w:rPr>
          <w:sz w:val="26"/>
          <w:szCs w:val="26"/>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 E-HSDT được đánh giá là đáp ứng yêu cầu về kỹ thuật khi có tất cả các tiêu chí tổng quát đều được đánh giá là đạt.</w:t>
      </w:r>
    </w:p>
    <w:p w:rsidR="00903341" w:rsidRPr="003F3E36" w:rsidRDefault="00903341" w:rsidP="00903341">
      <w:pPr>
        <w:widowControl w:val="0"/>
        <w:spacing w:line="340" w:lineRule="exact"/>
        <w:ind w:firstLine="567"/>
        <w:rPr>
          <w:rFonts w:eastAsia="Calibri"/>
          <w:b/>
          <w:sz w:val="26"/>
          <w:szCs w:val="26"/>
        </w:rPr>
      </w:pPr>
      <w:r w:rsidRPr="003F3E36">
        <w:rPr>
          <w:rFonts w:eastAsia="Calibri"/>
          <w:b/>
          <w:sz w:val="26"/>
          <w:szCs w:val="26"/>
          <w:lang w:val="es-ES"/>
        </w:rPr>
        <w:t>C</w:t>
      </w:r>
      <w:r w:rsidRPr="003F3E36">
        <w:rPr>
          <w:rFonts w:eastAsia="Calibri"/>
          <w:b/>
          <w:sz w:val="26"/>
          <w:szCs w:val="26"/>
        </w:rPr>
        <w:t>ác tiêu chí làm cơ sở để đánh giá về kỹ thuật cụ thể bao gồm:</w:t>
      </w: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881"/>
        <w:gridCol w:w="3166"/>
        <w:gridCol w:w="1492"/>
      </w:tblGrid>
      <w:tr w:rsidR="00903341" w:rsidRPr="003F3E36" w:rsidTr="009671CA">
        <w:trPr>
          <w:trHeight w:val="362"/>
          <w:jc w:val="center"/>
        </w:trPr>
        <w:tc>
          <w:tcPr>
            <w:tcW w:w="353" w:type="pct"/>
            <w:vMerge w:val="restart"/>
            <w:vAlign w:val="center"/>
          </w:tcPr>
          <w:p w:rsidR="00903341" w:rsidRPr="003F3E36" w:rsidRDefault="00903341" w:rsidP="009671CA">
            <w:pPr>
              <w:spacing w:line="340" w:lineRule="exact"/>
              <w:jc w:val="center"/>
              <w:rPr>
                <w:bCs/>
                <w:sz w:val="26"/>
                <w:szCs w:val="26"/>
                <w:lang w:eastAsia="vi-VN"/>
              </w:rPr>
            </w:pPr>
            <w:r w:rsidRPr="003F3E36">
              <w:rPr>
                <w:b/>
                <w:bCs/>
                <w:sz w:val="26"/>
                <w:szCs w:val="26"/>
                <w:lang w:eastAsia="vi-VN"/>
              </w:rPr>
              <w:t>TT</w:t>
            </w:r>
          </w:p>
        </w:tc>
        <w:tc>
          <w:tcPr>
            <w:tcW w:w="2112" w:type="pct"/>
            <w:vMerge w:val="restart"/>
            <w:vAlign w:val="center"/>
          </w:tcPr>
          <w:p w:rsidR="00903341" w:rsidRPr="003F3E36" w:rsidRDefault="00903341" w:rsidP="009671CA">
            <w:pPr>
              <w:spacing w:line="340" w:lineRule="exact"/>
              <w:rPr>
                <w:b/>
                <w:sz w:val="28"/>
                <w:szCs w:val="28"/>
              </w:rPr>
            </w:pPr>
            <w:r w:rsidRPr="003F3E36">
              <w:rPr>
                <w:b/>
                <w:bCs/>
                <w:sz w:val="26"/>
                <w:szCs w:val="26"/>
                <w:lang w:eastAsia="vi-VN"/>
              </w:rPr>
              <w:t xml:space="preserve">Yêu cầu </w:t>
            </w:r>
            <w:r w:rsidRPr="003F3E36">
              <w:rPr>
                <w:b/>
                <w:sz w:val="26"/>
                <w:szCs w:val="26"/>
              </w:rPr>
              <w:t xml:space="preserve">Sửa chữa </w:t>
            </w:r>
            <w:r w:rsidRPr="003F3E36">
              <w:rPr>
                <w:b/>
                <w:sz w:val="28"/>
                <w:szCs w:val="28"/>
              </w:rPr>
              <w:t xml:space="preserve">Máy chụp x-quang răng toàn cảnh kỹ thuật số Rotograph EVO D SN: 17113770 </w:t>
            </w:r>
          </w:p>
          <w:p w:rsidR="00903341" w:rsidRPr="003F3E36" w:rsidRDefault="00903341" w:rsidP="009671CA">
            <w:pPr>
              <w:spacing w:line="340" w:lineRule="exact"/>
              <w:rPr>
                <w:sz w:val="26"/>
                <w:szCs w:val="26"/>
              </w:rPr>
            </w:pPr>
          </w:p>
        </w:tc>
        <w:tc>
          <w:tcPr>
            <w:tcW w:w="2535" w:type="pct"/>
            <w:gridSpan w:val="2"/>
            <w:vAlign w:val="center"/>
          </w:tcPr>
          <w:p w:rsidR="00903341" w:rsidRPr="003F3E36" w:rsidRDefault="00903341" w:rsidP="009671CA">
            <w:pPr>
              <w:spacing w:line="340" w:lineRule="exact"/>
              <w:jc w:val="center"/>
              <w:rPr>
                <w:b/>
                <w:bCs/>
                <w:sz w:val="26"/>
                <w:szCs w:val="26"/>
                <w:lang w:eastAsia="vi-VN"/>
              </w:rPr>
            </w:pPr>
            <w:r w:rsidRPr="003F3E36">
              <w:rPr>
                <w:b/>
                <w:bCs/>
                <w:sz w:val="26"/>
                <w:szCs w:val="26"/>
                <w:lang w:eastAsia="vi-VN"/>
              </w:rPr>
              <w:t>Mức độ đáp ứng</w:t>
            </w:r>
          </w:p>
        </w:tc>
      </w:tr>
      <w:tr w:rsidR="00903341" w:rsidRPr="003F3E36" w:rsidTr="009671CA">
        <w:trPr>
          <w:trHeight w:val="431"/>
          <w:jc w:val="center"/>
        </w:trPr>
        <w:tc>
          <w:tcPr>
            <w:tcW w:w="353" w:type="pct"/>
            <w:vMerge/>
            <w:vAlign w:val="center"/>
          </w:tcPr>
          <w:p w:rsidR="00903341" w:rsidRPr="003F3E36" w:rsidRDefault="00903341" w:rsidP="009671CA">
            <w:pPr>
              <w:spacing w:line="340" w:lineRule="exact"/>
              <w:jc w:val="center"/>
              <w:rPr>
                <w:bCs/>
                <w:sz w:val="26"/>
                <w:szCs w:val="26"/>
                <w:lang w:eastAsia="vi-VN"/>
              </w:rPr>
            </w:pPr>
          </w:p>
        </w:tc>
        <w:tc>
          <w:tcPr>
            <w:tcW w:w="2112" w:type="pct"/>
            <w:vMerge/>
            <w:vAlign w:val="center"/>
          </w:tcPr>
          <w:p w:rsidR="00903341" w:rsidRPr="003F3E36" w:rsidRDefault="00903341" w:rsidP="009671CA">
            <w:pPr>
              <w:spacing w:line="340" w:lineRule="exact"/>
              <w:jc w:val="center"/>
              <w:rPr>
                <w:bCs/>
                <w:sz w:val="26"/>
                <w:szCs w:val="26"/>
                <w:lang w:eastAsia="vi-VN"/>
              </w:rPr>
            </w:pPr>
          </w:p>
        </w:tc>
        <w:tc>
          <w:tcPr>
            <w:tcW w:w="1723" w:type="pct"/>
            <w:vAlign w:val="center"/>
          </w:tcPr>
          <w:p w:rsidR="00903341" w:rsidRPr="003F3E36" w:rsidRDefault="00903341" w:rsidP="009671CA">
            <w:pPr>
              <w:spacing w:line="340" w:lineRule="exact"/>
              <w:jc w:val="center"/>
              <w:rPr>
                <w:b/>
                <w:bCs/>
                <w:i/>
                <w:iCs/>
                <w:sz w:val="26"/>
                <w:szCs w:val="26"/>
                <w:lang w:eastAsia="vi-VN"/>
              </w:rPr>
            </w:pPr>
            <w:r w:rsidRPr="003F3E36">
              <w:rPr>
                <w:b/>
                <w:bCs/>
                <w:i/>
                <w:iCs/>
                <w:sz w:val="26"/>
                <w:szCs w:val="26"/>
                <w:lang w:eastAsia="vi-VN"/>
              </w:rPr>
              <w:t xml:space="preserve">Đạt </w:t>
            </w:r>
          </w:p>
        </w:tc>
        <w:tc>
          <w:tcPr>
            <w:tcW w:w="812" w:type="pct"/>
            <w:vAlign w:val="center"/>
          </w:tcPr>
          <w:p w:rsidR="00903341" w:rsidRPr="003F3E36" w:rsidRDefault="00903341" w:rsidP="009671CA">
            <w:pPr>
              <w:spacing w:line="340" w:lineRule="exact"/>
              <w:jc w:val="center"/>
              <w:rPr>
                <w:b/>
                <w:bCs/>
                <w:i/>
                <w:iCs/>
                <w:sz w:val="26"/>
                <w:szCs w:val="26"/>
                <w:lang w:eastAsia="vi-VN"/>
              </w:rPr>
            </w:pPr>
            <w:r w:rsidRPr="003F3E36">
              <w:rPr>
                <w:b/>
                <w:bCs/>
                <w:i/>
                <w:iCs/>
                <w:sz w:val="26"/>
                <w:szCs w:val="26"/>
                <w:lang w:eastAsia="vi-VN"/>
              </w:rPr>
              <w:t>Không đạt</w:t>
            </w:r>
          </w:p>
        </w:tc>
      </w:tr>
      <w:tr w:rsidR="00903341" w:rsidRPr="003F3E36" w:rsidTr="009671CA">
        <w:trPr>
          <w:trHeight w:val="293"/>
          <w:jc w:val="center"/>
        </w:trPr>
        <w:tc>
          <w:tcPr>
            <w:tcW w:w="353" w:type="pct"/>
            <w:vAlign w:val="center"/>
          </w:tcPr>
          <w:p w:rsidR="00903341" w:rsidRPr="003F3E36" w:rsidRDefault="00903341" w:rsidP="009671CA">
            <w:pPr>
              <w:spacing w:line="340" w:lineRule="exact"/>
              <w:jc w:val="center"/>
              <w:rPr>
                <w:b/>
                <w:i/>
                <w:sz w:val="26"/>
                <w:szCs w:val="26"/>
                <w:lang w:eastAsia="vi-VN"/>
              </w:rPr>
            </w:pPr>
            <w:r w:rsidRPr="003F3E36">
              <w:rPr>
                <w:b/>
                <w:i/>
                <w:sz w:val="26"/>
                <w:szCs w:val="26"/>
                <w:lang w:eastAsia="vi-VN"/>
              </w:rPr>
              <w:t>1</w:t>
            </w:r>
          </w:p>
        </w:tc>
        <w:tc>
          <w:tcPr>
            <w:tcW w:w="2112" w:type="pct"/>
            <w:vAlign w:val="center"/>
          </w:tcPr>
          <w:p w:rsidR="00903341" w:rsidRPr="003F3E36" w:rsidRDefault="00903341" w:rsidP="009671CA">
            <w:pPr>
              <w:spacing w:line="340" w:lineRule="exact"/>
              <w:rPr>
                <w:sz w:val="26"/>
                <w:szCs w:val="26"/>
              </w:rPr>
            </w:pPr>
            <w:r w:rsidRPr="003F3E36">
              <w:rPr>
                <w:sz w:val="26"/>
                <w:szCs w:val="26"/>
                <w:lang w:val="pt-BR"/>
              </w:rPr>
              <w:t>Bảo hành: ≥ 03 tháng đối với các nội dung do nhà thầu sửa chữa, thay thế.</w:t>
            </w:r>
          </w:p>
        </w:tc>
        <w:tc>
          <w:tcPr>
            <w:tcW w:w="1723" w:type="pct"/>
            <w:vAlign w:val="center"/>
          </w:tcPr>
          <w:p w:rsidR="00903341" w:rsidRPr="003F3E36" w:rsidRDefault="00903341" w:rsidP="009671CA">
            <w:pPr>
              <w:spacing w:line="340" w:lineRule="exact"/>
              <w:rPr>
                <w:sz w:val="26"/>
                <w:szCs w:val="26"/>
              </w:rPr>
            </w:pPr>
            <w:r w:rsidRPr="003F3E36">
              <w:rPr>
                <w:sz w:val="26"/>
                <w:szCs w:val="26"/>
              </w:rPr>
              <w:t>Có cam kết đính kèm E-HSDT về thời gian bảo hành kể từ ngày hai bên ký biên bản bàn giao và nghiệm thu hàng hóa cụ thể:</w:t>
            </w:r>
          </w:p>
          <w:p w:rsidR="00903341" w:rsidRPr="003F3E36" w:rsidRDefault="00903341" w:rsidP="009671CA">
            <w:pPr>
              <w:spacing w:line="340" w:lineRule="exact"/>
              <w:rPr>
                <w:bCs/>
                <w:i/>
                <w:iCs/>
                <w:sz w:val="26"/>
                <w:szCs w:val="26"/>
              </w:rPr>
            </w:pPr>
            <w:r w:rsidRPr="003F3E36">
              <w:rPr>
                <w:bCs/>
                <w:i/>
                <w:iCs/>
                <w:sz w:val="26"/>
                <w:szCs w:val="26"/>
              </w:rPr>
              <w:t>≥3 tháng (90 ngày)</w:t>
            </w:r>
            <w:r w:rsidRPr="003F3E36">
              <w:rPr>
                <w:sz w:val="26"/>
                <w:szCs w:val="26"/>
              </w:rPr>
              <w:t xml:space="preserve"> kể từ ngày kí biên bản bàn giao nghiệm thu đối với các phụ kiện sửa chữa, thay thế.</w:t>
            </w:r>
          </w:p>
        </w:tc>
        <w:tc>
          <w:tcPr>
            <w:tcW w:w="812" w:type="pct"/>
            <w:vAlign w:val="center"/>
          </w:tcPr>
          <w:p w:rsidR="00903341" w:rsidRPr="003F3E36" w:rsidRDefault="00903341" w:rsidP="009671CA">
            <w:pPr>
              <w:spacing w:line="340" w:lineRule="exact"/>
              <w:rPr>
                <w:bCs/>
                <w:i/>
                <w:iCs/>
                <w:sz w:val="26"/>
                <w:szCs w:val="26"/>
              </w:rPr>
            </w:pPr>
            <w:r w:rsidRPr="003F3E36">
              <w:rPr>
                <w:i/>
                <w:sz w:val="26"/>
                <w:szCs w:val="26"/>
                <w:lang w:val="de-DE"/>
              </w:rPr>
              <w:t>không có cam kết hoặc có nhưng không đáp ứng yêu cầu hoặc kèm theo điều kiện bất lợi khác cho bên mời thầu</w:t>
            </w:r>
          </w:p>
        </w:tc>
      </w:tr>
      <w:tr w:rsidR="00903341" w:rsidRPr="003F3E36" w:rsidTr="009671CA">
        <w:trPr>
          <w:trHeight w:val="293"/>
          <w:jc w:val="center"/>
        </w:trPr>
        <w:tc>
          <w:tcPr>
            <w:tcW w:w="353" w:type="pct"/>
            <w:vAlign w:val="center"/>
          </w:tcPr>
          <w:p w:rsidR="00903341" w:rsidRPr="003F3E36" w:rsidRDefault="00903341" w:rsidP="009671CA">
            <w:pPr>
              <w:spacing w:line="340" w:lineRule="exact"/>
              <w:jc w:val="center"/>
              <w:rPr>
                <w:b/>
                <w:i/>
                <w:sz w:val="26"/>
                <w:szCs w:val="26"/>
                <w:lang w:eastAsia="vi-VN"/>
              </w:rPr>
            </w:pPr>
            <w:r w:rsidRPr="003F3E36">
              <w:rPr>
                <w:b/>
                <w:i/>
                <w:sz w:val="26"/>
                <w:szCs w:val="26"/>
                <w:lang w:eastAsia="vi-VN"/>
              </w:rPr>
              <w:t>2</w:t>
            </w:r>
          </w:p>
        </w:tc>
        <w:tc>
          <w:tcPr>
            <w:tcW w:w="2112" w:type="pct"/>
            <w:vAlign w:val="center"/>
          </w:tcPr>
          <w:p w:rsidR="00903341" w:rsidRPr="003F3E36" w:rsidRDefault="00903341" w:rsidP="009671CA">
            <w:pPr>
              <w:spacing w:line="340" w:lineRule="exact"/>
              <w:rPr>
                <w:sz w:val="26"/>
                <w:szCs w:val="26"/>
              </w:rPr>
            </w:pPr>
            <w:r w:rsidRPr="003F3E36">
              <w:rPr>
                <w:sz w:val="26"/>
                <w:szCs w:val="26"/>
              </w:rPr>
              <w:t>Yêu cầu tiến độ cung cấp, địa điểm thực hiện</w:t>
            </w:r>
          </w:p>
        </w:tc>
        <w:tc>
          <w:tcPr>
            <w:tcW w:w="1723" w:type="pct"/>
            <w:vAlign w:val="center"/>
          </w:tcPr>
          <w:p w:rsidR="00903341" w:rsidRPr="003F3E36" w:rsidRDefault="00903341" w:rsidP="009671CA">
            <w:pPr>
              <w:spacing w:line="340" w:lineRule="exact"/>
              <w:jc w:val="center"/>
              <w:rPr>
                <w:bCs/>
                <w:i/>
                <w:iCs/>
                <w:sz w:val="26"/>
                <w:szCs w:val="26"/>
              </w:rPr>
            </w:pPr>
            <w:r w:rsidRPr="003F3E36">
              <w:rPr>
                <w:sz w:val="26"/>
                <w:szCs w:val="26"/>
              </w:rPr>
              <w:t>Cam kết Tiến độ cung cấp: ≤90 ngày và địa điểm thực hiện: Bệnh viện Quân y 354; Địa chỉ 120 Đốc Ngữ, Ngọc Hà, Hà Nội</w:t>
            </w:r>
          </w:p>
        </w:tc>
        <w:tc>
          <w:tcPr>
            <w:tcW w:w="812" w:type="pct"/>
            <w:vAlign w:val="center"/>
          </w:tcPr>
          <w:p w:rsidR="00903341" w:rsidRPr="003F3E36" w:rsidRDefault="00903341" w:rsidP="009671CA">
            <w:pPr>
              <w:spacing w:line="340" w:lineRule="exact"/>
              <w:jc w:val="center"/>
              <w:rPr>
                <w:bCs/>
                <w:i/>
                <w:iCs/>
                <w:sz w:val="26"/>
                <w:szCs w:val="26"/>
              </w:rPr>
            </w:pPr>
            <w:r w:rsidRPr="003F3E36">
              <w:rPr>
                <w:bCs/>
                <w:i/>
                <w:iCs/>
                <w:sz w:val="26"/>
                <w:szCs w:val="26"/>
              </w:rPr>
              <w:t>Không có cam kết hoặc có nhưng tiến độ &gt;90 ngày và  không đúng địa điểm</w:t>
            </w:r>
          </w:p>
        </w:tc>
      </w:tr>
      <w:tr w:rsidR="00903341" w:rsidRPr="003F3E36" w:rsidTr="009671CA">
        <w:trPr>
          <w:trHeight w:val="293"/>
          <w:jc w:val="center"/>
        </w:trPr>
        <w:tc>
          <w:tcPr>
            <w:tcW w:w="353" w:type="pct"/>
            <w:vAlign w:val="center"/>
          </w:tcPr>
          <w:p w:rsidR="00903341" w:rsidRPr="003F3E36" w:rsidRDefault="00903341" w:rsidP="009671CA">
            <w:pPr>
              <w:spacing w:line="340" w:lineRule="exact"/>
              <w:jc w:val="center"/>
              <w:rPr>
                <w:bCs/>
                <w:i/>
                <w:sz w:val="26"/>
                <w:szCs w:val="26"/>
                <w:lang w:eastAsia="vi-VN"/>
              </w:rPr>
            </w:pPr>
            <w:r w:rsidRPr="003F3E36">
              <w:rPr>
                <w:bCs/>
                <w:i/>
                <w:sz w:val="26"/>
                <w:szCs w:val="26"/>
                <w:lang w:eastAsia="vi-VN"/>
              </w:rPr>
              <w:t>3</w:t>
            </w:r>
          </w:p>
        </w:tc>
        <w:tc>
          <w:tcPr>
            <w:tcW w:w="2112" w:type="pct"/>
            <w:vAlign w:val="center"/>
          </w:tcPr>
          <w:p w:rsidR="00903341" w:rsidRPr="003F3E36" w:rsidRDefault="00903341" w:rsidP="009671CA">
            <w:pPr>
              <w:spacing w:line="340" w:lineRule="exact"/>
              <w:rPr>
                <w:sz w:val="28"/>
                <w:szCs w:val="28"/>
              </w:rPr>
            </w:pPr>
            <w:r w:rsidRPr="003F3E36">
              <w:rPr>
                <w:sz w:val="26"/>
                <w:szCs w:val="26"/>
              </w:rPr>
              <w:t xml:space="preserve">Thiết bị thay thế </w:t>
            </w:r>
            <w:r w:rsidR="00073F15" w:rsidRPr="003F3E36">
              <w:rPr>
                <w:sz w:val="26"/>
                <w:szCs w:val="26"/>
              </w:rPr>
              <w:t xml:space="preserve">nếu có </w:t>
            </w:r>
            <w:r w:rsidRPr="003F3E36">
              <w:rPr>
                <w:sz w:val="26"/>
                <w:szCs w:val="26"/>
              </w:rPr>
              <w:t xml:space="preserve">mới 100% và tương thích với máy </w:t>
            </w:r>
            <w:r w:rsidRPr="003F3E36">
              <w:rPr>
                <w:sz w:val="28"/>
                <w:szCs w:val="28"/>
              </w:rPr>
              <w:t xml:space="preserve">chụp x-quang răng toàn cảnh kỹ thuật </w:t>
            </w:r>
            <w:r w:rsidRPr="003F3E36">
              <w:rPr>
                <w:sz w:val="28"/>
                <w:szCs w:val="28"/>
              </w:rPr>
              <w:lastRenderedPageBreak/>
              <w:t xml:space="preserve">số Rotograph EVO D SN: 17113770 </w:t>
            </w:r>
          </w:p>
          <w:p w:rsidR="00903341" w:rsidRPr="003F3E36" w:rsidRDefault="00903341" w:rsidP="009671CA">
            <w:pPr>
              <w:spacing w:line="340" w:lineRule="exact"/>
              <w:jc w:val="left"/>
              <w:rPr>
                <w:sz w:val="26"/>
                <w:szCs w:val="26"/>
              </w:rPr>
            </w:pPr>
          </w:p>
        </w:tc>
        <w:tc>
          <w:tcPr>
            <w:tcW w:w="1723" w:type="pct"/>
            <w:vAlign w:val="center"/>
          </w:tcPr>
          <w:p w:rsidR="00903341" w:rsidRPr="003F3E36" w:rsidRDefault="00903341" w:rsidP="009671CA">
            <w:pPr>
              <w:spacing w:line="340" w:lineRule="exact"/>
              <w:rPr>
                <w:sz w:val="28"/>
                <w:szCs w:val="28"/>
              </w:rPr>
            </w:pPr>
            <w:r w:rsidRPr="003F3E36">
              <w:rPr>
                <w:sz w:val="26"/>
                <w:szCs w:val="26"/>
                <w:lang w:val="de-DE"/>
              </w:rPr>
              <w:lastRenderedPageBreak/>
              <w:t xml:space="preserve">Có cam kết của nhà thầu hoặc xác nhận của hãng cung cấp về sự tương thích </w:t>
            </w:r>
            <w:r w:rsidRPr="003F3E36">
              <w:rPr>
                <w:sz w:val="26"/>
                <w:szCs w:val="26"/>
                <w:lang w:val="de-DE"/>
              </w:rPr>
              <w:lastRenderedPageBreak/>
              <w:t xml:space="preserve">của hàng  hóa đối với </w:t>
            </w:r>
            <w:r w:rsidRPr="003F3E36">
              <w:rPr>
                <w:sz w:val="26"/>
                <w:szCs w:val="26"/>
              </w:rPr>
              <w:t xml:space="preserve">máy </w:t>
            </w:r>
            <w:r w:rsidRPr="003F3E36">
              <w:rPr>
                <w:sz w:val="28"/>
                <w:szCs w:val="28"/>
              </w:rPr>
              <w:t xml:space="preserve">chụp x-quang răng toàn cảnh kỹ thuật số Rotograph EVO D SN: 17113770 </w:t>
            </w:r>
          </w:p>
          <w:p w:rsidR="00903341" w:rsidRPr="003F3E36" w:rsidRDefault="00903341" w:rsidP="009671CA">
            <w:pPr>
              <w:spacing w:line="340" w:lineRule="exact"/>
              <w:jc w:val="center"/>
              <w:rPr>
                <w:sz w:val="26"/>
                <w:szCs w:val="26"/>
                <w:lang w:val="de-DE"/>
              </w:rPr>
            </w:pPr>
          </w:p>
        </w:tc>
        <w:tc>
          <w:tcPr>
            <w:tcW w:w="812" w:type="pct"/>
            <w:vAlign w:val="center"/>
          </w:tcPr>
          <w:p w:rsidR="00903341" w:rsidRPr="003F3E36" w:rsidRDefault="00903341" w:rsidP="009671CA">
            <w:pPr>
              <w:spacing w:line="340" w:lineRule="exact"/>
              <w:rPr>
                <w:bCs/>
                <w:i/>
                <w:iCs/>
                <w:sz w:val="26"/>
                <w:szCs w:val="26"/>
              </w:rPr>
            </w:pPr>
            <w:r w:rsidRPr="003F3E36">
              <w:rPr>
                <w:i/>
                <w:sz w:val="26"/>
                <w:szCs w:val="26"/>
                <w:lang w:val="de-DE"/>
              </w:rPr>
              <w:lastRenderedPageBreak/>
              <w:t xml:space="preserve">không có cam kết hoặc có </w:t>
            </w:r>
            <w:r w:rsidRPr="003F3E36">
              <w:rPr>
                <w:i/>
                <w:sz w:val="26"/>
                <w:szCs w:val="26"/>
                <w:lang w:val="de-DE"/>
              </w:rPr>
              <w:lastRenderedPageBreak/>
              <w:t>nhưng không đáp ứng yêu cầu hoặc kèm theo điều kiện bất lợi khác cho bên mời thầu</w:t>
            </w:r>
          </w:p>
        </w:tc>
      </w:tr>
      <w:tr w:rsidR="00903341" w:rsidRPr="003F3E36" w:rsidTr="009671CA">
        <w:trPr>
          <w:trHeight w:val="293"/>
          <w:jc w:val="center"/>
        </w:trPr>
        <w:tc>
          <w:tcPr>
            <w:tcW w:w="353" w:type="pct"/>
            <w:vMerge w:val="restart"/>
            <w:vAlign w:val="center"/>
          </w:tcPr>
          <w:p w:rsidR="00903341" w:rsidRPr="003F3E36" w:rsidRDefault="00903341" w:rsidP="009671CA">
            <w:pPr>
              <w:spacing w:line="340" w:lineRule="exact"/>
              <w:jc w:val="center"/>
              <w:rPr>
                <w:bCs/>
                <w:i/>
                <w:sz w:val="26"/>
                <w:szCs w:val="26"/>
                <w:lang w:eastAsia="vi-VN"/>
              </w:rPr>
            </w:pPr>
          </w:p>
        </w:tc>
        <w:tc>
          <w:tcPr>
            <w:tcW w:w="2112" w:type="pct"/>
            <w:vMerge w:val="restart"/>
            <w:vAlign w:val="center"/>
          </w:tcPr>
          <w:p w:rsidR="00903341" w:rsidRPr="003F3E36" w:rsidRDefault="00903341" w:rsidP="009671CA">
            <w:pPr>
              <w:spacing w:line="340" w:lineRule="exact"/>
              <w:jc w:val="center"/>
              <w:rPr>
                <w:sz w:val="26"/>
                <w:szCs w:val="26"/>
                <w:lang w:val="nl-NL"/>
              </w:rPr>
            </w:pPr>
            <w:r w:rsidRPr="003F3E36">
              <w:rPr>
                <w:b/>
                <w:i/>
                <w:sz w:val="26"/>
                <w:szCs w:val="26"/>
              </w:rPr>
              <w:t>Kết luận</w:t>
            </w:r>
          </w:p>
        </w:tc>
        <w:tc>
          <w:tcPr>
            <w:tcW w:w="1723" w:type="pct"/>
            <w:vAlign w:val="center"/>
          </w:tcPr>
          <w:p w:rsidR="00903341" w:rsidRPr="003F3E36" w:rsidRDefault="00903341" w:rsidP="009671CA">
            <w:pPr>
              <w:spacing w:line="340" w:lineRule="exact"/>
              <w:jc w:val="center"/>
              <w:rPr>
                <w:i/>
                <w:sz w:val="26"/>
                <w:szCs w:val="26"/>
                <w:lang w:val="de-DE"/>
              </w:rPr>
            </w:pPr>
            <w:r w:rsidRPr="003F3E36">
              <w:rPr>
                <w:i/>
                <w:sz w:val="26"/>
                <w:szCs w:val="26"/>
                <w:lang w:val="de-DE"/>
              </w:rPr>
              <w:t>Đáp ứng tất cả các tiêu chí</w:t>
            </w:r>
          </w:p>
        </w:tc>
        <w:tc>
          <w:tcPr>
            <w:tcW w:w="812" w:type="pct"/>
            <w:vAlign w:val="center"/>
          </w:tcPr>
          <w:p w:rsidR="00903341" w:rsidRPr="003F3E36" w:rsidRDefault="00903341" w:rsidP="009671CA">
            <w:pPr>
              <w:spacing w:line="340" w:lineRule="exact"/>
              <w:jc w:val="center"/>
              <w:rPr>
                <w:i/>
                <w:sz w:val="26"/>
                <w:szCs w:val="26"/>
                <w:lang w:val="de-DE"/>
              </w:rPr>
            </w:pPr>
            <w:r w:rsidRPr="003F3E36">
              <w:rPr>
                <w:i/>
                <w:sz w:val="26"/>
                <w:szCs w:val="26"/>
                <w:lang w:val="de-DE"/>
              </w:rPr>
              <w:t>Không đáp ứng từ một tiêu chí trở lên</w:t>
            </w:r>
          </w:p>
        </w:tc>
      </w:tr>
      <w:tr w:rsidR="00903341" w:rsidRPr="003F3E36" w:rsidTr="009671CA">
        <w:trPr>
          <w:trHeight w:val="293"/>
          <w:jc w:val="center"/>
        </w:trPr>
        <w:tc>
          <w:tcPr>
            <w:tcW w:w="353" w:type="pct"/>
            <w:vMerge/>
            <w:vAlign w:val="center"/>
          </w:tcPr>
          <w:p w:rsidR="00903341" w:rsidRPr="003F3E36" w:rsidRDefault="00903341" w:rsidP="009671CA">
            <w:pPr>
              <w:spacing w:line="340" w:lineRule="exact"/>
              <w:jc w:val="center"/>
              <w:rPr>
                <w:bCs/>
                <w:i/>
                <w:sz w:val="26"/>
                <w:szCs w:val="26"/>
                <w:lang w:eastAsia="vi-VN"/>
              </w:rPr>
            </w:pPr>
          </w:p>
        </w:tc>
        <w:tc>
          <w:tcPr>
            <w:tcW w:w="2112" w:type="pct"/>
            <w:vMerge/>
            <w:vAlign w:val="center"/>
          </w:tcPr>
          <w:p w:rsidR="00903341" w:rsidRPr="003F3E36" w:rsidRDefault="00903341" w:rsidP="009671CA">
            <w:pPr>
              <w:spacing w:line="340" w:lineRule="exact"/>
              <w:rPr>
                <w:sz w:val="26"/>
                <w:szCs w:val="26"/>
                <w:lang w:val="nl-NL"/>
              </w:rPr>
            </w:pPr>
          </w:p>
        </w:tc>
        <w:tc>
          <w:tcPr>
            <w:tcW w:w="1723" w:type="pct"/>
            <w:vAlign w:val="center"/>
          </w:tcPr>
          <w:p w:rsidR="00903341" w:rsidRPr="003F3E36" w:rsidRDefault="00903341" w:rsidP="009671CA">
            <w:pPr>
              <w:spacing w:line="340" w:lineRule="exact"/>
              <w:jc w:val="center"/>
              <w:rPr>
                <w:bCs/>
                <w:i/>
                <w:iCs/>
                <w:sz w:val="26"/>
                <w:szCs w:val="26"/>
                <w:lang w:val="nl-NL"/>
              </w:rPr>
            </w:pPr>
            <w:r w:rsidRPr="003F3E36">
              <w:rPr>
                <w:b/>
                <w:i/>
                <w:sz w:val="26"/>
                <w:szCs w:val="26"/>
                <w:lang w:val="de-DE"/>
              </w:rPr>
              <w:t>Đạt</w:t>
            </w:r>
          </w:p>
        </w:tc>
        <w:tc>
          <w:tcPr>
            <w:tcW w:w="812" w:type="pct"/>
            <w:vAlign w:val="center"/>
          </w:tcPr>
          <w:p w:rsidR="00903341" w:rsidRPr="003F3E36" w:rsidRDefault="00903341" w:rsidP="009671CA">
            <w:pPr>
              <w:keepNext/>
              <w:spacing w:line="340" w:lineRule="exact"/>
              <w:jc w:val="center"/>
              <w:rPr>
                <w:bCs/>
                <w:i/>
                <w:iCs/>
                <w:sz w:val="26"/>
                <w:szCs w:val="26"/>
                <w:lang w:val="nl-NL"/>
              </w:rPr>
            </w:pPr>
            <w:r w:rsidRPr="003F3E36">
              <w:rPr>
                <w:b/>
                <w:i/>
                <w:sz w:val="26"/>
                <w:szCs w:val="26"/>
                <w:lang w:val="de-DE"/>
              </w:rPr>
              <w:t>Không đạt</w:t>
            </w:r>
          </w:p>
        </w:tc>
      </w:tr>
    </w:tbl>
    <w:p w:rsidR="00903341" w:rsidRPr="003F3E36" w:rsidRDefault="00903341" w:rsidP="00903341">
      <w:pPr>
        <w:tabs>
          <w:tab w:val="right" w:pos="709"/>
        </w:tabs>
        <w:spacing w:line="340" w:lineRule="exact"/>
        <w:rPr>
          <w:sz w:val="26"/>
          <w:szCs w:val="26"/>
        </w:rPr>
      </w:pPr>
      <w:r w:rsidRPr="003F3E36">
        <w:rPr>
          <w:sz w:val="26"/>
          <w:szCs w:val="26"/>
        </w:rPr>
        <w:t xml:space="preserve">        Các nội dung đánh giá nêu trên áp dụng đối với các mặt hàng mà pháp luật Việt Nam có quy định áp dụng.</w:t>
      </w:r>
    </w:p>
    <w:p w:rsidR="00903341" w:rsidRPr="003F3E36" w:rsidRDefault="00903341" w:rsidP="00903341">
      <w:pPr>
        <w:tabs>
          <w:tab w:val="right" w:pos="7272"/>
        </w:tabs>
        <w:spacing w:line="340" w:lineRule="exact"/>
        <w:ind w:left="567"/>
        <w:rPr>
          <w:b/>
          <w:sz w:val="26"/>
          <w:szCs w:val="26"/>
        </w:rPr>
      </w:pPr>
      <w:r w:rsidRPr="003F3E36">
        <w:rPr>
          <w:b/>
          <w:sz w:val="26"/>
          <w:szCs w:val="26"/>
        </w:rPr>
        <w:t>Chú ý:</w:t>
      </w:r>
    </w:p>
    <w:p w:rsidR="00912E52" w:rsidRPr="003F3E36" w:rsidRDefault="00903341" w:rsidP="00912E52">
      <w:pPr>
        <w:tabs>
          <w:tab w:val="right" w:pos="7272"/>
        </w:tabs>
        <w:rPr>
          <w:b/>
          <w:szCs w:val="24"/>
        </w:rPr>
      </w:pPr>
      <w:r w:rsidRPr="003F3E36">
        <w:rPr>
          <w:b/>
          <w:sz w:val="26"/>
          <w:szCs w:val="26"/>
        </w:rPr>
        <w:tab/>
      </w:r>
      <w:r w:rsidR="00912E52" w:rsidRPr="003F3E36">
        <w:rPr>
          <w:b/>
          <w:sz w:val="26"/>
          <w:szCs w:val="26"/>
        </w:rPr>
        <w:t xml:space="preserve">        + </w:t>
      </w:r>
      <w:r w:rsidR="00912E52" w:rsidRPr="003F3E36">
        <w:rPr>
          <w:b/>
          <w:szCs w:val="24"/>
        </w:rPr>
        <w:t>Tất cả các tài liệu dùng để chứng minh đều phải là bản scan từ bản photo công chứng hoặc bản gốc, nếu là bản tiếng nước ngoài nhà thầu phải nộp bản dịch thuật tiếng Việt.</w:t>
      </w:r>
    </w:p>
    <w:p w:rsidR="00903341" w:rsidRPr="00046A1F" w:rsidRDefault="00903341" w:rsidP="00903341">
      <w:pPr>
        <w:tabs>
          <w:tab w:val="right" w:pos="7272"/>
        </w:tabs>
        <w:spacing w:line="340" w:lineRule="exact"/>
        <w:rPr>
          <w:b/>
          <w:sz w:val="26"/>
          <w:szCs w:val="26"/>
        </w:rPr>
      </w:pPr>
      <w:r w:rsidRPr="003F3E36">
        <w:rPr>
          <w:b/>
          <w:sz w:val="26"/>
          <w:szCs w:val="26"/>
        </w:rPr>
        <w:t xml:space="preserve">        + Tất cả các tài liệu đều phải còn hiệu lực và tuân thủ các quy định của pháp luật Việt Nam.</w:t>
      </w:r>
      <w:bookmarkStart w:id="2" w:name="_GoBack"/>
      <w:bookmarkEnd w:id="2"/>
    </w:p>
    <w:p w:rsidR="006B6617" w:rsidRDefault="006B6617"/>
    <w:sectPr w:rsidR="006B6617" w:rsidSect="003F695E">
      <w:pgSz w:w="11907" w:h="16840" w:code="9"/>
      <w:pgMar w:top="1418" w:right="851"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341"/>
    <w:rsid w:val="00073F15"/>
    <w:rsid w:val="003F3E36"/>
    <w:rsid w:val="003F695E"/>
    <w:rsid w:val="006B6617"/>
    <w:rsid w:val="00903341"/>
    <w:rsid w:val="0091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341"/>
    <w:pPr>
      <w:spacing w:before="0" w:after="0" w:line="240" w:lineRule="auto"/>
    </w:pPr>
    <w:rPr>
      <w:rFonts w:eastAsia="Times New Roman" w:cs="Times New Roman"/>
      <w:sz w:val="24"/>
      <w:szCs w:val="20"/>
    </w:rPr>
  </w:style>
  <w:style w:type="paragraph" w:styleId="Heading4">
    <w:name w:val="heading 4"/>
    <w:aliases w:val="HTN4"/>
    <w:basedOn w:val="Normal"/>
    <w:next w:val="Normal"/>
    <w:link w:val="Heading4Char"/>
    <w:qFormat/>
    <w:rsid w:val="00903341"/>
    <w:pPr>
      <w:spacing w:before="120" w:after="120"/>
      <w:ind w:firstLine="709"/>
      <w:outlineLvl w:val="3"/>
    </w:pPr>
    <w:rPr>
      <w:b/>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TN4 Char"/>
    <w:basedOn w:val="DefaultParagraphFont"/>
    <w:link w:val="Heading4"/>
    <w:rsid w:val="00903341"/>
    <w:rPr>
      <w:rFonts w:eastAsia="Times New Roman" w:cs="Times New Roman"/>
      <w:b/>
      <w:szCs w:val="2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341"/>
    <w:pPr>
      <w:spacing w:before="0" w:after="0" w:line="240" w:lineRule="auto"/>
    </w:pPr>
    <w:rPr>
      <w:rFonts w:eastAsia="Times New Roman" w:cs="Times New Roman"/>
      <w:sz w:val="24"/>
      <w:szCs w:val="20"/>
    </w:rPr>
  </w:style>
  <w:style w:type="paragraph" w:styleId="Heading4">
    <w:name w:val="heading 4"/>
    <w:aliases w:val="HTN4"/>
    <w:basedOn w:val="Normal"/>
    <w:next w:val="Normal"/>
    <w:link w:val="Heading4Char"/>
    <w:qFormat/>
    <w:rsid w:val="00903341"/>
    <w:pPr>
      <w:spacing w:before="120" w:after="120"/>
      <w:ind w:firstLine="709"/>
      <w:outlineLvl w:val="3"/>
    </w:pPr>
    <w:rPr>
      <w:b/>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TN4 Char"/>
    <w:basedOn w:val="DefaultParagraphFont"/>
    <w:link w:val="Heading4"/>
    <w:rsid w:val="00903341"/>
    <w:rPr>
      <w:rFonts w:eastAsia="Times New Roman" w:cs="Times New Roman"/>
      <w:b/>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2026-01-31T11:12:00Z</dcterms:created>
  <dcterms:modified xsi:type="dcterms:W3CDTF">2026-02-01T13:25:00Z</dcterms:modified>
</cp:coreProperties>
</file>