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9170" w14:textId="77777777" w:rsidR="00BE2181" w:rsidRPr="00BE2181" w:rsidRDefault="00BE2181" w:rsidP="00BE2181">
      <w:pPr>
        <w:pStyle w:val="TOC1"/>
        <w:spacing w:before="20" w:after="20"/>
        <w:rPr>
          <w:rFonts w:ascii="Times New Roman" w:hAnsi="Times New Roman" w:cs="Times New Roman"/>
        </w:rPr>
      </w:pPr>
      <w:r w:rsidRPr="00BE2181">
        <w:rPr>
          <w:rFonts w:ascii="Times New Roman" w:hAnsi="Times New Roman" w:cs="Times New Roman"/>
        </w:rPr>
        <w:t xml:space="preserve">Mục </w:t>
      </w:r>
      <w:r w:rsidRPr="00BE2181">
        <w:rPr>
          <w:rFonts w:ascii="Times New Roman" w:hAnsi="Times New Roman" w:cs="Times New Roman"/>
          <w:lang w:val="pl-PL"/>
        </w:rPr>
        <w:t>3</w:t>
      </w:r>
      <w:r w:rsidRPr="00BE2181">
        <w:rPr>
          <w:rFonts w:ascii="Times New Roman" w:hAnsi="Times New Roman" w:cs="Times New Roman"/>
        </w:rPr>
        <w:t>. Tiêu chuẩn đánh giá về kỹ thuật</w:t>
      </w:r>
    </w:p>
    <w:p w14:paraId="362A6F39" w14:textId="77777777" w:rsidR="00BE2181" w:rsidRPr="00BE2181" w:rsidRDefault="00BE2181" w:rsidP="00BE2181">
      <w:pPr>
        <w:spacing w:before="20" w:after="20"/>
        <w:ind w:firstLine="709"/>
        <w:rPr>
          <w:sz w:val="28"/>
          <w:szCs w:val="28"/>
          <w:lang w:val="vi-VN"/>
        </w:rPr>
      </w:pPr>
      <w:r w:rsidRPr="00BE2181">
        <w:rPr>
          <w:sz w:val="28"/>
          <w:szCs w:val="28"/>
          <w:lang w:val="vi-VN"/>
        </w:rPr>
        <w:t xml:space="preserve">Sử dụng tiêu chí </w:t>
      </w:r>
      <w:r w:rsidRPr="00BE2181">
        <w:rPr>
          <w:color w:val="FF0000"/>
          <w:sz w:val="28"/>
          <w:szCs w:val="28"/>
          <w:lang w:val="vi-VN"/>
        </w:rPr>
        <w:t xml:space="preserve">đạt/không đạt </w:t>
      </w:r>
      <w:r w:rsidRPr="00BE2181">
        <w:rPr>
          <w:sz w:val="28"/>
          <w:szCs w:val="28"/>
          <w:lang w:val="vi-VN"/>
        </w:rPr>
        <w:t>để xây dựng tiêu chuẩn đánh giá về kỹ thuật.</w:t>
      </w:r>
    </w:p>
    <w:p w14:paraId="14F9A903" w14:textId="77777777" w:rsidR="00BE2181" w:rsidRPr="00BE2181" w:rsidRDefault="00BE2181" w:rsidP="00BE2181">
      <w:pPr>
        <w:spacing w:before="20" w:after="20"/>
        <w:ind w:firstLine="709"/>
        <w:rPr>
          <w:sz w:val="28"/>
          <w:szCs w:val="28"/>
          <w:lang w:val="es-ES"/>
        </w:rPr>
      </w:pPr>
      <w:r w:rsidRPr="00BE2181">
        <w:rPr>
          <w:sz w:val="28"/>
          <w:szCs w:val="28"/>
          <w:lang w:val="es-ES"/>
        </w:rPr>
        <w:t xml:space="preserve">Tiêu chuẩn đánh giá về kỹ thuật dựa trên các yếu tố về </w:t>
      </w:r>
      <w:r w:rsidRPr="00BE2181">
        <w:rPr>
          <w:color w:val="FF0000"/>
          <w:sz w:val="28"/>
          <w:szCs w:val="28"/>
          <w:lang w:val="es-ES"/>
        </w:rPr>
        <w:t>khả năng đáp ứng các yêu cầu về số lượng, chất lượng, tiến độ cung cấp, thời gian bảo hành hàng hoá của nhà thầu</w:t>
      </w:r>
      <w:r w:rsidRPr="00BE2181">
        <w:rPr>
          <w:sz w:val="28"/>
          <w:szCs w:val="28"/>
          <w:lang w:val="es-ES"/>
        </w:rPr>
        <w:t>.</w:t>
      </w:r>
    </w:p>
    <w:p w14:paraId="48D5A09F" w14:textId="77777777" w:rsidR="00BE2181" w:rsidRPr="00BE2181" w:rsidRDefault="00BE2181" w:rsidP="00BE2181">
      <w:pPr>
        <w:spacing w:before="20" w:after="20"/>
        <w:ind w:firstLine="709"/>
        <w:rPr>
          <w:sz w:val="28"/>
          <w:szCs w:val="28"/>
          <w:lang w:val="es-ES"/>
        </w:rPr>
      </w:pPr>
      <w:r w:rsidRPr="00BE2181">
        <w:rPr>
          <w:sz w:val="28"/>
          <w:szCs w:val="28"/>
          <w:lang w:val="es-ES"/>
        </w:rPr>
        <w:t>Nhà thầu phải cung cấp tài liệu/catalog của hàng hoá thể hiện đủ thông tin để đánh giá sự đáp ứng về quy cách, đặc tính kỹ thuật, chất lượng của hàng hoá theo quy định tại Chương V. Tài liệu/catalog của hàng hoá do nhà thầu cung cấp được đánh giá đáp ứng các yêu cầu theo yêu cầu quy định thì mới được đánh giá bước tiếp theo. Trường hợp nhà thầu không cung cấp tài liệu/catalog hoặc tài liệu/catalog cung cấp không đáp ứng các yêu cầu theo quy định tại Chương V thì sẽ không được đánh giá bước tiếp theo.</w:t>
      </w:r>
    </w:p>
    <w:p w14:paraId="467FC702" w14:textId="77777777" w:rsidR="00BE2181" w:rsidRPr="00BE2181" w:rsidRDefault="00BE2181" w:rsidP="00BE2181">
      <w:pPr>
        <w:spacing w:before="20" w:after="20"/>
        <w:ind w:firstLine="709"/>
        <w:rPr>
          <w:sz w:val="28"/>
          <w:szCs w:val="28"/>
          <w:lang w:val="es-ES"/>
        </w:rPr>
      </w:pPr>
      <w:r w:rsidRPr="00BE2181">
        <w:rPr>
          <w:sz w:val="28"/>
          <w:szCs w:val="28"/>
          <w:lang w:val="es-ES"/>
        </w:rPr>
        <w:t>Nhà thầu có thể đưa ra các tiêu chuẩn chất lượng, nhãn hiệu hàng hóa, catalog khác miễn là nhà thầu chứng minh cho Bên mời thầu thấy rằng những thay thế đó vẫn bảo đảm sự tương đương cơ bản hoặc cao hơn so với yêu cầu quy định tại Chương V. Trường hợp hàng hóa tương đương được đánh giá đáp ứng các yêu cầu về quy cách, đặc tính kỹ thuật và chất lượng thì mới được đánh giá bước tiếp theo.</w:t>
      </w:r>
    </w:p>
    <w:p w14:paraId="2F026A00" w14:textId="77777777" w:rsidR="00BE2181" w:rsidRPr="00BE2181" w:rsidRDefault="00BE2181" w:rsidP="00BE2181">
      <w:pPr>
        <w:spacing w:before="20" w:after="20"/>
        <w:ind w:firstLine="709"/>
        <w:rPr>
          <w:rFonts w:eastAsia="Calibri"/>
          <w:spacing w:val="2"/>
          <w:sz w:val="28"/>
          <w:szCs w:val="28"/>
        </w:rPr>
      </w:pPr>
      <w:r w:rsidRPr="00BE2181">
        <w:rPr>
          <w:rFonts w:eastAsia="Calibri"/>
          <w:spacing w:val="2"/>
          <w:sz w:val="28"/>
          <w:szCs w:val="28"/>
          <w:lang w:val="vi-VN"/>
        </w:rPr>
        <w:t xml:space="preserve">Việc xây dựng </w:t>
      </w:r>
      <w:r w:rsidRPr="00BE2181">
        <w:rPr>
          <w:rFonts w:eastAsia="Calibri"/>
          <w:sz w:val="28"/>
          <w:szCs w:val="28"/>
          <w:lang w:val="vi-VN"/>
        </w:rPr>
        <w:t>tiêu chuẩn đánh giá về kỹ thuật</w:t>
      </w:r>
      <w:r w:rsidRPr="00BE218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BE2181">
        <w:t xml:space="preserve"> </w:t>
      </w:r>
      <w:r w:rsidRPr="00BE2181">
        <w:rPr>
          <w:rFonts w:eastAsia="Calibri"/>
          <w:spacing w:val="2"/>
          <w:sz w:val="28"/>
          <w:szCs w:val="28"/>
          <w:lang w:val="vi-VN"/>
        </w:rPr>
        <w:t>số 24/2024/NĐ-CP</w:t>
      </w:r>
      <w:r w:rsidRPr="00BE2181">
        <w:rPr>
          <w:rFonts w:eastAsia="Calibri"/>
          <w:spacing w:val="2"/>
          <w:sz w:val="28"/>
          <w:szCs w:val="28"/>
        </w:rPr>
        <w:t xml:space="preserve">, </w:t>
      </w:r>
      <w:r w:rsidRPr="00BE2181">
        <w:rPr>
          <w:sz w:val="28"/>
          <w:szCs w:val="28"/>
          <w:lang w:val="vi-VN"/>
        </w:rPr>
        <w:t xml:space="preserve">chất lượng hàng hóa tương tự được công khai theo quy định tại Điều </w:t>
      </w:r>
      <w:r w:rsidRPr="00BE2181">
        <w:rPr>
          <w:sz w:val="28"/>
          <w:szCs w:val="28"/>
        </w:rPr>
        <w:t>18</w:t>
      </w:r>
      <w:r w:rsidRPr="00BE2181">
        <w:rPr>
          <w:sz w:val="28"/>
          <w:szCs w:val="28"/>
          <w:lang w:val="vi-VN"/>
        </w:rPr>
        <w:t xml:space="preserve"> của Nghị định số 24/2024/NĐ-CP (nếu có)</w:t>
      </w:r>
      <w:r w:rsidRPr="00BE2181" w:rsidDel="009A4DEF">
        <w:rPr>
          <w:rFonts w:eastAsia="Calibri"/>
          <w:spacing w:val="2"/>
          <w:sz w:val="28"/>
          <w:szCs w:val="28"/>
          <w:lang w:val="vi-VN"/>
        </w:rPr>
        <w:t xml:space="preserve"> </w:t>
      </w:r>
      <w:r w:rsidRPr="00BE2181">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AA9466A" w14:textId="77777777" w:rsidR="00BE2181" w:rsidRPr="00BE2181" w:rsidRDefault="00BE2181" w:rsidP="00BE2181">
      <w:pPr>
        <w:widowControl w:val="0"/>
        <w:spacing w:before="20" w:after="20"/>
        <w:ind w:firstLine="709"/>
        <w:rPr>
          <w:sz w:val="28"/>
          <w:szCs w:val="28"/>
          <w:lang w:val="vi-VN"/>
        </w:rPr>
      </w:pPr>
      <w:r w:rsidRPr="00BE2181">
        <w:rPr>
          <w:sz w:val="28"/>
          <w:szCs w:val="28"/>
          <w:lang w:val="vi-VN"/>
        </w:rPr>
        <w:t>- Đặc tính, thông số kỹ thuật của hàng hóa, tiêu chuẩn sản xuất, tiêu chuẩn chế tạo và công nghệ;</w:t>
      </w:r>
    </w:p>
    <w:p w14:paraId="1AFEFDC4" w14:textId="77777777" w:rsidR="00BE2181" w:rsidRPr="00BE2181" w:rsidRDefault="00BE2181" w:rsidP="00BE2181">
      <w:pPr>
        <w:widowControl w:val="0"/>
        <w:tabs>
          <w:tab w:val="left" w:pos="851"/>
        </w:tabs>
        <w:spacing w:before="20" w:after="20"/>
        <w:ind w:firstLine="709"/>
        <w:rPr>
          <w:sz w:val="28"/>
          <w:szCs w:val="28"/>
          <w:lang w:val="vi-VN"/>
        </w:rPr>
      </w:pPr>
      <w:r w:rsidRPr="00BE2181">
        <w:rPr>
          <w:sz w:val="28"/>
          <w:szCs w:val="28"/>
          <w:lang w:val="vi-VN"/>
        </w:rPr>
        <w:t>- Tính hợp lý và hiệu quả kinh tế của các giải pháp kỹ thuật, biện pháp tổ chức cung cấp, lắp đặt hàng hóa;</w:t>
      </w:r>
    </w:p>
    <w:p w14:paraId="435A16F4" w14:textId="77777777" w:rsidR="00BE2181" w:rsidRPr="00BE2181" w:rsidRDefault="00BE2181" w:rsidP="00BE2181">
      <w:pPr>
        <w:widowControl w:val="0"/>
        <w:tabs>
          <w:tab w:val="left" w:pos="851"/>
        </w:tabs>
        <w:spacing w:before="20" w:after="20"/>
        <w:ind w:firstLine="709"/>
        <w:rPr>
          <w:sz w:val="28"/>
          <w:szCs w:val="28"/>
        </w:rPr>
      </w:pPr>
      <w:r w:rsidRPr="00BE2181">
        <w:rPr>
          <w:sz w:val="28"/>
          <w:szCs w:val="28"/>
          <w:lang w:val="vi-VN"/>
        </w:rPr>
        <w:t>- Mức độ đáp ứng các yêu cầu về bảo hành, bảo trì: nhà thầu phải trình bày được kế hoạch cung cấp dịch vụ bảo hành, bảo trì;</w:t>
      </w:r>
    </w:p>
    <w:p w14:paraId="722F64CE" w14:textId="77777777" w:rsidR="00BE2181" w:rsidRPr="00BE2181" w:rsidRDefault="00BE2181" w:rsidP="00BE2181">
      <w:pPr>
        <w:widowControl w:val="0"/>
        <w:tabs>
          <w:tab w:val="left" w:pos="851"/>
        </w:tabs>
        <w:spacing w:before="20" w:after="20"/>
        <w:ind w:firstLine="709"/>
        <w:rPr>
          <w:sz w:val="28"/>
          <w:szCs w:val="28"/>
        </w:rPr>
      </w:pPr>
      <w:r w:rsidRPr="00BE2181">
        <w:rPr>
          <w:sz w:val="28"/>
          <w:szCs w:val="28"/>
        </w:rPr>
        <w:t>-</w:t>
      </w:r>
      <w:r w:rsidRPr="00BE2181">
        <w:rPr>
          <w:sz w:val="28"/>
          <w:szCs w:val="28"/>
          <w:lang w:val="vi-VN"/>
        </w:rPr>
        <w:t xml:space="preserve"> </w:t>
      </w:r>
      <w:r w:rsidRPr="00BE2181">
        <w:rPr>
          <w:sz w:val="28"/>
          <w:szCs w:val="28"/>
        </w:rPr>
        <w:t>M</w:t>
      </w:r>
      <w:r w:rsidRPr="00BE2181">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1F3B2EB2" w14:textId="77777777" w:rsidR="00BE2181" w:rsidRPr="00BE2181" w:rsidRDefault="00BE2181" w:rsidP="00BE2181">
      <w:pPr>
        <w:widowControl w:val="0"/>
        <w:tabs>
          <w:tab w:val="left" w:pos="851"/>
        </w:tabs>
        <w:spacing w:before="20" w:after="20"/>
        <w:ind w:firstLine="709"/>
        <w:rPr>
          <w:sz w:val="28"/>
          <w:szCs w:val="28"/>
          <w:lang w:val="vi-VN"/>
        </w:rPr>
      </w:pPr>
      <w:r w:rsidRPr="00BE2181">
        <w:rPr>
          <w:sz w:val="28"/>
          <w:szCs w:val="28"/>
          <w:lang w:val="vi-VN"/>
        </w:rPr>
        <w:t xml:space="preserve">- Khả năng thích ứng về </w:t>
      </w:r>
      <w:r w:rsidRPr="00BE2181">
        <w:rPr>
          <w:sz w:val="28"/>
          <w:szCs w:val="28"/>
        </w:rPr>
        <w:t xml:space="preserve">mặt </w:t>
      </w:r>
      <w:r w:rsidRPr="00BE2181">
        <w:rPr>
          <w:sz w:val="28"/>
          <w:szCs w:val="28"/>
          <w:lang w:val="vi-VN"/>
        </w:rPr>
        <w:t>địa lý, môi trường;</w:t>
      </w:r>
    </w:p>
    <w:p w14:paraId="3C7B1FE2" w14:textId="77777777" w:rsidR="00BE2181" w:rsidRPr="00BE2181" w:rsidRDefault="00BE2181" w:rsidP="00BE2181">
      <w:pPr>
        <w:widowControl w:val="0"/>
        <w:tabs>
          <w:tab w:val="left" w:pos="851"/>
        </w:tabs>
        <w:spacing w:before="20" w:after="20"/>
        <w:ind w:firstLine="709"/>
        <w:rPr>
          <w:sz w:val="28"/>
          <w:szCs w:val="28"/>
          <w:lang w:val="vi-VN"/>
        </w:rPr>
      </w:pPr>
      <w:r w:rsidRPr="00BE2181">
        <w:rPr>
          <w:sz w:val="28"/>
          <w:szCs w:val="28"/>
          <w:lang w:val="vi-VN"/>
        </w:rPr>
        <w:t>- Tác động đối với môi trường và biện pháp giải quyết;</w:t>
      </w:r>
    </w:p>
    <w:p w14:paraId="5A82E3F0" w14:textId="77777777" w:rsidR="00BE2181" w:rsidRPr="00BE2181" w:rsidRDefault="00BE2181" w:rsidP="00BE2181">
      <w:pPr>
        <w:widowControl w:val="0"/>
        <w:tabs>
          <w:tab w:val="left" w:pos="851"/>
        </w:tabs>
        <w:spacing w:before="20" w:after="20"/>
        <w:ind w:firstLine="709"/>
        <w:rPr>
          <w:sz w:val="28"/>
          <w:szCs w:val="28"/>
          <w:lang w:val="vi-VN"/>
        </w:rPr>
      </w:pPr>
      <w:r w:rsidRPr="00BE2181">
        <w:rPr>
          <w:sz w:val="28"/>
          <w:szCs w:val="28"/>
          <w:lang w:val="vi-VN"/>
        </w:rPr>
        <w:t>- Tiêu chí đấu thầu bền vững (nếu có);</w:t>
      </w:r>
    </w:p>
    <w:p w14:paraId="6A6F48EC" w14:textId="77777777" w:rsidR="00BE2181" w:rsidRPr="00BE2181" w:rsidRDefault="00BE2181" w:rsidP="00BE2181">
      <w:pPr>
        <w:widowControl w:val="0"/>
        <w:tabs>
          <w:tab w:val="left" w:pos="851"/>
        </w:tabs>
        <w:spacing w:before="20" w:after="20"/>
        <w:ind w:firstLine="709"/>
        <w:rPr>
          <w:sz w:val="28"/>
          <w:szCs w:val="28"/>
          <w:lang w:val="vi-VN"/>
        </w:rPr>
      </w:pPr>
      <w:r w:rsidRPr="00BE2181">
        <w:rPr>
          <w:sz w:val="28"/>
          <w:szCs w:val="28"/>
          <w:lang w:val="vi-VN"/>
        </w:rPr>
        <w:t>- Các yếu tố về điều kiện thương mại, thời gian giao hàng, đào tạo chuyển giao công nghệ, cung cấp các dịch vụ sau bán hàng;</w:t>
      </w:r>
    </w:p>
    <w:p w14:paraId="4A4D84AA" w14:textId="77777777" w:rsidR="00BE2181" w:rsidRPr="00BE2181" w:rsidRDefault="00BE2181" w:rsidP="00BE2181">
      <w:pPr>
        <w:widowControl w:val="0"/>
        <w:tabs>
          <w:tab w:val="left" w:pos="851"/>
        </w:tabs>
        <w:spacing w:before="20" w:after="20"/>
        <w:ind w:firstLine="709"/>
        <w:rPr>
          <w:sz w:val="28"/>
          <w:szCs w:val="28"/>
        </w:rPr>
      </w:pPr>
      <w:r w:rsidRPr="00BE2181">
        <w:rPr>
          <w:sz w:val="28"/>
          <w:szCs w:val="28"/>
          <w:lang w:val="vi-VN"/>
        </w:rPr>
        <w:t>- Tiến độ cung cấp hàng hóa;</w:t>
      </w:r>
    </w:p>
    <w:p w14:paraId="1AE73C0F" w14:textId="77777777" w:rsidR="00BE2181" w:rsidRPr="00BE2181" w:rsidRDefault="00BE2181" w:rsidP="00BE2181">
      <w:pPr>
        <w:widowControl w:val="0"/>
        <w:tabs>
          <w:tab w:val="left" w:pos="851"/>
        </w:tabs>
        <w:spacing w:before="20" w:after="20"/>
        <w:ind w:firstLine="709"/>
        <w:rPr>
          <w:sz w:val="28"/>
          <w:szCs w:val="28"/>
        </w:rPr>
      </w:pPr>
      <w:r w:rsidRPr="00BE2181">
        <w:rPr>
          <w:sz w:val="28"/>
          <w:szCs w:val="28"/>
        </w:rPr>
        <w:lastRenderedPageBreak/>
        <w:t>- Yếu tố thân thiện môi trường;</w:t>
      </w:r>
    </w:p>
    <w:p w14:paraId="33F7DE2C" w14:textId="77777777" w:rsidR="00BE2181" w:rsidRPr="00BE2181" w:rsidRDefault="00BE2181" w:rsidP="00BE2181">
      <w:pPr>
        <w:widowControl w:val="0"/>
        <w:tabs>
          <w:tab w:val="left" w:pos="851"/>
        </w:tabs>
        <w:spacing w:before="20" w:after="20"/>
        <w:ind w:firstLine="709"/>
        <w:rPr>
          <w:sz w:val="28"/>
          <w:szCs w:val="28"/>
        </w:rPr>
      </w:pPr>
      <w:r w:rsidRPr="00BE2181">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BE2181">
        <w:rPr>
          <w:sz w:val="28"/>
          <w:szCs w:val="28"/>
        </w:rPr>
        <w:t>18</w:t>
      </w:r>
      <w:r w:rsidRPr="00BE2181">
        <w:rPr>
          <w:sz w:val="28"/>
          <w:szCs w:val="28"/>
          <w:lang w:val="vi-VN"/>
        </w:rPr>
        <w:t xml:space="preserve"> của Nghị định số 24/2024/NĐ-CP (nếu có);</w:t>
      </w:r>
    </w:p>
    <w:p w14:paraId="471305D7" w14:textId="77777777" w:rsidR="00BE2181" w:rsidRPr="00BE2181" w:rsidRDefault="00BE2181" w:rsidP="00BE2181">
      <w:pPr>
        <w:widowControl w:val="0"/>
        <w:tabs>
          <w:tab w:val="left" w:pos="851"/>
        </w:tabs>
        <w:spacing w:before="20" w:after="20"/>
        <w:ind w:firstLine="709"/>
        <w:rPr>
          <w:sz w:val="28"/>
          <w:szCs w:val="28"/>
          <w:lang w:val="vi-VN"/>
        </w:rPr>
      </w:pPr>
      <w:r w:rsidRPr="00BE2181">
        <w:rPr>
          <w:sz w:val="28"/>
          <w:szCs w:val="28"/>
          <w:lang w:val="vi-VN"/>
        </w:rPr>
        <w:t>- Các yếu tố cần thiết khác.</w:t>
      </w:r>
    </w:p>
    <w:p w14:paraId="3FD3EA5D" w14:textId="77777777" w:rsidR="00BE2181" w:rsidRPr="00BE2181" w:rsidRDefault="00BE2181" w:rsidP="00BE2181">
      <w:pPr>
        <w:spacing w:before="20" w:after="20"/>
        <w:ind w:firstLine="709"/>
        <w:rPr>
          <w:b/>
          <w:iCs/>
          <w:sz w:val="28"/>
          <w:szCs w:val="28"/>
        </w:rPr>
      </w:pPr>
      <w:r w:rsidRPr="00BE2181">
        <w:rPr>
          <w:b/>
          <w:sz w:val="28"/>
          <w:szCs w:val="28"/>
          <w:lang w:val="es-ES"/>
        </w:rPr>
        <w:t xml:space="preserve">3.1. Đánh giá theo </w:t>
      </w:r>
      <w:r w:rsidRPr="00BE2181">
        <w:rPr>
          <w:b/>
          <w:iCs/>
          <w:sz w:val="28"/>
          <w:szCs w:val="28"/>
          <w:lang w:val="vi-VN"/>
        </w:rPr>
        <w:t>phương pháp chấm điểm</w:t>
      </w:r>
      <w:r w:rsidRPr="00BE2181">
        <w:rPr>
          <w:rStyle w:val="FootnoteReference"/>
          <w:b/>
          <w:iCs/>
          <w:sz w:val="28"/>
          <w:szCs w:val="28"/>
        </w:rPr>
        <w:footnoteReference w:id="1"/>
      </w:r>
      <w:r w:rsidRPr="00BE2181">
        <w:rPr>
          <w:b/>
          <w:iCs/>
          <w:sz w:val="28"/>
          <w:szCs w:val="28"/>
          <w:lang w:val="vi-VN"/>
        </w:rPr>
        <w:t>:</w:t>
      </w:r>
      <w:r w:rsidRPr="00BE2181">
        <w:rPr>
          <w:b/>
          <w:iCs/>
          <w:sz w:val="28"/>
          <w:szCs w:val="28"/>
        </w:rPr>
        <w:t xml:space="preserve"> </w:t>
      </w:r>
      <w:r w:rsidRPr="00BE2181">
        <w:rPr>
          <w:b/>
          <w:iCs/>
          <w:color w:val="FF0000"/>
          <w:sz w:val="28"/>
          <w:szCs w:val="28"/>
        </w:rPr>
        <w:t>Không áp dụng</w:t>
      </w:r>
    </w:p>
    <w:p w14:paraId="3FD2C2C8" w14:textId="77777777" w:rsidR="00BE2181" w:rsidRPr="00BE2181" w:rsidRDefault="00BE2181" w:rsidP="00BE2181">
      <w:pPr>
        <w:spacing w:before="20" w:after="20"/>
        <w:ind w:firstLine="709"/>
        <w:rPr>
          <w:sz w:val="28"/>
          <w:szCs w:val="28"/>
          <w:lang w:val="es-ES"/>
        </w:rPr>
      </w:pPr>
      <w:r w:rsidRPr="00BE2181">
        <w:rPr>
          <w:sz w:val="28"/>
          <w:szCs w:val="28"/>
          <w:lang w:val="es-ES"/>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không thấp hơn 70% tổng số điểm về kỹ thuật. 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13875A0F" w14:textId="77777777" w:rsidR="00BE2181" w:rsidRPr="00BE2181" w:rsidRDefault="00BE2181" w:rsidP="00BE2181">
      <w:pPr>
        <w:widowControl w:val="0"/>
        <w:tabs>
          <w:tab w:val="left" w:pos="851"/>
        </w:tabs>
        <w:spacing w:before="20" w:after="20"/>
        <w:ind w:firstLine="709"/>
        <w:rPr>
          <w:noProof/>
          <w:sz w:val="28"/>
          <w:szCs w:val="28"/>
          <w:lang w:val="es-ES"/>
        </w:rPr>
      </w:pPr>
      <w:r w:rsidRPr="00BE2181">
        <w:rPr>
          <w:noProof/>
          <w:sz w:val="28"/>
          <w:szCs w:val="28"/>
          <w:lang w:val="es-ES"/>
        </w:rPr>
        <w:t>Điểm kỹ thuật của từng tiêu chuẩn tổng quát được tính theo điểm kỹ thuật của các tiêu chuẩn chi tiết theo công thức sau:</w:t>
      </w:r>
    </w:p>
    <w:p w14:paraId="4A96BE66" w14:textId="77777777" w:rsidR="00BE2181" w:rsidRPr="00BE2181" w:rsidRDefault="00BE2181" w:rsidP="00BE2181">
      <w:pPr>
        <w:numPr>
          <w:ilvl w:val="12"/>
          <w:numId w:val="0"/>
        </w:numPr>
        <w:suppressAutoHyphens/>
        <w:spacing w:before="20" w:after="20"/>
        <w:ind w:left="360" w:right="173" w:hanging="547"/>
        <w:jc w:val="center"/>
        <w:rPr>
          <w:noProof/>
          <w:sz w:val="28"/>
          <w:szCs w:val="28"/>
        </w:rPr>
      </w:pPr>
      <w:r w:rsidRPr="00BE2181">
        <w:rPr>
          <w:noProof/>
          <w:position w:val="-28"/>
          <w:sz w:val="28"/>
          <w:szCs w:val="28"/>
        </w:rPr>
        <w:object w:dxaOrig="1710" w:dyaOrig="750" w14:anchorId="49DB8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3.5pt" o:ole="" fillcolor="window">
            <v:imagedata r:id="rId7" o:title=""/>
          </v:shape>
          <o:OLEObject Type="Embed" ProgID="Equation.3" ShapeID="_x0000_i1025" DrawAspect="Content" ObjectID="_1831377110" r:id="rId8"/>
        </w:object>
      </w:r>
    </w:p>
    <w:p w14:paraId="14133DCD" w14:textId="77777777" w:rsidR="00BE2181" w:rsidRPr="00BE2181" w:rsidRDefault="00BE2181" w:rsidP="00BE2181">
      <w:pPr>
        <w:numPr>
          <w:ilvl w:val="12"/>
          <w:numId w:val="0"/>
        </w:numPr>
        <w:tabs>
          <w:tab w:val="left" w:pos="1620"/>
        </w:tabs>
        <w:suppressAutoHyphens/>
        <w:spacing w:before="20" w:after="20"/>
        <w:ind w:left="990" w:right="173" w:hanging="547"/>
        <w:jc w:val="left"/>
        <w:rPr>
          <w:noProof/>
          <w:sz w:val="28"/>
          <w:szCs w:val="28"/>
        </w:rPr>
      </w:pPr>
      <w:r w:rsidRPr="00BE2181">
        <w:rPr>
          <w:noProof/>
          <w:sz w:val="28"/>
          <w:szCs w:val="28"/>
        </w:rPr>
        <w:t>Trong đó:</w:t>
      </w:r>
    </w:p>
    <w:p w14:paraId="4136A6C8" w14:textId="77777777" w:rsidR="00BE2181" w:rsidRPr="00BE2181" w:rsidRDefault="00BE2181" w:rsidP="00BE2181">
      <w:pPr>
        <w:numPr>
          <w:ilvl w:val="12"/>
          <w:numId w:val="0"/>
        </w:numPr>
        <w:tabs>
          <w:tab w:val="left" w:pos="1620"/>
        </w:tabs>
        <w:suppressAutoHyphens/>
        <w:spacing w:before="20" w:after="20"/>
        <w:ind w:left="990" w:right="173" w:hanging="547"/>
        <w:jc w:val="left"/>
        <w:rPr>
          <w:noProof/>
          <w:sz w:val="28"/>
          <w:szCs w:val="28"/>
        </w:rPr>
      </w:pPr>
      <w:r w:rsidRPr="00BE2181">
        <w:rPr>
          <w:i/>
          <w:iCs/>
          <w:noProof/>
          <w:sz w:val="28"/>
          <w:szCs w:val="28"/>
        </w:rPr>
        <w:t>t</w:t>
      </w:r>
      <w:r w:rsidRPr="00BE2181">
        <w:rPr>
          <w:i/>
          <w:iCs/>
          <w:noProof/>
          <w:sz w:val="28"/>
          <w:szCs w:val="28"/>
          <w:vertAlign w:val="subscript"/>
        </w:rPr>
        <w:t>ji</w:t>
      </w:r>
      <w:r w:rsidRPr="00BE2181">
        <w:rPr>
          <w:i/>
          <w:iCs/>
          <w:noProof/>
          <w:sz w:val="28"/>
          <w:szCs w:val="28"/>
          <w:vertAlign w:val="subscript"/>
        </w:rPr>
        <w:tab/>
      </w:r>
      <w:r w:rsidRPr="00BE2181">
        <w:rPr>
          <w:noProof/>
          <w:sz w:val="28"/>
          <w:szCs w:val="28"/>
        </w:rPr>
        <w:t xml:space="preserve">= điểm kỹ thuật của tiêu chuẩn chi tiết “i” trong tiêu chuẩn tổng quát “j”, </w:t>
      </w:r>
    </w:p>
    <w:p w14:paraId="68A9212B" w14:textId="77777777" w:rsidR="00BE2181" w:rsidRPr="00BE2181" w:rsidRDefault="00BE2181" w:rsidP="00BE2181">
      <w:pPr>
        <w:numPr>
          <w:ilvl w:val="12"/>
          <w:numId w:val="0"/>
        </w:numPr>
        <w:tabs>
          <w:tab w:val="left" w:pos="1620"/>
        </w:tabs>
        <w:suppressAutoHyphens/>
        <w:spacing w:before="20" w:after="20"/>
        <w:ind w:left="990" w:right="173" w:hanging="547"/>
        <w:jc w:val="left"/>
        <w:rPr>
          <w:noProof/>
          <w:sz w:val="28"/>
          <w:szCs w:val="28"/>
        </w:rPr>
      </w:pPr>
      <w:r w:rsidRPr="00BE2181">
        <w:rPr>
          <w:i/>
          <w:iCs/>
          <w:noProof/>
          <w:sz w:val="28"/>
          <w:szCs w:val="28"/>
        </w:rPr>
        <w:t>w</w:t>
      </w:r>
      <w:r w:rsidRPr="00BE2181">
        <w:rPr>
          <w:i/>
          <w:iCs/>
          <w:noProof/>
          <w:sz w:val="28"/>
          <w:szCs w:val="28"/>
          <w:vertAlign w:val="subscript"/>
        </w:rPr>
        <w:t>ji</w:t>
      </w:r>
      <w:r w:rsidRPr="00BE2181">
        <w:rPr>
          <w:noProof/>
          <w:sz w:val="28"/>
          <w:szCs w:val="28"/>
        </w:rPr>
        <w:tab/>
        <w:t xml:space="preserve">= tỷ trọng của tiêu chuẩn chi tiết “i” trong tiêu chuẩn tổng quát “j”, </w:t>
      </w:r>
    </w:p>
    <w:p w14:paraId="3B6A58A5" w14:textId="77777777" w:rsidR="00BE2181" w:rsidRPr="00BE2181" w:rsidRDefault="00BE2181" w:rsidP="00BE2181">
      <w:pPr>
        <w:numPr>
          <w:ilvl w:val="12"/>
          <w:numId w:val="0"/>
        </w:numPr>
        <w:tabs>
          <w:tab w:val="left" w:pos="1620"/>
        </w:tabs>
        <w:suppressAutoHyphens/>
        <w:spacing w:before="20" w:after="20"/>
        <w:ind w:left="990" w:right="173" w:hanging="547"/>
        <w:jc w:val="left"/>
        <w:rPr>
          <w:noProof/>
          <w:sz w:val="28"/>
          <w:szCs w:val="28"/>
        </w:rPr>
      </w:pPr>
      <w:r w:rsidRPr="00BE2181">
        <w:rPr>
          <w:i/>
          <w:iCs/>
          <w:noProof/>
          <w:sz w:val="28"/>
          <w:szCs w:val="28"/>
        </w:rPr>
        <w:t>k</w:t>
      </w:r>
      <w:r w:rsidRPr="00BE2181">
        <w:rPr>
          <w:noProof/>
          <w:sz w:val="28"/>
          <w:szCs w:val="28"/>
        </w:rPr>
        <w:tab/>
        <w:t xml:space="preserve">= số lượng tiêu chuẩn chi tiết trong tiêu chuẩn tổng quát “j”, và </w:t>
      </w:r>
    </w:p>
    <w:p w14:paraId="79D78C9A" w14:textId="77777777" w:rsidR="00BE2181" w:rsidRPr="00BE2181" w:rsidRDefault="00BE2181" w:rsidP="00BE2181">
      <w:pPr>
        <w:numPr>
          <w:ilvl w:val="12"/>
          <w:numId w:val="0"/>
        </w:numPr>
        <w:suppressAutoHyphens/>
        <w:spacing w:before="20" w:after="20"/>
        <w:ind w:left="360" w:right="173"/>
        <w:jc w:val="center"/>
        <w:rPr>
          <w:noProof/>
          <w:sz w:val="28"/>
          <w:szCs w:val="28"/>
        </w:rPr>
      </w:pPr>
      <w:r w:rsidRPr="00BE2181">
        <w:rPr>
          <w:noProof/>
          <w:position w:val="-28"/>
          <w:sz w:val="28"/>
          <w:szCs w:val="28"/>
        </w:rPr>
        <w:object w:dxaOrig="1050" w:dyaOrig="750" w14:anchorId="055410B9">
          <v:shape id="_x0000_i1026" type="#_x0000_t75" style="width:50.25pt;height:43.5pt" o:ole="" fillcolor="window">
            <v:imagedata r:id="rId9" o:title=""/>
          </v:shape>
          <o:OLEObject Type="Embed" ProgID="Equation.3" ShapeID="_x0000_i1026" DrawAspect="Content" ObjectID="_1831377111" r:id="rId10"/>
        </w:object>
      </w:r>
    </w:p>
    <w:p w14:paraId="5D39E7E7" w14:textId="77777777" w:rsidR="00BE2181" w:rsidRPr="00BE2181" w:rsidRDefault="00BE2181" w:rsidP="00BE2181">
      <w:pPr>
        <w:numPr>
          <w:ilvl w:val="12"/>
          <w:numId w:val="0"/>
        </w:numPr>
        <w:suppressAutoHyphens/>
        <w:spacing w:before="20" w:after="20"/>
        <w:ind w:left="360" w:right="173"/>
        <w:rPr>
          <w:noProof/>
          <w:sz w:val="28"/>
          <w:szCs w:val="28"/>
        </w:rPr>
      </w:pPr>
      <w:r w:rsidRPr="00BE2181">
        <w:rPr>
          <w:noProof/>
          <w:sz w:val="28"/>
          <w:szCs w:val="28"/>
        </w:rPr>
        <w:t xml:space="preserve">Tổng điểm kỹ thuật được tính theo công thức sau: </w:t>
      </w:r>
    </w:p>
    <w:p w14:paraId="118281C8" w14:textId="77777777" w:rsidR="00BE2181" w:rsidRPr="00BE2181" w:rsidRDefault="00BE2181" w:rsidP="00BE2181">
      <w:pPr>
        <w:numPr>
          <w:ilvl w:val="12"/>
          <w:numId w:val="0"/>
        </w:numPr>
        <w:tabs>
          <w:tab w:val="left" w:pos="1080"/>
        </w:tabs>
        <w:suppressAutoHyphens/>
        <w:spacing w:before="20" w:after="20"/>
        <w:ind w:left="360" w:right="171" w:hanging="540"/>
        <w:jc w:val="center"/>
        <w:rPr>
          <w:noProof/>
          <w:sz w:val="28"/>
          <w:szCs w:val="28"/>
        </w:rPr>
      </w:pPr>
      <w:r w:rsidRPr="00BE2181">
        <w:rPr>
          <w:noProof/>
          <w:position w:val="-30"/>
          <w:sz w:val="28"/>
          <w:szCs w:val="28"/>
        </w:rPr>
        <w:object w:dxaOrig="1440" w:dyaOrig="750" w14:anchorId="05124D05">
          <v:shape id="_x0000_i1027" type="#_x0000_t75" style="width:1in;height:43.5pt" o:ole="" fillcolor="window">
            <v:imagedata r:id="rId11" o:title=""/>
          </v:shape>
          <o:OLEObject Type="Embed" ProgID="Equation.3" ShapeID="_x0000_i1027" DrawAspect="Content" ObjectID="_1831377112" r:id="rId12"/>
        </w:object>
      </w:r>
    </w:p>
    <w:p w14:paraId="56B9889B" w14:textId="77777777" w:rsidR="00BE2181" w:rsidRPr="00BE2181" w:rsidRDefault="00BE2181" w:rsidP="00BE2181">
      <w:pPr>
        <w:numPr>
          <w:ilvl w:val="12"/>
          <w:numId w:val="0"/>
        </w:numPr>
        <w:tabs>
          <w:tab w:val="left" w:pos="1620"/>
        </w:tabs>
        <w:suppressAutoHyphens/>
        <w:spacing w:before="20" w:after="20"/>
        <w:ind w:left="900" w:right="173" w:hanging="547"/>
        <w:jc w:val="left"/>
        <w:rPr>
          <w:noProof/>
          <w:sz w:val="28"/>
          <w:szCs w:val="28"/>
        </w:rPr>
      </w:pPr>
      <w:r w:rsidRPr="00BE2181">
        <w:rPr>
          <w:noProof/>
          <w:sz w:val="28"/>
          <w:szCs w:val="28"/>
        </w:rPr>
        <w:t>Trong đó:</w:t>
      </w:r>
    </w:p>
    <w:p w14:paraId="26BA8FEE" w14:textId="77777777" w:rsidR="00BE2181" w:rsidRPr="00BE2181" w:rsidRDefault="00BE2181" w:rsidP="00BE2181">
      <w:pPr>
        <w:numPr>
          <w:ilvl w:val="12"/>
          <w:numId w:val="0"/>
        </w:numPr>
        <w:tabs>
          <w:tab w:val="left" w:pos="1620"/>
        </w:tabs>
        <w:suppressAutoHyphens/>
        <w:spacing w:before="20" w:after="20"/>
        <w:ind w:left="900" w:right="173" w:hanging="540"/>
        <w:jc w:val="left"/>
        <w:rPr>
          <w:noProof/>
          <w:sz w:val="28"/>
          <w:szCs w:val="28"/>
        </w:rPr>
      </w:pPr>
      <w:r w:rsidRPr="00BE2181">
        <w:rPr>
          <w:i/>
          <w:iCs/>
          <w:noProof/>
          <w:sz w:val="28"/>
          <w:szCs w:val="28"/>
        </w:rPr>
        <w:t>S</w:t>
      </w:r>
      <w:r w:rsidRPr="00BE2181">
        <w:rPr>
          <w:i/>
          <w:iCs/>
          <w:noProof/>
          <w:sz w:val="28"/>
          <w:szCs w:val="28"/>
          <w:vertAlign w:val="subscript"/>
        </w:rPr>
        <w:t>j</w:t>
      </w:r>
      <w:r w:rsidRPr="00BE2181">
        <w:rPr>
          <w:noProof/>
          <w:sz w:val="28"/>
          <w:szCs w:val="28"/>
        </w:rPr>
        <w:tab/>
        <w:t>= điểm kỹ thuật của tiêu chuẩn tổng quát “j”</w:t>
      </w:r>
    </w:p>
    <w:p w14:paraId="5E306D55" w14:textId="77777777" w:rsidR="00BE2181" w:rsidRPr="00BE2181" w:rsidRDefault="00BE2181" w:rsidP="00BE2181">
      <w:pPr>
        <w:numPr>
          <w:ilvl w:val="12"/>
          <w:numId w:val="0"/>
        </w:numPr>
        <w:tabs>
          <w:tab w:val="left" w:pos="1620"/>
        </w:tabs>
        <w:suppressAutoHyphens/>
        <w:spacing w:before="20" w:after="20"/>
        <w:ind w:left="900" w:right="173" w:hanging="540"/>
        <w:jc w:val="left"/>
        <w:rPr>
          <w:noProof/>
          <w:sz w:val="28"/>
          <w:szCs w:val="28"/>
        </w:rPr>
      </w:pPr>
      <w:r w:rsidRPr="00BE2181">
        <w:rPr>
          <w:i/>
          <w:iCs/>
          <w:noProof/>
          <w:sz w:val="28"/>
          <w:szCs w:val="28"/>
        </w:rPr>
        <w:t>W</w:t>
      </w:r>
      <w:r w:rsidRPr="00BE2181">
        <w:rPr>
          <w:i/>
          <w:iCs/>
          <w:noProof/>
          <w:sz w:val="28"/>
          <w:szCs w:val="28"/>
          <w:vertAlign w:val="subscript"/>
        </w:rPr>
        <w:t>j</w:t>
      </w:r>
      <w:r w:rsidRPr="00BE2181">
        <w:rPr>
          <w:noProof/>
          <w:sz w:val="28"/>
          <w:szCs w:val="28"/>
        </w:rPr>
        <w:tab/>
        <w:t>= tỷ trọng của tiêu chuẩn tổng quát “j”</w:t>
      </w:r>
      <w:r w:rsidRPr="00BE2181">
        <w:rPr>
          <w:b/>
          <w:noProof/>
          <w:sz w:val="28"/>
          <w:szCs w:val="28"/>
        </w:rPr>
        <w:t xml:space="preserve"> </w:t>
      </w:r>
    </w:p>
    <w:p w14:paraId="02DF47D9" w14:textId="77777777" w:rsidR="00BE2181" w:rsidRPr="00BE2181" w:rsidRDefault="00BE2181" w:rsidP="00BE2181">
      <w:pPr>
        <w:numPr>
          <w:ilvl w:val="12"/>
          <w:numId w:val="0"/>
        </w:numPr>
        <w:tabs>
          <w:tab w:val="left" w:pos="1620"/>
        </w:tabs>
        <w:suppressAutoHyphens/>
        <w:spacing w:before="20" w:after="20"/>
        <w:ind w:left="900" w:right="173" w:hanging="540"/>
        <w:jc w:val="left"/>
        <w:rPr>
          <w:noProof/>
          <w:sz w:val="28"/>
          <w:szCs w:val="28"/>
        </w:rPr>
      </w:pPr>
      <w:r w:rsidRPr="00BE2181">
        <w:rPr>
          <w:i/>
          <w:iCs/>
          <w:noProof/>
          <w:sz w:val="28"/>
          <w:szCs w:val="28"/>
        </w:rPr>
        <w:t>n</w:t>
      </w:r>
      <w:r w:rsidRPr="00BE2181">
        <w:rPr>
          <w:noProof/>
          <w:sz w:val="28"/>
          <w:szCs w:val="28"/>
        </w:rPr>
        <w:tab/>
        <w:t>= số lượng tiêu chuẩn tổng quát, và</w:t>
      </w:r>
    </w:p>
    <w:p w14:paraId="4AD40DDF" w14:textId="77777777" w:rsidR="00BE2181" w:rsidRPr="00BE2181" w:rsidRDefault="00BE2181" w:rsidP="00BE2181">
      <w:pPr>
        <w:spacing w:before="20" w:after="20"/>
        <w:ind w:left="360" w:right="173"/>
        <w:jc w:val="center"/>
        <w:rPr>
          <w:noProof/>
          <w:sz w:val="28"/>
          <w:szCs w:val="28"/>
        </w:rPr>
      </w:pPr>
      <w:r w:rsidRPr="00BE2181">
        <w:rPr>
          <w:noProof/>
          <w:position w:val="-30"/>
          <w:sz w:val="28"/>
          <w:szCs w:val="28"/>
        </w:rPr>
        <w:object w:dxaOrig="1050" w:dyaOrig="750" w14:anchorId="2A217B0E">
          <v:shape id="_x0000_i1028" type="#_x0000_t75" style="width:50.25pt;height:43.5pt" o:ole="" fillcolor="window">
            <v:imagedata r:id="rId13" o:title=""/>
          </v:shape>
          <o:OLEObject Type="Embed" ProgID="Equation.3" ShapeID="_x0000_i1028" DrawAspect="Content" ObjectID="_1831377113" r:id="rId14"/>
        </w:object>
      </w:r>
    </w:p>
    <w:p w14:paraId="44250D23" w14:textId="77777777" w:rsidR="00BE2181" w:rsidRPr="00BE2181" w:rsidRDefault="00BE2181" w:rsidP="00BE2181">
      <w:pPr>
        <w:spacing w:before="20" w:after="20"/>
        <w:ind w:firstLine="709"/>
        <w:rPr>
          <w:b/>
          <w:iCs/>
          <w:sz w:val="28"/>
          <w:szCs w:val="28"/>
          <w:lang w:val="es-ES"/>
        </w:rPr>
      </w:pPr>
    </w:p>
    <w:p w14:paraId="5C75E27C" w14:textId="77777777" w:rsidR="00BE2181" w:rsidRPr="00BE2181" w:rsidRDefault="00BE2181" w:rsidP="00BE2181">
      <w:pPr>
        <w:spacing w:before="20" w:after="20"/>
        <w:ind w:firstLine="709"/>
        <w:rPr>
          <w:b/>
          <w:iCs/>
          <w:sz w:val="28"/>
          <w:szCs w:val="28"/>
          <w:lang w:val="es-ES"/>
        </w:rPr>
      </w:pPr>
    </w:p>
    <w:p w14:paraId="317EA908" w14:textId="77777777" w:rsidR="00BE2181" w:rsidRPr="00BE2181" w:rsidRDefault="00BE2181" w:rsidP="00BE2181">
      <w:pPr>
        <w:spacing w:before="20" w:after="20"/>
        <w:ind w:firstLine="709"/>
        <w:rPr>
          <w:b/>
          <w:iCs/>
          <w:sz w:val="28"/>
          <w:szCs w:val="28"/>
          <w:lang w:val="es-ES"/>
        </w:rPr>
      </w:pPr>
    </w:p>
    <w:p w14:paraId="632766A7" w14:textId="77777777" w:rsidR="00BE2181" w:rsidRPr="00BE2181" w:rsidRDefault="00BE2181" w:rsidP="00BE2181">
      <w:pPr>
        <w:spacing w:before="20" w:after="20"/>
        <w:ind w:firstLine="709"/>
        <w:rPr>
          <w:sz w:val="28"/>
          <w:szCs w:val="28"/>
          <w:lang w:val="es-ES"/>
        </w:rPr>
      </w:pPr>
      <w:r w:rsidRPr="00BE2181">
        <w:rPr>
          <w:b/>
          <w:iCs/>
          <w:sz w:val="28"/>
          <w:szCs w:val="28"/>
          <w:lang w:val="es-ES"/>
        </w:rPr>
        <w:t>3.2. Đánh giá theo phương pháp</w:t>
      </w:r>
      <w:r w:rsidRPr="00BE2181" w:rsidDel="00BE4476">
        <w:rPr>
          <w:b/>
          <w:iCs/>
          <w:sz w:val="28"/>
          <w:szCs w:val="28"/>
          <w:lang w:val="es-ES"/>
        </w:rPr>
        <w:t xml:space="preserve"> </w:t>
      </w:r>
      <w:r w:rsidRPr="00BE2181">
        <w:rPr>
          <w:b/>
          <w:iCs/>
          <w:sz w:val="28"/>
          <w:szCs w:val="28"/>
          <w:lang w:val="es-ES"/>
        </w:rPr>
        <w:t>đạt/không đạt</w:t>
      </w:r>
      <w:r w:rsidRPr="00BE2181">
        <w:rPr>
          <w:rStyle w:val="FootnoteReference"/>
          <w:b/>
          <w:iCs/>
          <w:sz w:val="28"/>
          <w:szCs w:val="28"/>
        </w:rPr>
        <w:footnoteReference w:id="2"/>
      </w:r>
      <w:r w:rsidRPr="00BE2181">
        <w:rPr>
          <w:b/>
          <w:sz w:val="28"/>
          <w:szCs w:val="28"/>
          <w:lang w:val="es-ES"/>
        </w:rPr>
        <w:t xml:space="preserve">: </w:t>
      </w:r>
      <w:r w:rsidRPr="00BE2181">
        <w:rPr>
          <w:b/>
          <w:color w:val="FF0000"/>
          <w:sz w:val="28"/>
          <w:szCs w:val="28"/>
          <w:lang w:val="es-ES"/>
        </w:rPr>
        <w:t>Áp dụng</w:t>
      </w:r>
    </w:p>
    <w:p w14:paraId="799A1132" w14:textId="77777777" w:rsidR="00BE2181" w:rsidRPr="00BE2181" w:rsidRDefault="00BE2181" w:rsidP="00BE2181">
      <w:pPr>
        <w:spacing w:before="20" w:after="20"/>
        <w:ind w:firstLine="709"/>
        <w:rPr>
          <w:sz w:val="28"/>
          <w:szCs w:val="28"/>
          <w:lang w:val="es-ES"/>
        </w:rPr>
      </w:pPr>
      <w:r w:rsidRPr="00BE218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692A706" w14:textId="77777777" w:rsidR="00BE2181" w:rsidRPr="00BE2181" w:rsidRDefault="00BE2181" w:rsidP="00BE2181">
      <w:pPr>
        <w:spacing w:before="20" w:after="20"/>
        <w:ind w:firstLine="709"/>
        <w:rPr>
          <w:sz w:val="28"/>
          <w:szCs w:val="28"/>
          <w:lang w:val="es-ES"/>
        </w:rPr>
      </w:pPr>
      <w:r w:rsidRPr="00BE218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31E4E65" w14:textId="77777777" w:rsidR="00BE2181" w:rsidRPr="00BE2181" w:rsidRDefault="00BE2181" w:rsidP="00BE2181">
      <w:pPr>
        <w:spacing w:before="20" w:after="20"/>
        <w:ind w:firstLine="709"/>
        <w:rPr>
          <w:sz w:val="28"/>
          <w:szCs w:val="28"/>
          <w:lang w:val="es-ES"/>
        </w:rPr>
      </w:pPr>
      <w:r w:rsidRPr="00BE2181">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0" w:type="auto"/>
        <w:tblLook w:val="04A0" w:firstRow="1" w:lastRow="0" w:firstColumn="1" w:lastColumn="0" w:noHBand="0" w:noVBand="1"/>
      </w:tblPr>
      <w:tblGrid>
        <w:gridCol w:w="3089"/>
        <w:gridCol w:w="3414"/>
        <w:gridCol w:w="2847"/>
      </w:tblGrid>
      <w:tr w:rsidR="00BE2181" w:rsidRPr="00BE2181" w14:paraId="0EA08D3F" w14:textId="77777777" w:rsidTr="002139CB">
        <w:tc>
          <w:tcPr>
            <w:tcW w:w="6630" w:type="dxa"/>
            <w:gridSpan w:val="2"/>
            <w:vAlign w:val="center"/>
          </w:tcPr>
          <w:p w14:paraId="1CB261E5" w14:textId="77777777" w:rsidR="00BE2181" w:rsidRPr="00BE2181" w:rsidRDefault="00BE2181" w:rsidP="002139CB">
            <w:pPr>
              <w:spacing w:before="20" w:after="20"/>
              <w:jc w:val="center"/>
              <w:rPr>
                <w:rFonts w:ascii="Times New Roman" w:hAnsi="Times New Roman"/>
                <w:b/>
                <w:sz w:val="26"/>
                <w:szCs w:val="26"/>
              </w:rPr>
            </w:pPr>
            <w:bookmarkStart w:id="0" w:name="_Hlk186720630"/>
            <w:r w:rsidRPr="00BE2181">
              <w:rPr>
                <w:rFonts w:ascii="Times New Roman" w:hAnsi="Times New Roman"/>
                <w:b/>
                <w:sz w:val="26"/>
                <w:szCs w:val="26"/>
              </w:rPr>
              <w:t>Nội dung đánh giá</w:t>
            </w:r>
          </w:p>
        </w:tc>
        <w:tc>
          <w:tcPr>
            <w:tcW w:w="2884" w:type="dxa"/>
            <w:vAlign w:val="center"/>
          </w:tcPr>
          <w:p w14:paraId="02624292"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Sử dụng tiêu chí Đạt/Không Đạt</w:t>
            </w:r>
          </w:p>
        </w:tc>
      </w:tr>
      <w:tr w:rsidR="00BE2181" w:rsidRPr="00BE2181" w14:paraId="70EAF560" w14:textId="77777777" w:rsidTr="002139CB">
        <w:tc>
          <w:tcPr>
            <w:tcW w:w="9514" w:type="dxa"/>
            <w:gridSpan w:val="3"/>
          </w:tcPr>
          <w:p w14:paraId="405751D3"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1. Phạm vi cung cấp</w:t>
            </w:r>
          </w:p>
        </w:tc>
      </w:tr>
      <w:tr w:rsidR="00BE2181" w:rsidRPr="00BE2181" w14:paraId="6AEE961C" w14:textId="77777777" w:rsidTr="002139CB">
        <w:tc>
          <w:tcPr>
            <w:tcW w:w="3164" w:type="dxa"/>
            <w:vMerge w:val="restart"/>
            <w:vAlign w:val="center"/>
          </w:tcPr>
          <w:p w14:paraId="00D44908" w14:textId="77777777" w:rsidR="00BE2181" w:rsidRPr="00BE2181" w:rsidRDefault="00BE2181" w:rsidP="002139CB">
            <w:pPr>
              <w:spacing w:before="20" w:after="20"/>
              <w:jc w:val="center"/>
              <w:rPr>
                <w:rFonts w:ascii="Times New Roman" w:hAnsi="Times New Roman"/>
                <w:sz w:val="26"/>
                <w:szCs w:val="26"/>
              </w:rPr>
            </w:pPr>
          </w:p>
        </w:tc>
        <w:tc>
          <w:tcPr>
            <w:tcW w:w="3466" w:type="dxa"/>
          </w:tcPr>
          <w:p w14:paraId="6B0273C6" w14:textId="77777777" w:rsidR="00BE2181" w:rsidRPr="00BE2181" w:rsidRDefault="00BE2181" w:rsidP="002139CB">
            <w:pPr>
              <w:spacing w:before="20" w:after="20"/>
              <w:ind w:right="-18"/>
              <w:jc w:val="left"/>
              <w:rPr>
                <w:rFonts w:ascii="Times New Roman" w:hAnsi="Times New Roman"/>
                <w:sz w:val="26"/>
                <w:szCs w:val="26"/>
              </w:rPr>
            </w:pPr>
            <w:r w:rsidRPr="00BE2181">
              <w:rPr>
                <w:rFonts w:ascii="Times New Roman" w:hAnsi="Times New Roman"/>
                <w:sz w:val="26"/>
                <w:szCs w:val="26"/>
              </w:rPr>
              <w:t>Nhà thầu chào đầy đủ số lượng, đúng chủng loại hàng hóa và dịch vụ theo yêu cầu của E-HSMT</w:t>
            </w:r>
          </w:p>
        </w:tc>
        <w:tc>
          <w:tcPr>
            <w:tcW w:w="2884" w:type="dxa"/>
            <w:vAlign w:val="center"/>
          </w:tcPr>
          <w:p w14:paraId="582051CA"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Đạt</w:t>
            </w:r>
          </w:p>
        </w:tc>
      </w:tr>
      <w:tr w:rsidR="00BE2181" w:rsidRPr="00BE2181" w14:paraId="2A9B98B9" w14:textId="77777777" w:rsidTr="002139CB">
        <w:tc>
          <w:tcPr>
            <w:tcW w:w="3164" w:type="dxa"/>
            <w:vMerge/>
          </w:tcPr>
          <w:p w14:paraId="5E01A74E" w14:textId="77777777" w:rsidR="00BE2181" w:rsidRPr="00BE2181" w:rsidRDefault="00BE2181" w:rsidP="002139CB">
            <w:pPr>
              <w:spacing w:before="20" w:after="20"/>
              <w:rPr>
                <w:rFonts w:ascii="Times New Roman" w:hAnsi="Times New Roman"/>
                <w:sz w:val="26"/>
                <w:szCs w:val="26"/>
              </w:rPr>
            </w:pPr>
          </w:p>
        </w:tc>
        <w:tc>
          <w:tcPr>
            <w:tcW w:w="3466" w:type="dxa"/>
          </w:tcPr>
          <w:p w14:paraId="007C5459" w14:textId="77777777" w:rsidR="00BE2181" w:rsidRPr="00BE2181" w:rsidRDefault="00BE2181" w:rsidP="002139CB">
            <w:pPr>
              <w:tabs>
                <w:tab w:val="left" w:pos="1103"/>
              </w:tabs>
              <w:spacing w:before="20" w:after="20"/>
              <w:jc w:val="left"/>
              <w:rPr>
                <w:rFonts w:ascii="Times New Roman" w:hAnsi="Times New Roman"/>
                <w:sz w:val="26"/>
                <w:szCs w:val="26"/>
              </w:rPr>
            </w:pPr>
            <w:r w:rsidRPr="00BE2181">
              <w:rPr>
                <w:rFonts w:ascii="Times New Roman" w:hAnsi="Times New Roman"/>
                <w:sz w:val="26"/>
                <w:szCs w:val="26"/>
              </w:rPr>
              <w:t>Không đầy đủ số lượng, hoặc không đúng chủng loại hàng hóa, hoặc không đáp ứng yêu cầu của E-HSMT</w:t>
            </w:r>
          </w:p>
        </w:tc>
        <w:tc>
          <w:tcPr>
            <w:tcW w:w="2884" w:type="dxa"/>
            <w:vAlign w:val="center"/>
          </w:tcPr>
          <w:p w14:paraId="3CBC9B38"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Không đạt</w:t>
            </w:r>
          </w:p>
        </w:tc>
      </w:tr>
      <w:tr w:rsidR="00BE2181" w:rsidRPr="00BE2181" w14:paraId="3A569927" w14:textId="77777777" w:rsidTr="002139CB">
        <w:tc>
          <w:tcPr>
            <w:tcW w:w="9514" w:type="dxa"/>
            <w:gridSpan w:val="3"/>
          </w:tcPr>
          <w:p w14:paraId="2E3ECD4C"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2. Xuất xứ của hàng hóa</w:t>
            </w:r>
          </w:p>
        </w:tc>
      </w:tr>
      <w:tr w:rsidR="00BE2181" w:rsidRPr="00BE2181" w14:paraId="54BE964E" w14:textId="77777777" w:rsidTr="002139CB">
        <w:tc>
          <w:tcPr>
            <w:tcW w:w="3164" w:type="dxa"/>
            <w:vMerge w:val="restart"/>
            <w:vAlign w:val="center"/>
          </w:tcPr>
          <w:p w14:paraId="273E3E04" w14:textId="77777777" w:rsidR="00BE2181" w:rsidRPr="00BE2181" w:rsidRDefault="00BE2181" w:rsidP="002139CB">
            <w:pPr>
              <w:spacing w:before="20" w:after="20"/>
              <w:jc w:val="center"/>
              <w:rPr>
                <w:rFonts w:ascii="Times New Roman" w:hAnsi="Times New Roman"/>
                <w:sz w:val="26"/>
                <w:szCs w:val="26"/>
              </w:rPr>
            </w:pPr>
          </w:p>
        </w:tc>
        <w:tc>
          <w:tcPr>
            <w:tcW w:w="3466" w:type="dxa"/>
          </w:tcPr>
          <w:p w14:paraId="19DDF8EC" w14:textId="77777777" w:rsidR="00BE2181" w:rsidRPr="00BE2181" w:rsidRDefault="00BE2181" w:rsidP="002139CB">
            <w:pPr>
              <w:spacing w:before="20" w:after="20"/>
              <w:ind w:right="-18"/>
              <w:jc w:val="left"/>
              <w:rPr>
                <w:rFonts w:ascii="Times New Roman" w:hAnsi="Times New Roman"/>
                <w:sz w:val="26"/>
                <w:szCs w:val="26"/>
              </w:rPr>
            </w:pPr>
            <w:r w:rsidRPr="00BE2181">
              <w:rPr>
                <w:rFonts w:ascii="Times New Roman" w:hAnsi="Times New Roman"/>
                <w:sz w:val="26"/>
                <w:szCs w:val="26"/>
              </w:rPr>
              <w:t xml:space="preserve">Khi giao hàng, Nhà thầu phải cung cấp </w:t>
            </w:r>
            <w:r w:rsidRPr="00BE2181">
              <w:rPr>
                <w:rFonts w:ascii="Times New Roman" w:hAnsi="Times New Roman"/>
                <w:sz w:val="26"/>
                <w:szCs w:val="26"/>
                <w:lang w:val="sv-SE"/>
              </w:rPr>
              <w:t xml:space="preserve">về thủ tục hàng hoá đầu vào gồm: giấy tờ nguồn gốc, xuất xứ nguyên liệu, và các giấy tờ khác liên quan đến </w:t>
            </w:r>
            <w:r w:rsidRPr="00BE2181">
              <w:rPr>
                <w:rFonts w:ascii="Times New Roman" w:hAnsi="Times New Roman"/>
                <w:sz w:val="26"/>
                <w:szCs w:val="26"/>
              </w:rPr>
              <w:t xml:space="preserve">mua, bán, </w:t>
            </w:r>
            <w:r w:rsidRPr="00BE2181">
              <w:rPr>
                <w:rFonts w:ascii="Times New Roman" w:hAnsi="Times New Roman"/>
                <w:sz w:val="26"/>
                <w:szCs w:val="26"/>
                <w:lang w:val="sv-SE"/>
              </w:rPr>
              <w:t>khai thác, vận chuyển nguyên liệu.</w:t>
            </w:r>
          </w:p>
        </w:tc>
        <w:tc>
          <w:tcPr>
            <w:tcW w:w="2884" w:type="dxa"/>
            <w:vAlign w:val="center"/>
          </w:tcPr>
          <w:p w14:paraId="73A32490"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Đạt</w:t>
            </w:r>
          </w:p>
        </w:tc>
      </w:tr>
      <w:tr w:rsidR="00BE2181" w:rsidRPr="00BE2181" w14:paraId="6D9C8FCC" w14:textId="77777777" w:rsidTr="002139CB">
        <w:tc>
          <w:tcPr>
            <w:tcW w:w="3164" w:type="dxa"/>
            <w:vMerge/>
          </w:tcPr>
          <w:p w14:paraId="2E99210D" w14:textId="77777777" w:rsidR="00BE2181" w:rsidRPr="00BE2181" w:rsidRDefault="00BE2181" w:rsidP="002139CB">
            <w:pPr>
              <w:spacing w:before="20" w:after="20"/>
              <w:rPr>
                <w:rFonts w:ascii="Times New Roman" w:hAnsi="Times New Roman"/>
                <w:sz w:val="26"/>
                <w:szCs w:val="26"/>
              </w:rPr>
            </w:pPr>
          </w:p>
        </w:tc>
        <w:tc>
          <w:tcPr>
            <w:tcW w:w="3466" w:type="dxa"/>
          </w:tcPr>
          <w:p w14:paraId="4395CD15" w14:textId="77777777" w:rsidR="00BE2181" w:rsidRPr="00BE2181" w:rsidRDefault="00BE2181" w:rsidP="002139CB">
            <w:pPr>
              <w:tabs>
                <w:tab w:val="left" w:pos="1103"/>
              </w:tabs>
              <w:spacing w:before="20" w:after="20"/>
              <w:jc w:val="left"/>
              <w:rPr>
                <w:rFonts w:ascii="Times New Roman" w:hAnsi="Times New Roman"/>
                <w:sz w:val="26"/>
                <w:szCs w:val="26"/>
              </w:rPr>
            </w:pPr>
            <w:r w:rsidRPr="00BE2181">
              <w:rPr>
                <w:rFonts w:ascii="Times New Roman" w:hAnsi="Times New Roman"/>
                <w:sz w:val="26"/>
                <w:szCs w:val="26"/>
              </w:rPr>
              <w:t>Không có hoặc có nhưng không đáp ứng yêu cầu</w:t>
            </w:r>
          </w:p>
        </w:tc>
        <w:tc>
          <w:tcPr>
            <w:tcW w:w="2884" w:type="dxa"/>
            <w:vAlign w:val="center"/>
          </w:tcPr>
          <w:p w14:paraId="64E984E7"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Không đạt</w:t>
            </w:r>
          </w:p>
        </w:tc>
      </w:tr>
      <w:tr w:rsidR="00BE2181" w:rsidRPr="00BE2181" w14:paraId="433E57AE" w14:textId="77777777" w:rsidTr="002139CB">
        <w:tc>
          <w:tcPr>
            <w:tcW w:w="9514" w:type="dxa"/>
            <w:gridSpan w:val="3"/>
          </w:tcPr>
          <w:p w14:paraId="2A4564F2"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3. Tiêu chuẩn chất lượng của hàng hóa</w:t>
            </w:r>
          </w:p>
        </w:tc>
      </w:tr>
      <w:tr w:rsidR="00BE2181" w:rsidRPr="00BE2181" w14:paraId="540F0FDA" w14:textId="77777777" w:rsidTr="002139CB">
        <w:tc>
          <w:tcPr>
            <w:tcW w:w="3164" w:type="dxa"/>
            <w:vMerge w:val="restart"/>
          </w:tcPr>
          <w:p w14:paraId="49B677CA" w14:textId="77777777" w:rsidR="00BE2181" w:rsidRPr="00BE2181" w:rsidRDefault="00BE2181" w:rsidP="002139CB">
            <w:pPr>
              <w:spacing w:before="20" w:after="20"/>
              <w:rPr>
                <w:rFonts w:ascii="Times New Roman" w:hAnsi="Times New Roman"/>
                <w:sz w:val="26"/>
                <w:szCs w:val="26"/>
              </w:rPr>
            </w:pPr>
          </w:p>
        </w:tc>
        <w:tc>
          <w:tcPr>
            <w:tcW w:w="3466" w:type="dxa"/>
          </w:tcPr>
          <w:p w14:paraId="781E6875"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Theo tiêu chuẩn chất lượng của Tổng công ty Giấy Việt Nam, chi tiết cụ thể theo Phần II, Chương V.</w:t>
            </w:r>
          </w:p>
        </w:tc>
        <w:tc>
          <w:tcPr>
            <w:tcW w:w="2884" w:type="dxa"/>
            <w:vAlign w:val="center"/>
          </w:tcPr>
          <w:p w14:paraId="419A35CF"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Đạt</w:t>
            </w:r>
          </w:p>
        </w:tc>
      </w:tr>
      <w:tr w:rsidR="00BE2181" w:rsidRPr="00BE2181" w14:paraId="351BC529" w14:textId="77777777" w:rsidTr="002139CB">
        <w:tc>
          <w:tcPr>
            <w:tcW w:w="3164" w:type="dxa"/>
            <w:vMerge/>
          </w:tcPr>
          <w:p w14:paraId="60E00D3D" w14:textId="77777777" w:rsidR="00BE2181" w:rsidRPr="00BE2181" w:rsidRDefault="00BE2181" w:rsidP="002139CB">
            <w:pPr>
              <w:spacing w:before="20" w:after="20"/>
              <w:rPr>
                <w:rFonts w:ascii="Times New Roman" w:hAnsi="Times New Roman"/>
                <w:sz w:val="26"/>
                <w:szCs w:val="26"/>
              </w:rPr>
            </w:pPr>
          </w:p>
        </w:tc>
        <w:tc>
          <w:tcPr>
            <w:tcW w:w="3466" w:type="dxa"/>
          </w:tcPr>
          <w:p w14:paraId="0E68BE58" w14:textId="77777777" w:rsidR="00BE2181" w:rsidRPr="00BE2181" w:rsidRDefault="00BE2181" w:rsidP="002139CB">
            <w:pPr>
              <w:tabs>
                <w:tab w:val="left" w:pos="1103"/>
              </w:tabs>
              <w:spacing w:before="20" w:after="20"/>
              <w:jc w:val="left"/>
              <w:rPr>
                <w:rFonts w:ascii="Times New Roman" w:hAnsi="Times New Roman"/>
                <w:sz w:val="26"/>
                <w:szCs w:val="26"/>
              </w:rPr>
            </w:pPr>
            <w:r w:rsidRPr="00BE2181">
              <w:rPr>
                <w:rFonts w:ascii="Times New Roman" w:hAnsi="Times New Roman"/>
                <w:sz w:val="26"/>
                <w:szCs w:val="26"/>
              </w:rPr>
              <w:t>Không đáp ứng đầy đủ các chỉ tiêu chất lượng của Tổng công ty Giấy Việt Nam.</w:t>
            </w:r>
          </w:p>
        </w:tc>
        <w:tc>
          <w:tcPr>
            <w:tcW w:w="2884" w:type="dxa"/>
            <w:vAlign w:val="center"/>
          </w:tcPr>
          <w:p w14:paraId="635AFFFF"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Không đạt</w:t>
            </w:r>
          </w:p>
        </w:tc>
      </w:tr>
      <w:tr w:rsidR="00BE2181" w:rsidRPr="00BE2181" w14:paraId="6F0527DB" w14:textId="77777777" w:rsidTr="002139CB">
        <w:tc>
          <w:tcPr>
            <w:tcW w:w="9514" w:type="dxa"/>
            <w:gridSpan w:val="3"/>
          </w:tcPr>
          <w:p w14:paraId="0567827A"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4. Tiến độ thực hiện hợp đồng</w:t>
            </w:r>
          </w:p>
        </w:tc>
      </w:tr>
      <w:tr w:rsidR="00BE2181" w:rsidRPr="00BE2181" w14:paraId="4ADDD39C" w14:textId="77777777" w:rsidTr="002139CB">
        <w:tc>
          <w:tcPr>
            <w:tcW w:w="3164" w:type="dxa"/>
            <w:vMerge w:val="restart"/>
          </w:tcPr>
          <w:p w14:paraId="33D6FCD6" w14:textId="77777777" w:rsidR="00BE2181" w:rsidRPr="00BE2181" w:rsidRDefault="00BE2181" w:rsidP="002139CB">
            <w:pPr>
              <w:spacing w:before="20" w:after="20"/>
              <w:rPr>
                <w:rFonts w:ascii="Times New Roman" w:hAnsi="Times New Roman"/>
                <w:sz w:val="26"/>
                <w:szCs w:val="26"/>
              </w:rPr>
            </w:pPr>
          </w:p>
        </w:tc>
        <w:tc>
          <w:tcPr>
            <w:tcW w:w="3466" w:type="dxa"/>
          </w:tcPr>
          <w:p w14:paraId="59AE7662" w14:textId="77777777" w:rsidR="00BE2181" w:rsidRPr="00BE2181" w:rsidRDefault="00BE2181" w:rsidP="002139CB">
            <w:pPr>
              <w:spacing w:before="20" w:after="20"/>
              <w:ind w:left="-89" w:firstLine="17"/>
              <w:rPr>
                <w:rFonts w:ascii="Times New Roman" w:hAnsi="Times New Roman"/>
                <w:sz w:val="26"/>
                <w:szCs w:val="26"/>
                <w:lang w:val="pt-BR"/>
              </w:rPr>
            </w:pPr>
            <w:r w:rsidRPr="00BE2181">
              <w:rPr>
                <w:rFonts w:ascii="Times New Roman" w:hAnsi="Times New Roman"/>
                <w:sz w:val="26"/>
                <w:szCs w:val="26"/>
              </w:rPr>
              <w:t xml:space="preserve">Thời gian thực hiện hợp đồng ≤ </w:t>
            </w:r>
            <w:r w:rsidRPr="00BE2181">
              <w:rPr>
                <w:rFonts w:ascii="Times New Roman" w:hAnsi="Times New Roman"/>
                <w:color w:val="FF0000"/>
                <w:sz w:val="26"/>
                <w:szCs w:val="26"/>
              </w:rPr>
              <w:t xml:space="preserve">90 ngày </w:t>
            </w:r>
            <w:r w:rsidRPr="00BE2181">
              <w:rPr>
                <w:rFonts w:ascii="Times New Roman" w:hAnsi="Times New Roman"/>
                <w:color w:val="FF0000"/>
                <w:sz w:val="26"/>
                <w:szCs w:val="26"/>
                <w:lang w:val="pt-BR"/>
              </w:rPr>
              <w:t>(kể từ ngày ký hợp đồng, chỉ tính những ngày làm việc, không tính ngày lễ và thứ 7 chủ nhật).</w:t>
            </w:r>
          </w:p>
        </w:tc>
        <w:tc>
          <w:tcPr>
            <w:tcW w:w="2884" w:type="dxa"/>
            <w:vAlign w:val="center"/>
          </w:tcPr>
          <w:p w14:paraId="150062DF"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Đạt</w:t>
            </w:r>
          </w:p>
        </w:tc>
      </w:tr>
      <w:tr w:rsidR="00BE2181" w:rsidRPr="00BE2181" w14:paraId="5A22C353" w14:textId="77777777" w:rsidTr="002139CB">
        <w:tc>
          <w:tcPr>
            <w:tcW w:w="3164" w:type="dxa"/>
            <w:vMerge/>
          </w:tcPr>
          <w:p w14:paraId="3B0BF644" w14:textId="77777777" w:rsidR="00BE2181" w:rsidRPr="00BE2181" w:rsidRDefault="00BE2181" w:rsidP="002139CB">
            <w:pPr>
              <w:spacing w:before="20" w:after="20"/>
              <w:rPr>
                <w:rFonts w:ascii="Times New Roman" w:hAnsi="Times New Roman"/>
                <w:sz w:val="26"/>
                <w:szCs w:val="26"/>
              </w:rPr>
            </w:pPr>
          </w:p>
        </w:tc>
        <w:tc>
          <w:tcPr>
            <w:tcW w:w="3466" w:type="dxa"/>
          </w:tcPr>
          <w:p w14:paraId="54F36C70" w14:textId="77777777" w:rsidR="00BE2181" w:rsidRPr="00BE2181" w:rsidRDefault="00BE2181" w:rsidP="002139CB">
            <w:pPr>
              <w:spacing w:before="20" w:after="20"/>
              <w:ind w:left="48" w:right="-18"/>
              <w:rPr>
                <w:rFonts w:ascii="Times New Roman" w:hAnsi="Times New Roman"/>
                <w:color w:val="FF0000"/>
                <w:sz w:val="26"/>
                <w:szCs w:val="26"/>
                <w:lang w:val="pt-BR"/>
              </w:rPr>
            </w:pPr>
            <w:r w:rsidRPr="00BE2181">
              <w:rPr>
                <w:rFonts w:ascii="Times New Roman" w:hAnsi="Times New Roman"/>
                <w:sz w:val="26"/>
                <w:szCs w:val="26"/>
              </w:rPr>
              <w:t xml:space="preserve">Thời gian thực hiện hợp đồng &gt; </w:t>
            </w:r>
            <w:r w:rsidRPr="00BE2181">
              <w:rPr>
                <w:rFonts w:ascii="Times New Roman" w:hAnsi="Times New Roman"/>
                <w:color w:val="FF0000"/>
                <w:sz w:val="26"/>
                <w:szCs w:val="26"/>
              </w:rPr>
              <w:t xml:space="preserve">90 ngày </w:t>
            </w:r>
            <w:r w:rsidRPr="00BE2181">
              <w:rPr>
                <w:rFonts w:ascii="Times New Roman" w:hAnsi="Times New Roman"/>
                <w:color w:val="FF0000"/>
                <w:sz w:val="26"/>
                <w:szCs w:val="26"/>
                <w:lang w:val="pt-BR"/>
              </w:rPr>
              <w:t>(kể từ ngày ký hợp đồng, chỉ tính những ngày làm việc, không tính ngày lễ và thứ 7 chủ nhật).</w:t>
            </w:r>
          </w:p>
        </w:tc>
        <w:tc>
          <w:tcPr>
            <w:tcW w:w="2884" w:type="dxa"/>
            <w:vAlign w:val="center"/>
          </w:tcPr>
          <w:p w14:paraId="1993E772"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Không đạt</w:t>
            </w:r>
          </w:p>
        </w:tc>
      </w:tr>
      <w:tr w:rsidR="00BE2181" w:rsidRPr="00BE2181" w14:paraId="21A8545E" w14:textId="77777777" w:rsidTr="002139CB">
        <w:tc>
          <w:tcPr>
            <w:tcW w:w="9514" w:type="dxa"/>
            <w:gridSpan w:val="3"/>
          </w:tcPr>
          <w:p w14:paraId="02AC28DD"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5. Uy tín của nhà thầu</w:t>
            </w:r>
          </w:p>
        </w:tc>
      </w:tr>
      <w:tr w:rsidR="00BE2181" w:rsidRPr="00BE2181" w14:paraId="632C5137" w14:textId="77777777" w:rsidTr="002139CB">
        <w:tc>
          <w:tcPr>
            <w:tcW w:w="3164" w:type="dxa"/>
            <w:vMerge w:val="restart"/>
          </w:tcPr>
          <w:p w14:paraId="51B968D3" w14:textId="77777777" w:rsidR="00BE2181" w:rsidRPr="00BE2181" w:rsidRDefault="00BE2181" w:rsidP="002139CB">
            <w:pPr>
              <w:spacing w:before="20" w:after="20"/>
              <w:rPr>
                <w:rFonts w:ascii="Times New Roman" w:hAnsi="Times New Roman"/>
                <w:sz w:val="26"/>
                <w:szCs w:val="26"/>
              </w:rPr>
            </w:pPr>
          </w:p>
        </w:tc>
        <w:tc>
          <w:tcPr>
            <w:tcW w:w="3466" w:type="dxa"/>
          </w:tcPr>
          <w:p w14:paraId="50F74CDB"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Kể từ ngày 01/01/2022 tính đến thời điểm đóng thầu:</w:t>
            </w:r>
          </w:p>
          <w:p w14:paraId="3A4C3E1B"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 Không có hợp đồng tương tự chậm tiến độ hoặc bỏ dở hợp đồng do lỗi của nhà thầu</w:t>
            </w:r>
          </w:p>
          <w:p w14:paraId="19F775C4"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 Không từ chối thương thảo hợp đồng hoặc có quyết định trúng thầu nhưng không tiến hành hoàn thiện, ký kết hợp đồng</w:t>
            </w:r>
          </w:p>
          <w:p w14:paraId="456D9F84" w14:textId="77777777" w:rsidR="00BE2181" w:rsidRPr="00BE2181" w:rsidRDefault="00BE2181" w:rsidP="002139CB">
            <w:pPr>
              <w:spacing w:before="20" w:after="20"/>
              <w:rPr>
                <w:rFonts w:ascii="Times New Roman" w:hAnsi="Times New Roman"/>
                <w:sz w:val="26"/>
                <w:szCs w:val="26"/>
              </w:rPr>
            </w:pPr>
            <w:r w:rsidRPr="00BE2181">
              <w:rPr>
                <w:rFonts w:ascii="Times New Roman" w:hAnsi="Times New Roman"/>
                <w:sz w:val="26"/>
                <w:szCs w:val="26"/>
              </w:rPr>
              <w:t>- Nhà thầu không bị cấm tham gia hoạt động đấu thầu bởi bất kỳ cơ quan hay tổ chức nào theo quy định</w:t>
            </w:r>
          </w:p>
        </w:tc>
        <w:tc>
          <w:tcPr>
            <w:tcW w:w="2884" w:type="dxa"/>
            <w:vAlign w:val="center"/>
          </w:tcPr>
          <w:p w14:paraId="198D7774"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t>Đạt</w:t>
            </w:r>
          </w:p>
        </w:tc>
      </w:tr>
      <w:tr w:rsidR="00BE2181" w:rsidRPr="00BE2181" w14:paraId="1EF0F3C1" w14:textId="77777777" w:rsidTr="002139CB">
        <w:tc>
          <w:tcPr>
            <w:tcW w:w="3164" w:type="dxa"/>
            <w:vMerge/>
          </w:tcPr>
          <w:p w14:paraId="36348E09" w14:textId="77777777" w:rsidR="00BE2181" w:rsidRPr="00BE2181" w:rsidRDefault="00BE2181" w:rsidP="002139CB">
            <w:pPr>
              <w:spacing w:before="20" w:after="20"/>
              <w:rPr>
                <w:rFonts w:ascii="Times New Roman" w:hAnsi="Times New Roman"/>
                <w:sz w:val="26"/>
                <w:szCs w:val="26"/>
              </w:rPr>
            </w:pPr>
          </w:p>
        </w:tc>
        <w:tc>
          <w:tcPr>
            <w:tcW w:w="3466" w:type="dxa"/>
          </w:tcPr>
          <w:p w14:paraId="1939CE0E" w14:textId="77777777" w:rsidR="00BE2181" w:rsidRPr="00BE2181" w:rsidRDefault="00BE2181" w:rsidP="002139CB">
            <w:pPr>
              <w:spacing w:before="20" w:after="20"/>
              <w:ind w:left="48"/>
              <w:rPr>
                <w:rFonts w:ascii="Times New Roman" w:hAnsi="Times New Roman"/>
                <w:color w:val="FF0000"/>
                <w:sz w:val="26"/>
                <w:szCs w:val="26"/>
              </w:rPr>
            </w:pPr>
            <w:r w:rsidRPr="00BE2181">
              <w:rPr>
                <w:rFonts w:ascii="Times New Roman" w:hAnsi="Times New Roman"/>
                <w:color w:val="FF0000"/>
                <w:sz w:val="26"/>
                <w:szCs w:val="26"/>
              </w:rPr>
              <w:t xml:space="preserve">Kể từ ngày 01/01/2022 tính đến thời điểm đóng thầu: </w:t>
            </w:r>
          </w:p>
          <w:p w14:paraId="59A2C04F" w14:textId="77777777" w:rsidR="00BE2181" w:rsidRPr="00BE2181" w:rsidRDefault="00BE2181" w:rsidP="00BE2181">
            <w:pPr>
              <w:numPr>
                <w:ilvl w:val="0"/>
                <w:numId w:val="1"/>
              </w:numPr>
              <w:spacing w:before="20" w:after="20"/>
              <w:ind w:left="48" w:hanging="360"/>
              <w:rPr>
                <w:rFonts w:ascii="Times New Roman" w:hAnsi="Times New Roman"/>
                <w:color w:val="FF0000"/>
                <w:sz w:val="26"/>
                <w:szCs w:val="26"/>
              </w:rPr>
            </w:pPr>
            <w:r w:rsidRPr="00BE2181">
              <w:rPr>
                <w:rFonts w:ascii="Times New Roman" w:hAnsi="Times New Roman"/>
                <w:sz w:val="26"/>
                <w:szCs w:val="26"/>
              </w:rPr>
              <w:t>- Có hợp đồng tương tự chậm tiến độ hoặc bỏ dở hợp đồng do lỗi của nhà thầu.</w:t>
            </w:r>
          </w:p>
          <w:p w14:paraId="53B86CA4" w14:textId="77777777" w:rsidR="00BE2181" w:rsidRPr="00BE2181" w:rsidRDefault="00BE2181" w:rsidP="00BE2181">
            <w:pPr>
              <w:numPr>
                <w:ilvl w:val="0"/>
                <w:numId w:val="1"/>
              </w:numPr>
              <w:spacing w:before="20" w:after="20"/>
              <w:ind w:left="48" w:hanging="360"/>
              <w:rPr>
                <w:rFonts w:ascii="Times New Roman" w:hAnsi="Times New Roman"/>
                <w:color w:val="FF0000"/>
                <w:sz w:val="26"/>
                <w:szCs w:val="26"/>
              </w:rPr>
            </w:pPr>
            <w:r w:rsidRPr="00BE2181">
              <w:rPr>
                <w:rFonts w:ascii="Times New Roman" w:hAnsi="Times New Roman"/>
                <w:color w:val="FF0000"/>
                <w:sz w:val="26"/>
                <w:szCs w:val="26"/>
              </w:rPr>
              <w:lastRenderedPageBreak/>
              <w:t xml:space="preserve">- Nhà thầu có gói thầu tham dự nhưng không tiến hành thương thảo hợp đồng theo yêu cầu bên mời thầu hoặc: </w:t>
            </w:r>
          </w:p>
          <w:p w14:paraId="652CB687" w14:textId="77777777" w:rsidR="00BE2181" w:rsidRPr="00BE2181" w:rsidRDefault="00BE2181" w:rsidP="002139CB">
            <w:pPr>
              <w:spacing w:before="20" w:after="20"/>
              <w:ind w:left="48"/>
              <w:rPr>
                <w:rFonts w:ascii="Times New Roman" w:hAnsi="Times New Roman"/>
                <w:sz w:val="26"/>
                <w:szCs w:val="26"/>
              </w:rPr>
            </w:pPr>
            <w:r w:rsidRPr="00BE2181">
              <w:rPr>
                <w:rFonts w:ascii="Times New Roman" w:hAnsi="Times New Roman"/>
                <w:color w:val="FF0000"/>
                <w:sz w:val="26"/>
                <w:szCs w:val="26"/>
              </w:rPr>
              <w:t>Nhà thầu có gói thầu tham dự có quyết định trúng thầu nhưng không tiến hành  hoàn thiện, ký kết hợp đồng.</w:t>
            </w:r>
          </w:p>
        </w:tc>
        <w:tc>
          <w:tcPr>
            <w:tcW w:w="2884" w:type="dxa"/>
            <w:vAlign w:val="center"/>
          </w:tcPr>
          <w:p w14:paraId="7F6348E8" w14:textId="77777777" w:rsidR="00BE2181" w:rsidRPr="00BE2181" w:rsidRDefault="00BE2181" w:rsidP="002139CB">
            <w:pPr>
              <w:spacing w:before="20" w:after="20"/>
              <w:jc w:val="center"/>
              <w:rPr>
                <w:rFonts w:ascii="Times New Roman" w:hAnsi="Times New Roman"/>
                <w:b/>
                <w:sz w:val="26"/>
                <w:szCs w:val="26"/>
              </w:rPr>
            </w:pPr>
            <w:r w:rsidRPr="00BE2181">
              <w:rPr>
                <w:rFonts w:ascii="Times New Roman" w:hAnsi="Times New Roman"/>
                <w:b/>
                <w:sz w:val="26"/>
                <w:szCs w:val="26"/>
              </w:rPr>
              <w:lastRenderedPageBreak/>
              <w:t>Không đạt</w:t>
            </w:r>
          </w:p>
        </w:tc>
      </w:tr>
      <w:tr w:rsidR="00BE2181" w:rsidRPr="00BE2181" w14:paraId="24C7E5A1" w14:textId="77777777" w:rsidTr="002139CB">
        <w:trPr>
          <w:trHeight w:val="654"/>
        </w:trPr>
        <w:tc>
          <w:tcPr>
            <w:tcW w:w="9514" w:type="dxa"/>
            <w:gridSpan w:val="3"/>
          </w:tcPr>
          <w:p w14:paraId="1CC3F62D" w14:textId="77777777" w:rsidR="00BE2181" w:rsidRPr="00BE2181" w:rsidRDefault="00BE2181" w:rsidP="002139CB">
            <w:pPr>
              <w:spacing w:before="20" w:after="20"/>
              <w:ind w:left="57" w:right="57"/>
              <w:rPr>
                <w:rFonts w:ascii="Times New Roman" w:hAnsi="Times New Roman"/>
                <w:b/>
                <w:sz w:val="26"/>
                <w:szCs w:val="26"/>
                <w:lang w:val="es-ES"/>
              </w:rPr>
            </w:pPr>
            <w:r w:rsidRPr="00BE2181">
              <w:rPr>
                <w:rFonts w:ascii="Times New Roman" w:hAnsi="Times New Roman"/>
                <w:b/>
                <w:sz w:val="26"/>
                <w:szCs w:val="26"/>
                <w:lang w:val="es-ES"/>
              </w:rPr>
              <w:t xml:space="preserve">Kết luận: </w:t>
            </w:r>
            <w:r w:rsidRPr="00BE2181">
              <w:rPr>
                <w:rFonts w:ascii="Times New Roman" w:hAnsi="Times New Roman"/>
                <w:bCs/>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bookmarkEnd w:id="0"/>
    </w:tbl>
    <w:p w14:paraId="207D9577" w14:textId="77777777" w:rsidR="00C63223" w:rsidRPr="00BE2181" w:rsidRDefault="00C63223"/>
    <w:sectPr w:rsidR="00C63223" w:rsidRPr="00BE21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CF60" w14:textId="77777777" w:rsidR="00AC15D8" w:rsidRDefault="00AC15D8" w:rsidP="00BE2181">
      <w:r>
        <w:separator/>
      </w:r>
    </w:p>
  </w:endnote>
  <w:endnote w:type="continuationSeparator" w:id="0">
    <w:p w14:paraId="3F6C3400" w14:textId="77777777" w:rsidR="00AC15D8" w:rsidRDefault="00AC15D8" w:rsidP="00BE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87CA" w14:textId="77777777" w:rsidR="00AC15D8" w:rsidRDefault="00AC15D8" w:rsidP="00BE2181">
      <w:r>
        <w:separator/>
      </w:r>
    </w:p>
  </w:footnote>
  <w:footnote w:type="continuationSeparator" w:id="0">
    <w:p w14:paraId="1B5AF778" w14:textId="77777777" w:rsidR="00AC15D8" w:rsidRDefault="00AC15D8" w:rsidP="00BE2181">
      <w:r>
        <w:continuationSeparator/>
      </w:r>
    </w:p>
  </w:footnote>
  <w:footnote w:id="1">
    <w:p w14:paraId="23C11DB1" w14:textId="77777777" w:rsidR="00BE2181" w:rsidRPr="006C70C3" w:rsidRDefault="00BE2181" w:rsidP="00BE2181">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429CDEBA" w14:textId="77777777" w:rsidR="00BE2181" w:rsidRPr="006C70C3" w:rsidRDefault="00BE2181" w:rsidP="00BE218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72A43"/>
    <w:multiLevelType w:val="hybridMultilevel"/>
    <w:tmpl w:val="24505914"/>
    <w:lvl w:ilvl="0" w:tplc="D814361A">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CCE09A">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6C078">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ACC18">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8A78">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6AB74">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D15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822">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C96B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5270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81"/>
    <w:rsid w:val="002C12C5"/>
    <w:rsid w:val="006A6C76"/>
    <w:rsid w:val="00AC15D8"/>
    <w:rsid w:val="00B5064B"/>
    <w:rsid w:val="00BE2181"/>
    <w:rsid w:val="00C6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92F6"/>
  <w15:chartTrackingRefBased/>
  <w15:docId w15:val="{90428543-0E59-444D-BD70-FB56BCF5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8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E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1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1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21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21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1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1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1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1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1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21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21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1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1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1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1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1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181"/>
    <w:pPr>
      <w:spacing w:before="160"/>
      <w:jc w:val="center"/>
    </w:pPr>
    <w:rPr>
      <w:i/>
      <w:iCs/>
      <w:color w:val="404040" w:themeColor="text1" w:themeTint="BF"/>
    </w:rPr>
  </w:style>
  <w:style w:type="character" w:customStyle="1" w:styleId="QuoteChar">
    <w:name w:val="Quote Char"/>
    <w:basedOn w:val="DefaultParagraphFont"/>
    <w:link w:val="Quote"/>
    <w:uiPriority w:val="29"/>
    <w:rsid w:val="00BE2181"/>
    <w:rPr>
      <w:i/>
      <w:iCs/>
      <w:color w:val="404040" w:themeColor="text1" w:themeTint="BF"/>
    </w:rPr>
  </w:style>
  <w:style w:type="paragraph" w:styleId="ListParagraph">
    <w:name w:val="List Paragraph"/>
    <w:basedOn w:val="Normal"/>
    <w:uiPriority w:val="34"/>
    <w:qFormat/>
    <w:rsid w:val="00BE2181"/>
    <w:pPr>
      <w:ind w:left="720"/>
      <w:contextualSpacing/>
    </w:pPr>
  </w:style>
  <w:style w:type="character" w:styleId="IntenseEmphasis">
    <w:name w:val="Intense Emphasis"/>
    <w:basedOn w:val="DefaultParagraphFont"/>
    <w:uiPriority w:val="21"/>
    <w:qFormat/>
    <w:rsid w:val="00BE2181"/>
    <w:rPr>
      <w:i/>
      <w:iCs/>
      <w:color w:val="0F4761" w:themeColor="accent1" w:themeShade="BF"/>
    </w:rPr>
  </w:style>
  <w:style w:type="paragraph" w:styleId="IntenseQuote">
    <w:name w:val="Intense Quote"/>
    <w:basedOn w:val="Normal"/>
    <w:next w:val="Normal"/>
    <w:link w:val="IntenseQuoteChar"/>
    <w:uiPriority w:val="30"/>
    <w:qFormat/>
    <w:rsid w:val="00BE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181"/>
    <w:rPr>
      <w:i/>
      <w:iCs/>
      <w:color w:val="0F4761" w:themeColor="accent1" w:themeShade="BF"/>
    </w:rPr>
  </w:style>
  <w:style w:type="character" w:styleId="IntenseReference">
    <w:name w:val="Intense Reference"/>
    <w:basedOn w:val="DefaultParagraphFont"/>
    <w:uiPriority w:val="32"/>
    <w:qFormat/>
    <w:rsid w:val="00BE2181"/>
    <w:rPr>
      <w:b/>
      <w:bCs/>
      <w:smallCaps/>
      <w:color w:val="0F4761" w:themeColor="accent1" w:themeShade="BF"/>
      <w:spacing w:val="5"/>
    </w:rPr>
  </w:style>
  <w:style w:type="paragraph" w:styleId="TOC1">
    <w:name w:val="toc 1"/>
    <w:basedOn w:val="Normal"/>
    <w:next w:val="Normal"/>
    <w:autoRedefine/>
    <w:uiPriority w:val="39"/>
    <w:qFormat/>
    <w:rsid w:val="00BE218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E2181"/>
    <w:pPr>
      <w:tabs>
        <w:tab w:val="left" w:pos="360"/>
      </w:tabs>
      <w:ind w:left="360" w:hanging="360"/>
    </w:pPr>
    <w:rPr>
      <w:sz w:val="20"/>
    </w:rPr>
  </w:style>
  <w:style w:type="character" w:customStyle="1" w:styleId="FootnoteTextChar">
    <w:name w:val="Footnote Text Char"/>
    <w:basedOn w:val="DefaultParagraphFont"/>
    <w:link w:val="FootnoteText"/>
    <w:rsid w:val="00BE2181"/>
    <w:rPr>
      <w:rFonts w:eastAsia="Times New Roman" w:cs="Times New Roman"/>
      <w:kern w:val="0"/>
      <w:sz w:val="20"/>
      <w:szCs w:val="20"/>
      <w14:ligatures w14:val="none"/>
    </w:rPr>
  </w:style>
  <w:style w:type="character" w:styleId="FootnoteReference">
    <w:name w:val="footnote reference"/>
    <w:aliases w:val="callout"/>
    <w:uiPriority w:val="99"/>
    <w:rsid w:val="00BE2181"/>
    <w:rPr>
      <w:vertAlign w:val="superscript"/>
    </w:rPr>
  </w:style>
  <w:style w:type="table" w:styleId="TableGrid">
    <w:name w:val="Table Grid"/>
    <w:basedOn w:val="TableNormal"/>
    <w:uiPriority w:val="59"/>
    <w:rsid w:val="00BE218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PHUONGVTNL</dc:creator>
  <cp:keywords/>
  <dc:description/>
  <cp:lastModifiedBy>PHUONGVTNL</cp:lastModifiedBy>
  <cp:revision>1</cp:revision>
  <dcterms:created xsi:type="dcterms:W3CDTF">2026-01-31T08:05:00Z</dcterms:created>
  <dcterms:modified xsi:type="dcterms:W3CDTF">2026-01-31T08:05:00Z</dcterms:modified>
</cp:coreProperties>
</file>