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4631FB7C"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30588E" w:rsidRPr="0030588E">
        <w:rPr>
          <w:color w:val="000000"/>
          <w:sz w:val="28"/>
          <w:szCs w:val="28"/>
          <w:lang w:val="es-PE"/>
        </w:rPr>
        <w:t>Cải tạo, nâng cấp tuyến đường xóm 6A xã Định Hóa</w:t>
      </w:r>
      <w:r>
        <w:rPr>
          <w:color w:val="000000"/>
          <w:sz w:val="28"/>
          <w:szCs w:val="28"/>
          <w:lang w:val="es-PE"/>
        </w:rPr>
        <w:t>.</w:t>
      </w:r>
    </w:p>
    <w:p w14:paraId="69CB1A4C" w14:textId="21B063E3"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A46933">
        <w:rPr>
          <w:color w:val="000000"/>
          <w:sz w:val="28"/>
          <w:szCs w:val="28"/>
          <w:lang w:val="es-PE"/>
        </w:rPr>
        <w:t xml:space="preserve">Xã </w:t>
      </w:r>
      <w:r w:rsidR="0030588E">
        <w:rPr>
          <w:color w:val="000000"/>
          <w:sz w:val="28"/>
          <w:szCs w:val="28"/>
          <w:lang w:val="es-PE"/>
        </w:rPr>
        <w:t>Định Hóa</w:t>
      </w:r>
      <w:r w:rsidR="00062DD1">
        <w:rPr>
          <w:color w:val="000000"/>
          <w:sz w:val="28"/>
          <w:szCs w:val="28"/>
          <w:lang w:val="es-PE"/>
        </w:rPr>
        <w:t>, tỉnh Ninh Bình</w:t>
      </w:r>
      <w:r>
        <w:rPr>
          <w:color w:val="000000"/>
          <w:sz w:val="28"/>
          <w:szCs w:val="28"/>
          <w:lang w:val="es-PE"/>
        </w:rPr>
        <w:t>.</w:t>
      </w:r>
    </w:p>
    <w:p w14:paraId="69CB1A4D" w14:textId="79040A6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2B6694" w:rsidRPr="002B6694">
        <w:rPr>
          <w:color w:val="000000"/>
          <w:sz w:val="28"/>
          <w:szCs w:val="28"/>
          <w:lang w:val="es-PE"/>
        </w:rPr>
        <w:t xml:space="preserve">UBND </w:t>
      </w:r>
      <w:r w:rsidR="00A46933">
        <w:rPr>
          <w:color w:val="000000"/>
          <w:sz w:val="28"/>
          <w:szCs w:val="28"/>
          <w:lang w:val="es-PE"/>
        </w:rPr>
        <w:t xml:space="preserve">xã </w:t>
      </w:r>
      <w:r w:rsidR="0030588E">
        <w:rPr>
          <w:color w:val="000000"/>
          <w:sz w:val="28"/>
          <w:szCs w:val="28"/>
          <w:lang w:val="es-PE"/>
        </w:rPr>
        <w:t>Định Hóa</w:t>
      </w:r>
      <w:r>
        <w:rPr>
          <w:color w:val="000000"/>
          <w:sz w:val="28"/>
          <w:szCs w:val="28"/>
          <w:lang w:val="es-PE"/>
        </w:rPr>
        <w:t>.</w:t>
      </w:r>
    </w:p>
    <w:p w14:paraId="69CB1A4E" w14:textId="74BA09BC"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30588E">
        <w:rPr>
          <w:color w:val="000000"/>
          <w:sz w:val="28"/>
          <w:szCs w:val="28"/>
          <w:lang w:val="es-PE"/>
        </w:rPr>
        <w:t>10</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0E49196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Quy mô công trình</w:t>
      </w:r>
    </w:p>
    <w:p w14:paraId="2560B7F3"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Cải tạo, nâng cấp tuyến đường xóm 6A xã Định Hóa với tổng chiều dài 1.010,5m, trong đó:</w:t>
      </w:r>
    </w:p>
    <w:p w14:paraId="0A7DA0D9"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Điểm đầu tại Km0+000 giao với dự án: Xây dựng mở rộng tuyến đường trục xã WB2 từ ngã tư chợ Kim Tân đến xóm 6A xã Định Hóa (Kim Tân cũ).</w:t>
      </w:r>
    </w:p>
    <w:p w14:paraId="109067D2"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Điểm cuối tại Km1+143,00 giao với tuyến đường xóm.</w:t>
      </w:r>
    </w:p>
    <w:p w14:paraId="0EEBA59B"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Kết cấu mặt đường: Mặt đường bê tông xi măng.</w:t>
      </w:r>
    </w:p>
    <w:p w14:paraId="013CD54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Xây dựng kè chắn đứng bằng đá hộc xây.</w:t>
      </w:r>
    </w:p>
    <w:p w14:paraId="15CE871E"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Các hạng mục khác:</w:t>
      </w:r>
    </w:p>
    <w:p w14:paraId="2F225594"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Hệ thống vuốt nối, an toàn giao thông.</w:t>
      </w:r>
    </w:p>
    <w:p w14:paraId="5339DF4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Hoàn trả các công trình trên tuyến.</w:t>
      </w:r>
    </w:p>
    <w:p w14:paraId="6E377414"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Các giải pháp và kết quả thiết kế</w:t>
      </w:r>
    </w:p>
    <w:p w14:paraId="606D1E25"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a. Hướng tuyến</w:t>
      </w:r>
    </w:p>
    <w:p w14:paraId="552A6D72"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Phù hợp với Quy hoạch nông thôn mới xã Định Hóa, hướng tuyến bám theo tuyến hiện trạng, 1 số đoạn vào vườn nhà dân cần giải phóng mặt bằng.</w:t>
      </w:r>
    </w:p>
    <w:p w14:paraId="57B59FDB"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b. Thiết kế bình đồ</w:t>
      </w:r>
    </w:p>
    <w:p w14:paraId="6DC26E8C"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b.1. Nguyên tắc thiết kế</w:t>
      </w:r>
    </w:p>
    <w:p w14:paraId="5717D077"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Tim tuyến được xác định trên cơ sở tim tuyến hiện trạng. Bình đồ tim tuyến được thiết kế tuân thủ các điểm khống chế, đảm bảo quy mô tiêu chuẩn, giảm thiểu khối lượng đào đắp và công trình, đồng thời hạn chế khối lượng giải phóng mặt bằng, nhất là các công trình liên quan đến văn hóa, tôn giáo, tâm linh,… Ngoài ra bình đồ tuyến còn được thiết kế phối hợp với các yếu tố cắt dọc, cắt ngang, hài hoà với cảnh quan dọc hai bên tuyến, hạn chế tác động tiêu cực đến môi trường, liên kết thuận tiện với mạng lưới giao thông trong khu vực.</w:t>
      </w:r>
    </w:p>
    <w:p w14:paraId="47A55CBE"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b.2. Giải pháp thiết kế</w:t>
      </w:r>
    </w:p>
    <w:p w14:paraId="2DE3B400"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lastRenderedPageBreak/>
        <w:t>Trong phạm vi bình đồ thiết kế, các đường cong nằm đều được thiết kế là các đường cong tròn có bán kính tuân thủ theo tiêu chuẩn thiết kế của tuyến đường, châm chước một số vị trí có bán kính cong nhỏ hơn tiêu chuẩn do tuyến đi theo hiện trạng và hạn chế giải phóng mặt bằng.</w:t>
      </w:r>
    </w:p>
    <w:p w14:paraId="137D28B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Bình đồ tuyến được thiết kế phối hợp hài hoà giữa các yếu tố bình đồ và cắt dọc tuyến đường tạo nên một tuyến đường có hình học đều đặn, êm thuận, không bị bóp méo hay gãy khúc, không có những thay đổi đột ngột. </w:t>
      </w:r>
    </w:p>
    <w:p w14:paraId="438F973F"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c. Thiết kế cắt dọc</w:t>
      </w:r>
    </w:p>
    <w:p w14:paraId="76AA3083"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c.1. Nguyên tắc thiết kế</w:t>
      </w:r>
    </w:p>
    <w:p w14:paraId="7A140F9E"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Căn cứ vào kết quả khảo sát, điều tra, tính toán về địa hình, thủy văn dọc tuyến, kết quả làm việc thống nhất với địa phương và cơ quan quản lý thủy lợi về khẩu độ và các vị trí đặt cống, cao độ đường đỏ được nghiên cứu dựa trên những điểm khống chế cơ bản sau:</w:t>
      </w:r>
    </w:p>
    <w:p w14:paraId="6EA80E51"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Hệ cao độ sử dụng là hệ cao độ quốc gia (hệ cao độ Hòn Dấu).</w:t>
      </w:r>
    </w:p>
    <w:p w14:paraId="403A253F"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Các vị trí xây dựng công trình thoát nước thì cao độ thiết kế khống chế theo cao độ công trình.</w:t>
      </w:r>
    </w:p>
    <w:p w14:paraId="11B3CA6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Phối hợp với bình đồ để tạo ra một tuyến đường hài hòa, êm thuận.</w:t>
      </w:r>
    </w:p>
    <w:p w14:paraId="396906E5"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Phối hợp với không gian xung quanh, không phá vỡ cảnh quan môi trường.</w:t>
      </w:r>
    </w:p>
    <w:p w14:paraId="0D3A567C"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Cao độ thiết kế được lấy tại tim đường.</w:t>
      </w:r>
    </w:p>
    <w:p w14:paraId="12149DF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Cao độ thiết kế của các tuyến đường được khống chế theo các điều kiện sau:</w:t>
      </w:r>
    </w:p>
    <w:p w14:paraId="3BFD4BE0"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Theo chiều cao kết cấu công trình: Đối với các công trình trên tuyến: bố trí công trình trên nguyên tắc hạ thấp tối đa trắc dọc đường.</w:t>
      </w:r>
    </w:p>
    <w:p w14:paraId="7F5491DC"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Các điểm khống chế chủ yếu trên cắt dọc:</w:t>
      </w:r>
    </w:p>
    <w:p w14:paraId="6A6C9BAE"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Cao độ hiện trạng tại vị trí đầu tuyến: +1,30m (TV-1).</w:t>
      </w:r>
    </w:p>
    <w:p w14:paraId="639D5EA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Cao độ hiện trạng tại vị trí cuối tuyến: +1,38m (TV-9).</w:t>
      </w:r>
    </w:p>
    <w:p w14:paraId="274594A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 Cao độ thiết kế trên cơ sở cao độ tuyến đường hiện trạng. </w:t>
      </w:r>
    </w:p>
    <w:p w14:paraId="33646591"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c.2. Kết quả thiết kế</w:t>
      </w:r>
    </w:p>
    <w:p w14:paraId="2D994D89"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Trắc dọc đường đỏ ngoài việc đảm bảo các vị trí khống chế như trên, còn phải được thiết kế phù hợp các quy đinh về các yếu tố hình học khác như: bán kính đường cong đứng, độ dốc dọc, chiều dài dốc dọc... </w:t>
      </w:r>
    </w:p>
    <w:p w14:paraId="6D403CC9"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Kết quả thiết kế cắt dọc như sau:</w:t>
      </w:r>
    </w:p>
    <w:p w14:paraId="5468D7D1" w14:textId="77777777" w:rsidR="0030588E" w:rsidRPr="0030588E" w:rsidRDefault="0030588E" w:rsidP="0030588E">
      <w:pPr>
        <w:widowControl w:val="0"/>
        <w:spacing w:beforeLines="24" w:before="57" w:afterLines="24" w:after="57" w:line="288" w:lineRule="auto"/>
        <w:ind w:firstLine="567"/>
        <w:jc w:val="center"/>
        <w:rPr>
          <w:b/>
          <w:bCs/>
          <w:color w:val="000000"/>
          <w:sz w:val="28"/>
          <w:szCs w:val="28"/>
          <w:lang w:val="pt-BR"/>
        </w:rPr>
      </w:pPr>
      <w:r w:rsidRPr="0030588E">
        <w:rPr>
          <w:b/>
          <w:bCs/>
          <w:color w:val="000000"/>
          <w:sz w:val="28"/>
          <w:szCs w:val="28"/>
          <w:lang w:val="pt-BR"/>
        </w:rPr>
        <w:t>Bảng tổng hợp kết quả thiết kế cắt dọc tuyến</w:t>
      </w:r>
    </w:p>
    <w:tbl>
      <w:tblPr>
        <w:tblW w:w="4571"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074"/>
        <w:gridCol w:w="1068"/>
        <w:gridCol w:w="1338"/>
        <w:gridCol w:w="1201"/>
      </w:tblGrid>
      <w:tr w:rsidR="0030588E" w:rsidRPr="004A6F5C" w14:paraId="0EAC0B61" w14:textId="77777777" w:rsidTr="005169A9">
        <w:trPr>
          <w:trHeight w:val="425"/>
        </w:trPr>
        <w:tc>
          <w:tcPr>
            <w:tcW w:w="477" w:type="pct"/>
            <w:vAlign w:val="center"/>
            <w:hideMark/>
          </w:tcPr>
          <w:p w14:paraId="140658FA" w14:textId="77777777" w:rsidR="0030588E" w:rsidRPr="004A6F5C" w:rsidRDefault="0030588E" w:rsidP="005169A9">
            <w:pPr>
              <w:spacing w:before="60" w:line="276" w:lineRule="auto"/>
              <w:jc w:val="center"/>
              <w:rPr>
                <w:b/>
                <w:bCs/>
                <w:color w:val="000000"/>
              </w:rPr>
            </w:pPr>
            <w:bookmarkStart w:id="0" w:name="_Hlk107404066"/>
            <w:r w:rsidRPr="004A6F5C">
              <w:rPr>
                <w:b/>
                <w:bCs/>
                <w:color w:val="000000"/>
              </w:rPr>
              <w:lastRenderedPageBreak/>
              <w:t>TT</w:t>
            </w:r>
          </w:p>
        </w:tc>
        <w:tc>
          <w:tcPr>
            <w:tcW w:w="2399" w:type="pct"/>
            <w:vAlign w:val="center"/>
            <w:hideMark/>
          </w:tcPr>
          <w:p w14:paraId="52902238" w14:textId="77777777" w:rsidR="0030588E" w:rsidRPr="004A6F5C" w:rsidRDefault="0030588E" w:rsidP="005169A9">
            <w:pPr>
              <w:spacing w:before="60" w:line="276" w:lineRule="auto"/>
              <w:jc w:val="center"/>
              <w:rPr>
                <w:b/>
                <w:bCs/>
                <w:color w:val="000000"/>
              </w:rPr>
            </w:pPr>
            <w:r w:rsidRPr="004A6F5C">
              <w:rPr>
                <w:b/>
                <w:bCs/>
                <w:color w:val="000000"/>
              </w:rPr>
              <w:t>Các yếu tố dốc dọc</w:t>
            </w:r>
          </w:p>
        </w:tc>
        <w:tc>
          <w:tcPr>
            <w:tcW w:w="629" w:type="pct"/>
            <w:vAlign w:val="center"/>
          </w:tcPr>
          <w:p w14:paraId="7E7DAF68" w14:textId="77777777" w:rsidR="0030588E" w:rsidRPr="004A6F5C" w:rsidRDefault="0030588E" w:rsidP="005169A9">
            <w:pPr>
              <w:spacing w:before="60" w:line="276" w:lineRule="auto"/>
              <w:jc w:val="center"/>
              <w:rPr>
                <w:b/>
                <w:bCs/>
                <w:color w:val="000000"/>
              </w:rPr>
            </w:pPr>
            <w:r w:rsidRPr="004A6F5C">
              <w:rPr>
                <w:b/>
                <w:bCs/>
                <w:color w:val="000000"/>
              </w:rPr>
              <w:t>Đơn vị</w:t>
            </w:r>
          </w:p>
        </w:tc>
        <w:tc>
          <w:tcPr>
            <w:tcW w:w="788" w:type="pct"/>
            <w:vAlign w:val="center"/>
            <w:hideMark/>
          </w:tcPr>
          <w:p w14:paraId="36BF2CA8" w14:textId="77777777" w:rsidR="0030588E" w:rsidRPr="004A6F5C" w:rsidRDefault="0030588E" w:rsidP="005169A9">
            <w:pPr>
              <w:spacing w:before="60" w:line="276" w:lineRule="auto"/>
              <w:jc w:val="center"/>
              <w:rPr>
                <w:b/>
                <w:bCs/>
                <w:color w:val="000000"/>
              </w:rPr>
            </w:pPr>
            <w:r w:rsidRPr="004A6F5C">
              <w:rPr>
                <w:b/>
                <w:bCs/>
                <w:color w:val="000000"/>
              </w:rPr>
              <w:t>Chiều dài</w:t>
            </w:r>
          </w:p>
        </w:tc>
        <w:tc>
          <w:tcPr>
            <w:tcW w:w="707" w:type="pct"/>
            <w:vAlign w:val="center"/>
          </w:tcPr>
          <w:p w14:paraId="5F20F6E1" w14:textId="77777777" w:rsidR="0030588E" w:rsidRPr="004A6F5C" w:rsidRDefault="0030588E" w:rsidP="005169A9">
            <w:pPr>
              <w:spacing w:before="60" w:line="276" w:lineRule="auto"/>
              <w:jc w:val="center"/>
              <w:rPr>
                <w:b/>
                <w:bCs/>
                <w:color w:val="000000"/>
              </w:rPr>
            </w:pPr>
            <w:r w:rsidRPr="004A6F5C">
              <w:rPr>
                <w:b/>
                <w:bCs/>
                <w:color w:val="000000"/>
              </w:rPr>
              <w:t>Tỉ lệ</w:t>
            </w:r>
          </w:p>
        </w:tc>
      </w:tr>
      <w:tr w:rsidR="0030588E" w:rsidRPr="004A6F5C" w14:paraId="143C2715" w14:textId="77777777" w:rsidTr="005169A9">
        <w:trPr>
          <w:trHeight w:val="355"/>
        </w:trPr>
        <w:tc>
          <w:tcPr>
            <w:tcW w:w="477" w:type="pct"/>
            <w:vAlign w:val="center"/>
          </w:tcPr>
          <w:p w14:paraId="793D4274" w14:textId="77777777" w:rsidR="0030588E" w:rsidRPr="004A6F5C" w:rsidRDefault="0030588E" w:rsidP="005169A9">
            <w:pPr>
              <w:spacing w:before="60" w:line="276" w:lineRule="auto"/>
              <w:jc w:val="center"/>
              <w:rPr>
                <w:color w:val="000000"/>
              </w:rPr>
            </w:pPr>
            <w:r w:rsidRPr="004A6F5C">
              <w:rPr>
                <w:color w:val="000000"/>
              </w:rPr>
              <w:t>1</w:t>
            </w:r>
          </w:p>
        </w:tc>
        <w:tc>
          <w:tcPr>
            <w:tcW w:w="2399" w:type="pct"/>
            <w:vAlign w:val="center"/>
          </w:tcPr>
          <w:p w14:paraId="3E2B6183" w14:textId="77777777" w:rsidR="0030588E" w:rsidRPr="004A6F5C" w:rsidRDefault="0030588E" w:rsidP="005169A9">
            <w:pPr>
              <w:spacing w:before="60" w:line="276" w:lineRule="auto"/>
              <w:jc w:val="center"/>
              <w:rPr>
                <w:color w:val="000000"/>
              </w:rPr>
            </w:pPr>
            <w:r w:rsidRPr="004A6F5C">
              <w:rPr>
                <w:color w:val="000000"/>
              </w:rPr>
              <w:t>0 &lt;= i &lt; 1</w:t>
            </w:r>
          </w:p>
        </w:tc>
        <w:tc>
          <w:tcPr>
            <w:tcW w:w="629" w:type="pct"/>
            <w:vAlign w:val="center"/>
          </w:tcPr>
          <w:p w14:paraId="2148C4B8" w14:textId="77777777" w:rsidR="0030588E" w:rsidRPr="004A6F5C" w:rsidRDefault="0030588E" w:rsidP="005169A9">
            <w:pPr>
              <w:spacing w:before="60" w:line="276" w:lineRule="auto"/>
              <w:jc w:val="center"/>
              <w:rPr>
                <w:color w:val="000000"/>
              </w:rPr>
            </w:pPr>
            <w:r w:rsidRPr="004A6F5C">
              <w:rPr>
                <w:color w:val="000000"/>
              </w:rPr>
              <w:t>m</w:t>
            </w:r>
          </w:p>
        </w:tc>
        <w:tc>
          <w:tcPr>
            <w:tcW w:w="788" w:type="pct"/>
            <w:vAlign w:val="center"/>
          </w:tcPr>
          <w:p w14:paraId="7FAF906B" w14:textId="77777777" w:rsidR="0030588E" w:rsidRPr="004A6F5C" w:rsidRDefault="0030588E" w:rsidP="005169A9">
            <w:pPr>
              <w:spacing w:before="60" w:line="276" w:lineRule="auto"/>
              <w:jc w:val="center"/>
              <w:rPr>
                <w:color w:val="000000"/>
              </w:rPr>
            </w:pPr>
            <w:r w:rsidRPr="004A6F5C">
              <w:rPr>
                <w:color w:val="000000"/>
              </w:rPr>
              <w:t>972,5</w:t>
            </w:r>
          </w:p>
        </w:tc>
        <w:tc>
          <w:tcPr>
            <w:tcW w:w="707" w:type="pct"/>
            <w:vAlign w:val="center"/>
          </w:tcPr>
          <w:p w14:paraId="0D446750" w14:textId="77777777" w:rsidR="0030588E" w:rsidRPr="004A6F5C" w:rsidRDefault="0030588E" w:rsidP="005169A9">
            <w:pPr>
              <w:spacing w:before="60" w:line="276" w:lineRule="auto"/>
              <w:jc w:val="center"/>
              <w:rPr>
                <w:color w:val="000000"/>
              </w:rPr>
            </w:pPr>
            <w:r w:rsidRPr="004A6F5C">
              <w:rPr>
                <w:color w:val="000000"/>
              </w:rPr>
              <w:t>96,24%</w:t>
            </w:r>
          </w:p>
        </w:tc>
      </w:tr>
      <w:tr w:rsidR="0030588E" w:rsidRPr="004A6F5C" w14:paraId="4D3F7082" w14:textId="77777777" w:rsidTr="005169A9">
        <w:trPr>
          <w:trHeight w:val="355"/>
        </w:trPr>
        <w:tc>
          <w:tcPr>
            <w:tcW w:w="477" w:type="pct"/>
            <w:vAlign w:val="center"/>
          </w:tcPr>
          <w:p w14:paraId="62B3FAE3" w14:textId="77777777" w:rsidR="0030588E" w:rsidRPr="004A6F5C" w:rsidRDefault="0030588E" w:rsidP="005169A9">
            <w:pPr>
              <w:spacing w:before="60" w:line="276" w:lineRule="auto"/>
              <w:jc w:val="center"/>
              <w:rPr>
                <w:color w:val="000000"/>
              </w:rPr>
            </w:pPr>
            <w:r w:rsidRPr="004A6F5C">
              <w:rPr>
                <w:color w:val="000000"/>
              </w:rPr>
              <w:t>2</w:t>
            </w:r>
          </w:p>
        </w:tc>
        <w:tc>
          <w:tcPr>
            <w:tcW w:w="2399" w:type="pct"/>
            <w:vAlign w:val="center"/>
          </w:tcPr>
          <w:p w14:paraId="2DACC164" w14:textId="77777777" w:rsidR="0030588E" w:rsidRPr="004A6F5C" w:rsidRDefault="0030588E" w:rsidP="005169A9">
            <w:pPr>
              <w:spacing w:before="60" w:line="276" w:lineRule="auto"/>
              <w:jc w:val="center"/>
              <w:rPr>
                <w:color w:val="000000"/>
              </w:rPr>
            </w:pPr>
            <w:r w:rsidRPr="004A6F5C">
              <w:rPr>
                <w:color w:val="000000"/>
              </w:rPr>
              <w:t>1 &lt;= i &lt; 2</w:t>
            </w:r>
          </w:p>
        </w:tc>
        <w:tc>
          <w:tcPr>
            <w:tcW w:w="629" w:type="pct"/>
            <w:vAlign w:val="center"/>
          </w:tcPr>
          <w:p w14:paraId="5783D485" w14:textId="77777777" w:rsidR="0030588E" w:rsidRPr="004A6F5C" w:rsidRDefault="0030588E" w:rsidP="005169A9">
            <w:pPr>
              <w:spacing w:before="60" w:line="276" w:lineRule="auto"/>
              <w:jc w:val="center"/>
              <w:rPr>
                <w:color w:val="000000"/>
              </w:rPr>
            </w:pPr>
            <w:r w:rsidRPr="004A6F5C">
              <w:rPr>
                <w:color w:val="000000"/>
              </w:rPr>
              <w:t>m</w:t>
            </w:r>
          </w:p>
        </w:tc>
        <w:tc>
          <w:tcPr>
            <w:tcW w:w="788" w:type="pct"/>
            <w:vAlign w:val="center"/>
          </w:tcPr>
          <w:p w14:paraId="777CDF2F" w14:textId="77777777" w:rsidR="0030588E" w:rsidRPr="004A6F5C" w:rsidRDefault="0030588E" w:rsidP="005169A9">
            <w:pPr>
              <w:spacing w:before="60" w:line="276" w:lineRule="auto"/>
              <w:jc w:val="center"/>
              <w:rPr>
                <w:color w:val="000000"/>
              </w:rPr>
            </w:pPr>
            <w:r w:rsidRPr="004A6F5C">
              <w:rPr>
                <w:color w:val="000000"/>
              </w:rPr>
              <w:t>18,00</w:t>
            </w:r>
          </w:p>
        </w:tc>
        <w:tc>
          <w:tcPr>
            <w:tcW w:w="707" w:type="pct"/>
            <w:vAlign w:val="center"/>
          </w:tcPr>
          <w:p w14:paraId="0C8B0B5C" w14:textId="77777777" w:rsidR="0030588E" w:rsidRPr="004A6F5C" w:rsidRDefault="0030588E" w:rsidP="005169A9">
            <w:pPr>
              <w:spacing w:before="60" w:line="276" w:lineRule="auto"/>
              <w:jc w:val="center"/>
              <w:rPr>
                <w:color w:val="000000"/>
              </w:rPr>
            </w:pPr>
            <w:r w:rsidRPr="004A6F5C">
              <w:rPr>
                <w:color w:val="000000"/>
              </w:rPr>
              <w:t>1,78%</w:t>
            </w:r>
          </w:p>
        </w:tc>
      </w:tr>
      <w:tr w:rsidR="0030588E" w:rsidRPr="004A6F5C" w14:paraId="5DDCEA3A" w14:textId="77777777" w:rsidTr="005169A9">
        <w:trPr>
          <w:trHeight w:val="355"/>
        </w:trPr>
        <w:tc>
          <w:tcPr>
            <w:tcW w:w="477" w:type="pct"/>
            <w:vAlign w:val="center"/>
          </w:tcPr>
          <w:p w14:paraId="15CC0BE3" w14:textId="77777777" w:rsidR="0030588E" w:rsidRPr="004A6F5C" w:rsidRDefault="0030588E" w:rsidP="005169A9">
            <w:pPr>
              <w:spacing w:before="60" w:line="276" w:lineRule="auto"/>
              <w:jc w:val="center"/>
              <w:rPr>
                <w:color w:val="000000"/>
              </w:rPr>
            </w:pPr>
            <w:r w:rsidRPr="004A6F5C">
              <w:rPr>
                <w:color w:val="000000"/>
              </w:rPr>
              <w:t>3</w:t>
            </w:r>
          </w:p>
        </w:tc>
        <w:tc>
          <w:tcPr>
            <w:tcW w:w="2399" w:type="pct"/>
            <w:vAlign w:val="center"/>
          </w:tcPr>
          <w:p w14:paraId="4FF0C314" w14:textId="77777777" w:rsidR="0030588E" w:rsidRPr="004A6F5C" w:rsidRDefault="0030588E" w:rsidP="005169A9">
            <w:pPr>
              <w:spacing w:before="60" w:line="276" w:lineRule="auto"/>
              <w:jc w:val="center"/>
              <w:rPr>
                <w:color w:val="000000"/>
              </w:rPr>
            </w:pPr>
            <w:r w:rsidRPr="004A6F5C">
              <w:rPr>
                <w:color w:val="000000"/>
              </w:rPr>
              <w:t>2 &lt;= i &lt; 3</w:t>
            </w:r>
          </w:p>
        </w:tc>
        <w:tc>
          <w:tcPr>
            <w:tcW w:w="629" w:type="pct"/>
            <w:vAlign w:val="center"/>
          </w:tcPr>
          <w:p w14:paraId="6278B845" w14:textId="77777777" w:rsidR="0030588E" w:rsidRPr="004A6F5C" w:rsidRDefault="0030588E" w:rsidP="005169A9">
            <w:pPr>
              <w:spacing w:before="60" w:line="276" w:lineRule="auto"/>
              <w:jc w:val="center"/>
              <w:rPr>
                <w:color w:val="000000"/>
              </w:rPr>
            </w:pPr>
            <w:r w:rsidRPr="004A6F5C">
              <w:rPr>
                <w:color w:val="000000"/>
              </w:rPr>
              <w:t>m</w:t>
            </w:r>
          </w:p>
        </w:tc>
        <w:tc>
          <w:tcPr>
            <w:tcW w:w="788" w:type="pct"/>
            <w:vAlign w:val="center"/>
          </w:tcPr>
          <w:p w14:paraId="4C421F62" w14:textId="77777777" w:rsidR="0030588E" w:rsidRPr="004A6F5C" w:rsidRDefault="0030588E" w:rsidP="005169A9">
            <w:pPr>
              <w:spacing w:before="60" w:line="276" w:lineRule="auto"/>
              <w:jc w:val="center"/>
              <w:rPr>
                <w:color w:val="000000"/>
              </w:rPr>
            </w:pPr>
            <w:r w:rsidRPr="004A6F5C">
              <w:rPr>
                <w:color w:val="000000"/>
              </w:rPr>
              <w:t>15,0</w:t>
            </w:r>
          </w:p>
        </w:tc>
        <w:tc>
          <w:tcPr>
            <w:tcW w:w="707" w:type="pct"/>
            <w:vAlign w:val="center"/>
          </w:tcPr>
          <w:p w14:paraId="1FBAD728" w14:textId="77777777" w:rsidR="0030588E" w:rsidRPr="004A6F5C" w:rsidRDefault="0030588E" w:rsidP="005169A9">
            <w:pPr>
              <w:spacing w:before="60" w:line="276" w:lineRule="auto"/>
              <w:jc w:val="center"/>
              <w:rPr>
                <w:color w:val="000000"/>
              </w:rPr>
            </w:pPr>
            <w:r w:rsidRPr="004A6F5C">
              <w:rPr>
                <w:color w:val="000000"/>
              </w:rPr>
              <w:t>1,48%</w:t>
            </w:r>
          </w:p>
        </w:tc>
      </w:tr>
      <w:tr w:rsidR="0030588E" w:rsidRPr="004A6F5C" w14:paraId="5BE7B9E2" w14:textId="77777777" w:rsidTr="005169A9">
        <w:trPr>
          <w:trHeight w:val="355"/>
        </w:trPr>
        <w:tc>
          <w:tcPr>
            <w:tcW w:w="477" w:type="pct"/>
            <w:vAlign w:val="center"/>
          </w:tcPr>
          <w:p w14:paraId="7F12A4F5" w14:textId="77777777" w:rsidR="0030588E" w:rsidRPr="004A6F5C" w:rsidRDefault="0030588E" w:rsidP="005169A9">
            <w:pPr>
              <w:spacing w:before="60" w:line="276" w:lineRule="auto"/>
              <w:jc w:val="center"/>
              <w:rPr>
                <w:color w:val="000000"/>
              </w:rPr>
            </w:pPr>
            <w:r w:rsidRPr="004A6F5C">
              <w:rPr>
                <w:color w:val="000000"/>
              </w:rPr>
              <w:t>4</w:t>
            </w:r>
          </w:p>
        </w:tc>
        <w:tc>
          <w:tcPr>
            <w:tcW w:w="2399" w:type="pct"/>
            <w:vAlign w:val="center"/>
          </w:tcPr>
          <w:p w14:paraId="094F4ECE" w14:textId="77777777" w:rsidR="0030588E" w:rsidRPr="004A6F5C" w:rsidRDefault="0030588E" w:rsidP="005169A9">
            <w:pPr>
              <w:spacing w:before="60" w:line="276" w:lineRule="auto"/>
              <w:jc w:val="center"/>
              <w:rPr>
                <w:color w:val="000000"/>
              </w:rPr>
            </w:pPr>
            <w:r w:rsidRPr="004A6F5C">
              <w:rPr>
                <w:color w:val="000000"/>
              </w:rPr>
              <w:t>3 &lt;= i &lt; 4</w:t>
            </w:r>
          </w:p>
        </w:tc>
        <w:tc>
          <w:tcPr>
            <w:tcW w:w="629" w:type="pct"/>
            <w:vAlign w:val="center"/>
          </w:tcPr>
          <w:p w14:paraId="428EFBCB" w14:textId="77777777" w:rsidR="0030588E" w:rsidRPr="004A6F5C" w:rsidRDefault="0030588E" w:rsidP="005169A9">
            <w:pPr>
              <w:spacing w:before="60" w:line="276" w:lineRule="auto"/>
              <w:jc w:val="center"/>
              <w:rPr>
                <w:color w:val="000000"/>
              </w:rPr>
            </w:pPr>
            <w:r w:rsidRPr="004A6F5C">
              <w:rPr>
                <w:color w:val="000000"/>
              </w:rPr>
              <w:t>m</w:t>
            </w:r>
          </w:p>
        </w:tc>
        <w:tc>
          <w:tcPr>
            <w:tcW w:w="788" w:type="pct"/>
            <w:vAlign w:val="center"/>
          </w:tcPr>
          <w:p w14:paraId="025E751D" w14:textId="77777777" w:rsidR="0030588E" w:rsidRPr="004A6F5C" w:rsidRDefault="0030588E" w:rsidP="005169A9">
            <w:pPr>
              <w:spacing w:before="60" w:line="276" w:lineRule="auto"/>
              <w:jc w:val="center"/>
              <w:rPr>
                <w:color w:val="000000"/>
              </w:rPr>
            </w:pPr>
            <w:r w:rsidRPr="004A6F5C">
              <w:rPr>
                <w:color w:val="000000"/>
              </w:rPr>
              <w:t>5,0</w:t>
            </w:r>
          </w:p>
        </w:tc>
        <w:tc>
          <w:tcPr>
            <w:tcW w:w="707" w:type="pct"/>
            <w:vAlign w:val="center"/>
          </w:tcPr>
          <w:p w14:paraId="7CBF8F41" w14:textId="77777777" w:rsidR="0030588E" w:rsidRPr="004A6F5C" w:rsidRDefault="0030588E" w:rsidP="005169A9">
            <w:pPr>
              <w:spacing w:before="60" w:line="276" w:lineRule="auto"/>
              <w:jc w:val="center"/>
              <w:rPr>
                <w:color w:val="000000"/>
              </w:rPr>
            </w:pPr>
            <w:r w:rsidRPr="004A6F5C">
              <w:rPr>
                <w:color w:val="000000"/>
              </w:rPr>
              <w:t>0,5%</w:t>
            </w:r>
          </w:p>
        </w:tc>
      </w:tr>
      <w:tr w:rsidR="0030588E" w:rsidRPr="004A6F5C" w14:paraId="15896E88" w14:textId="77777777" w:rsidTr="005169A9">
        <w:trPr>
          <w:trHeight w:val="355"/>
        </w:trPr>
        <w:tc>
          <w:tcPr>
            <w:tcW w:w="477" w:type="pct"/>
            <w:vAlign w:val="center"/>
          </w:tcPr>
          <w:p w14:paraId="63D2FB06" w14:textId="77777777" w:rsidR="0030588E" w:rsidRPr="004A6F5C" w:rsidRDefault="0030588E" w:rsidP="005169A9">
            <w:pPr>
              <w:spacing w:before="60" w:line="276" w:lineRule="auto"/>
              <w:jc w:val="center"/>
              <w:rPr>
                <w:color w:val="000000"/>
              </w:rPr>
            </w:pPr>
            <w:r w:rsidRPr="004A6F5C">
              <w:rPr>
                <w:color w:val="000000"/>
              </w:rPr>
              <w:t>4</w:t>
            </w:r>
          </w:p>
        </w:tc>
        <w:tc>
          <w:tcPr>
            <w:tcW w:w="2399" w:type="pct"/>
            <w:vAlign w:val="center"/>
          </w:tcPr>
          <w:p w14:paraId="2FF512E9" w14:textId="77777777" w:rsidR="0030588E" w:rsidRPr="004A6F5C" w:rsidRDefault="0030588E" w:rsidP="005169A9">
            <w:pPr>
              <w:spacing w:before="60" w:line="276" w:lineRule="auto"/>
              <w:jc w:val="center"/>
              <w:rPr>
                <w:color w:val="000000"/>
              </w:rPr>
            </w:pPr>
            <w:r w:rsidRPr="004A6F5C">
              <w:rPr>
                <w:color w:val="000000"/>
              </w:rPr>
              <w:t>4 &lt;= i &lt; 5</w:t>
            </w:r>
          </w:p>
        </w:tc>
        <w:tc>
          <w:tcPr>
            <w:tcW w:w="629" w:type="pct"/>
            <w:vAlign w:val="center"/>
          </w:tcPr>
          <w:p w14:paraId="67E3468A" w14:textId="77777777" w:rsidR="0030588E" w:rsidRPr="004A6F5C" w:rsidRDefault="0030588E" w:rsidP="005169A9">
            <w:pPr>
              <w:spacing w:before="60" w:line="276" w:lineRule="auto"/>
              <w:jc w:val="center"/>
              <w:rPr>
                <w:color w:val="000000"/>
              </w:rPr>
            </w:pPr>
            <w:r w:rsidRPr="004A6F5C">
              <w:rPr>
                <w:color w:val="000000"/>
              </w:rPr>
              <w:t>m</w:t>
            </w:r>
          </w:p>
        </w:tc>
        <w:tc>
          <w:tcPr>
            <w:tcW w:w="788" w:type="pct"/>
            <w:vAlign w:val="center"/>
          </w:tcPr>
          <w:p w14:paraId="15160A6E" w14:textId="77777777" w:rsidR="0030588E" w:rsidRPr="004A6F5C" w:rsidRDefault="0030588E" w:rsidP="005169A9">
            <w:pPr>
              <w:spacing w:before="60" w:line="276" w:lineRule="auto"/>
              <w:jc w:val="center"/>
              <w:rPr>
                <w:color w:val="000000"/>
              </w:rPr>
            </w:pPr>
            <w:r w:rsidRPr="004A6F5C">
              <w:rPr>
                <w:color w:val="000000"/>
              </w:rPr>
              <w:t>0</w:t>
            </w:r>
          </w:p>
        </w:tc>
        <w:tc>
          <w:tcPr>
            <w:tcW w:w="707" w:type="pct"/>
            <w:vAlign w:val="center"/>
          </w:tcPr>
          <w:p w14:paraId="099ADFD4" w14:textId="77777777" w:rsidR="0030588E" w:rsidRPr="004A6F5C" w:rsidRDefault="0030588E" w:rsidP="005169A9">
            <w:pPr>
              <w:spacing w:before="60" w:line="276" w:lineRule="auto"/>
              <w:jc w:val="center"/>
              <w:rPr>
                <w:color w:val="000000"/>
              </w:rPr>
            </w:pPr>
            <w:r w:rsidRPr="004A6F5C">
              <w:rPr>
                <w:color w:val="000000"/>
              </w:rPr>
              <w:t>0%</w:t>
            </w:r>
          </w:p>
        </w:tc>
      </w:tr>
      <w:tr w:rsidR="0030588E" w:rsidRPr="004A6F5C" w14:paraId="5E069CD4" w14:textId="77777777" w:rsidTr="005169A9">
        <w:trPr>
          <w:trHeight w:val="355"/>
        </w:trPr>
        <w:tc>
          <w:tcPr>
            <w:tcW w:w="477" w:type="pct"/>
            <w:vAlign w:val="center"/>
          </w:tcPr>
          <w:p w14:paraId="546218D1" w14:textId="77777777" w:rsidR="0030588E" w:rsidRPr="004A6F5C" w:rsidRDefault="0030588E" w:rsidP="005169A9">
            <w:pPr>
              <w:spacing w:before="60" w:line="276" w:lineRule="auto"/>
              <w:jc w:val="center"/>
              <w:rPr>
                <w:color w:val="000000"/>
              </w:rPr>
            </w:pPr>
          </w:p>
        </w:tc>
        <w:tc>
          <w:tcPr>
            <w:tcW w:w="2399" w:type="pct"/>
            <w:vAlign w:val="center"/>
          </w:tcPr>
          <w:p w14:paraId="525EF9B8" w14:textId="77777777" w:rsidR="0030588E" w:rsidRPr="004A6F5C" w:rsidRDefault="0030588E" w:rsidP="005169A9">
            <w:pPr>
              <w:spacing w:before="60" w:line="276" w:lineRule="auto"/>
              <w:jc w:val="center"/>
              <w:rPr>
                <w:color w:val="000000"/>
              </w:rPr>
            </w:pPr>
            <w:r w:rsidRPr="004A6F5C">
              <w:rPr>
                <w:color w:val="000000"/>
              </w:rPr>
              <w:t>Tổng cộng</w:t>
            </w:r>
          </w:p>
        </w:tc>
        <w:tc>
          <w:tcPr>
            <w:tcW w:w="629" w:type="pct"/>
            <w:vAlign w:val="center"/>
          </w:tcPr>
          <w:p w14:paraId="209EE1FC" w14:textId="77777777" w:rsidR="0030588E" w:rsidRPr="004A6F5C" w:rsidRDefault="0030588E" w:rsidP="005169A9">
            <w:pPr>
              <w:spacing w:before="60" w:line="276" w:lineRule="auto"/>
              <w:jc w:val="center"/>
              <w:rPr>
                <w:color w:val="000000"/>
              </w:rPr>
            </w:pPr>
            <w:r w:rsidRPr="004A6F5C">
              <w:rPr>
                <w:color w:val="000000"/>
              </w:rPr>
              <w:t>m</w:t>
            </w:r>
          </w:p>
        </w:tc>
        <w:tc>
          <w:tcPr>
            <w:tcW w:w="788" w:type="pct"/>
            <w:vAlign w:val="center"/>
          </w:tcPr>
          <w:p w14:paraId="0A5047BB" w14:textId="77777777" w:rsidR="0030588E" w:rsidRPr="004A6F5C" w:rsidRDefault="0030588E" w:rsidP="005169A9">
            <w:pPr>
              <w:spacing w:before="60" w:line="276" w:lineRule="auto"/>
              <w:jc w:val="center"/>
              <w:rPr>
                <w:color w:val="000000"/>
              </w:rPr>
            </w:pPr>
            <w:r w:rsidRPr="004A6F5C">
              <w:rPr>
                <w:color w:val="000000"/>
              </w:rPr>
              <w:t>1.010,5</w:t>
            </w:r>
          </w:p>
        </w:tc>
        <w:tc>
          <w:tcPr>
            <w:tcW w:w="707" w:type="pct"/>
            <w:vAlign w:val="center"/>
          </w:tcPr>
          <w:p w14:paraId="44DC99D7" w14:textId="77777777" w:rsidR="0030588E" w:rsidRPr="004A6F5C" w:rsidRDefault="0030588E" w:rsidP="005169A9">
            <w:pPr>
              <w:spacing w:before="60" w:line="276" w:lineRule="auto"/>
              <w:jc w:val="center"/>
              <w:rPr>
                <w:color w:val="000000"/>
              </w:rPr>
            </w:pPr>
            <w:r w:rsidRPr="004A6F5C">
              <w:rPr>
                <w:color w:val="000000"/>
              </w:rPr>
              <w:t>100%</w:t>
            </w:r>
          </w:p>
        </w:tc>
      </w:tr>
    </w:tbl>
    <w:bookmarkEnd w:id="0"/>
    <w:p w14:paraId="12534DA3"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d. Thiết kế mặt cắt ngang</w:t>
      </w:r>
    </w:p>
    <w:p w14:paraId="20D62861"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d.1. Quy mô mặt cắt ngang</w:t>
      </w:r>
    </w:p>
    <w:p w14:paraId="52D7D3A0"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 Bề rộng mặt đường: Bmặt đường=5,0m (trong đó Bhiện trạng trung bình =2,5m; </w:t>
      </w:r>
    </w:p>
    <w:p w14:paraId="3CDE786B"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Bmở rộng trung bình =2,5m)</w:t>
      </w:r>
    </w:p>
    <w:p w14:paraId="3DBE6BCD"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Bề rộng lề đất: Blề đất = 0m (do mặt bằng hạn chế nên không có lề phía kênh, lề phía đồng theo hiện trạng).</w:t>
      </w:r>
    </w:p>
    <w:p w14:paraId="4D3A638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Độ dốc mặt đường: imặt = 2%.</w:t>
      </w:r>
    </w:p>
    <w:p w14:paraId="5408F388"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d.2. Thiết kế nền đường:</w:t>
      </w:r>
    </w:p>
    <w:p w14:paraId="767378CD"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Nền đường, lề, taluy đường được đắp bằng đất đầm chặt K90. </w:t>
      </w:r>
    </w:p>
    <w:p w14:paraId="46EE4CDB"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Tại vị trí có độ dốc ngang của nền tự nhiên lớn hơn 20%, trước khi đắp phải tạo bậc cấp với bề rộng (0,5-1,0) m. Tại các vị trí qua ao, thùng đào, ruộng... trước khi đắp phải vét bỏ lớp bùn dày 30cm. Nếu đắp trên phần lề đường cũ, trước khi đắp phải đào đất không thích hợp dày 30cm, đào bỏ các gốc cây, bụi cây.</w:t>
      </w:r>
    </w:p>
    <w:p w14:paraId="3F07351E"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e. Thiết kế nút giao</w:t>
      </w:r>
    </w:p>
    <w:p w14:paraId="128D8549"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e.1. Nguyên tắc thiết kế</w:t>
      </w:r>
    </w:p>
    <w:p w14:paraId="5A3EFCA3"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Nút giao thông là nơi tập trung nhiều xung đột, nhiều tai nạn, gây nên ách tắc. Nhiệm vụ thiết kế nút giao thông là giải quyết các xung đột (hoặc triệt để hoặc có mức độ) để nhằm các mục tiêu:</w:t>
      </w:r>
    </w:p>
    <w:p w14:paraId="3D6EDF1E"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Đảm bảo một năng lực thông xe qua nút một cách hợp lý để đảm bảo chất lượng dòng xe qua nút.</w:t>
      </w:r>
    </w:p>
    <w:p w14:paraId="61725CEF"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Đảm bảo an toàn giao thông.</w:t>
      </w:r>
    </w:p>
    <w:p w14:paraId="7B643142"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Có hiệu quả về kinh tế, giảm thiểu khối lượng giải phóng mặt bằng.</w:t>
      </w:r>
    </w:p>
    <w:p w14:paraId="4DC2BB85"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Đảm bảo mỹ quan và vệ sinh môi trường.</w:t>
      </w:r>
    </w:p>
    <w:p w14:paraId="42A0B19C"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Các thông số chính liên quan đến thiết kế nút giao:</w:t>
      </w:r>
    </w:p>
    <w:p w14:paraId="29CA94C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Loại hình nút giao và tổ chức giao thông quen thuộc, mạch lạc, dễ nhận biết đối với người tham gia giao thông.</w:t>
      </w:r>
    </w:p>
    <w:p w14:paraId="5BBA475F"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lastRenderedPageBreak/>
        <w:t>- Cắt dọc đ¬ược thiết kế trên nguyên tắc ư¬u tiên h¬ướng chính là tuyến đường thiết kế, cắt dọc các đ¬ường giao đ¬ược thiết kế đảm bảo vuốt nối êm thuận, đảm bảo an toàn giao thông và đảm bảo thoát nư¬ớc.</w:t>
      </w:r>
    </w:p>
    <w:p w14:paraId="1450E061"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Tốc độ thiết kế chỗ xe rẽ phạm vi nút:</w:t>
      </w:r>
    </w:p>
    <w:p w14:paraId="7DBCAD0C"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Với luồng xe đi thẳng, dùng tốc độ thiết kế của cấp đường đi qua.</w:t>
      </w:r>
    </w:p>
    <w:p w14:paraId="4A478DF5"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Với luồng xe rẽ phải, tốc độ thiết kế nhỏ hơn 60% tốc độ thiết kế đường chính.</w:t>
      </w:r>
    </w:p>
    <w:p w14:paraId="361DDFB9"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Với luồng xe rẽ trái, tốc độ thiết kế tối thiểu không quá 15 km/h;</w:t>
      </w:r>
    </w:p>
    <w:p w14:paraId="331C8F61"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Siêu cao và hệ số lực ngang:</w:t>
      </w:r>
    </w:p>
    <w:p w14:paraId="69B5478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Siêu cao tối đa trong nút giao thông là 6%. Khi qua khu dân cư¬, không nên quá 4%.</w:t>
      </w:r>
    </w:p>
    <w:p w14:paraId="6A86680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 Hệ số lực ngang được phép dùng trong nút giao thông là 0,25. </w:t>
      </w:r>
    </w:p>
    <w:p w14:paraId="4151A7C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Bố trí đầy đủ hệ thống an toàn giao thông theo quy định.</w:t>
      </w:r>
    </w:p>
    <w:p w14:paraId="749EC2A7"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f. Thiết kế đường giao</w:t>
      </w:r>
    </w:p>
    <w:p w14:paraId="099E6B72"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Tuyến đường ngoài việc giao cắt với các nút giao, tuyến còn cắt qua các đường dân sinh. Để đảm bảo điều kiện giao thông của khu vực, cần phải có công tác kết nối, hoàn trả cho phù hợp.</w:t>
      </w:r>
    </w:p>
    <w:p w14:paraId="1D8CA1C0"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Các đường dân sinh được thiết kế vuốt nối từ tuyến chính về đường cũ theo thực tế hiện trạng, độ dốc dọc vuốt nối vào các đường giao dân sinh đảm bảo phù hợp, êm thuận. Phạm vi vuốt nối kết cấu mặt đường từ vai đường chính ra trung bình 1,0m.</w:t>
      </w:r>
    </w:p>
    <w:p w14:paraId="3725F21B"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g. Thiết kế mặt đường</w:t>
      </w:r>
    </w:p>
    <w:p w14:paraId="45C5C7DB"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Kết cấu mặt đường thiết kế theo TCCS 39:2022/TCĐBVN - Thiết kế mặt đường bê tông xi măng thông thường có khe nối trong xây dựng công trình Giao thông.</w:t>
      </w:r>
    </w:p>
    <w:p w14:paraId="4F90F26D"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Do lưu lượng xe khu vực còn tương đối ít nên lựa chọn Quy mô giao thông cấp nhẹ.</w:t>
      </w:r>
    </w:p>
    <w:p w14:paraId="06B11F9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Kết cấu mặt đường tuyến chính, nút giao, vuốt nối từ trên xuống:</w:t>
      </w:r>
    </w:p>
    <w:p w14:paraId="541564C1"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Mặt đường BTXM M300 đá 2x4 dày 20cm.</w:t>
      </w:r>
    </w:p>
    <w:p w14:paraId="53C720D8"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Giấy dầu lót chống mất nước.</w:t>
      </w:r>
    </w:p>
    <w:p w14:paraId="1943EB6B"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Lớp cấp phối đá dăm loại 1 dày 18cm.</w:t>
      </w:r>
    </w:p>
    <w:p w14:paraId="5DAB1F64"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Lớp đắp nền K=0,95 dày 50cm.</w:t>
      </w:r>
    </w:p>
    <w:p w14:paraId="08E0300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Tại vị trí kết nối giữa mặt đường BTXM cũ và mặt đường BTXM mới, tiến hành khoan tạo lỗ D16 sâu 35cm, cách nhau 0,8m trên phần bê tông xi măng </w:t>
      </w:r>
      <w:r w:rsidRPr="0030588E">
        <w:rPr>
          <w:color w:val="000000"/>
          <w:sz w:val="28"/>
          <w:szCs w:val="28"/>
          <w:lang w:val="pt-BR"/>
        </w:rPr>
        <w:lastRenderedPageBreak/>
        <w:t>hiện tại. Đặt thép tròn D14 chiều dài thanh L=0,7m, chèn lỗ khoan bằng sikadur 731. Xẻ khe dọc rộng 0,4cm, sâu 4cm sau đó được chèn kín khe bằng mastit trộn nhựa rót nóng.</w:t>
      </w:r>
    </w:p>
    <w:p w14:paraId="1B9F10D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Quy mô: Đắp áp trúc, mở rộng mặt đường từ C0 đến C52+2,5m với chiều dài Lđường = 805,8+58,6+146,1 = 1.010,5m; cao trình đỉnh đường (+0.51)-(+0.86), chiều rộng mặt gia cố hoàn thiện trung bình Bmặttb=5,0m; Kết cấu mặt đường mở rộng bằng bê tông xi măng M300# dày 20cm; cách ly bằng giấy dầu; móng bằng cấp phối đá dăm dày 18cm, lớp tiếp giáp móng đầm chặt K95 dày 50cm; đắp đất nền đường đạt độ chặt K90, xây dựng hệ thống gờ chắn trên tuyến đường.</w:t>
      </w:r>
    </w:p>
    <w:p w14:paraId="4056374A"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h. Hệ thống công trình trên tuyến</w:t>
      </w:r>
    </w:p>
    <w:p w14:paraId="4693DF49"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Nâng cấp cống thông nước tại C1+4.5m với kết cấu kiểu cống hộp BTCT M250#, chiều dài thân cống L=6,9m, kích thước lỗ cửa (BxH)=(3,0x2,1)m; cao trình đáy cống (-1,50)m, cao trình đỉnh đường (+1,00); đáy cống dày 50cm, tường cống dày 50cm, trần cống dày 40cm. Tường đầu bằng BTCT M250#. Xử lý nền bằng cọc BTCT M300 KT(0.3x0.3x25.4)m. Gia cố cửa vào, ra bằng đá xây VXM M100# dày 30cm; dưới lót đá dăm dày 10cm.</w:t>
      </w:r>
    </w:p>
    <w:p w14:paraId="31E9BF59"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Nâng cấp cống thông nước tại C11+16m với kết cấu kiểu cống hộp BTCT M250#, chiều dài thân cống L=9,9m, kích thước lỗ cửa (BxH)=(1,6x1,6)m; cao trình đáy cống (-1,50)m, cao trình đỉnh đường (+0,80); đáy cống dày 40cm, tường cống dày 40cm, trần cống dày 30cm. Tường đầu bằng BTCT M250#. Xử lý nền bằng cọc tre dài L=3,0m, mật độ 25cọc/m2. Gia cố cửa vào, ra bằng đá xây VXM M100# dày 30cm; dưới lót đá dăm dày 10cm.</w:t>
      </w:r>
    </w:p>
    <w:p w14:paraId="6F5E8C46"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Nâng cấp cống thông nước tại C31+15.5m với kết cấu kiểu cống hộp BTCT M250#, chiều dài thân cống L=6,9m, kích thước lỗ cửa (BxH)=(1,6x1,6)m; cao trình đáy cống (-1,50)m, cao trình đỉnh đường (+0,80); đáy cống dày 40cm, tường cống dày 40cm, trần cống dày 30cm. Tường đầu bằng BTCT M250#. Xử lý nền bằng cọc tre dài L=3,0m, mật độ 25cọc/m2. Gia cố cửa vào, ra bằng đá xây VXM M100# dày 30cm; dưới lót đá dăm dày 10cm.</w:t>
      </w:r>
    </w:p>
    <w:p w14:paraId="19385C8F"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Tại các vị trí C20+4m; C41+13.6m đặt các đốt cống (mỗi đốt cống dài 1m) kiểu cống tròn BTCT đúc sẵn đường kính D = (50-60)cm, có đặt trên các gối đỡ.</w:t>
      </w:r>
    </w:p>
    <w:p w14:paraId="224388A2"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i. Kè chắn</w:t>
      </w:r>
    </w:p>
    <w:p w14:paraId="13DD688D"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Kè gia cố một bên mái đường từ C0 đến C41+14,8m; từ C45+6,65m đến C46+9,1m; từ C46+18,5m đến C47+16,3m; từ C49+5m đến C51+10,85m với chiều dài L=805,8+21,45+18,8+18+25,55=889,6m bằng đá xây kiểu tường đứng; kết cấu tường kè đá xây VXM M100#, trên đỉnh tường bố trí giằng bằng </w:t>
      </w:r>
      <w:r w:rsidRPr="0030588E">
        <w:rPr>
          <w:color w:val="000000"/>
          <w:sz w:val="28"/>
          <w:szCs w:val="28"/>
          <w:lang w:val="pt-BR"/>
        </w:rPr>
        <w:lastRenderedPageBreak/>
        <w:t xml:space="preserve">BTCT M200# kích thước (0,3x0,2)m, dưới lót đá dăm 4x6 dày 10cm, bản đáy tường kè được gia cố xử lý nền bằng cọc tre chiều dài 2,5m mật độ 20cọc/m2, trong tường kè bố trí các ống nhựa thoát nước mật độ a=2m; theo chiều dài tuyến kè trung bình 11,7m tách 01 khe lún cấu tạo bằng giấy dầu quét nhựa đường. </w:t>
      </w:r>
    </w:p>
    <w:p w14:paraId="30009774"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Hoàn trả tường rào nhà dân đoạn từ C41+14,8m đến C52+2,5m với chiều dài L=58,6+146,1=204,7m bằng gạch xây VXM M75#, trát ngoài VXM M75 dày 1.5cm, giữa có bố trí lưới mắt cáo B40.</w:t>
      </w:r>
    </w:p>
    <w:p w14:paraId="21BF19C1"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j. Hệ thống an toàn giao thông, báo hiệu đường bộ</w:t>
      </w:r>
    </w:p>
    <w:p w14:paraId="3B4BC812"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xml:space="preserve">- Các công trình an toàn giao thông được thực hiện theo Quy chuẩn về báo hiệu đường bộ QCVN41:2024/BGTVT. </w:t>
      </w:r>
    </w:p>
    <w:p w14:paraId="654734E7" w14:textId="77777777" w:rsidR="0030588E" w:rsidRPr="0030588E"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Nguyên tắc: Đảm bảo giao thông an toàn và thông suốt trên toàn khu vực.</w:t>
      </w:r>
    </w:p>
    <w:p w14:paraId="2FCC74CC" w14:textId="77C55E00" w:rsidR="007176CB" w:rsidRDefault="0030588E" w:rsidP="0030588E">
      <w:pPr>
        <w:widowControl w:val="0"/>
        <w:spacing w:beforeLines="24" w:before="57" w:afterLines="24" w:after="57" w:line="288" w:lineRule="auto"/>
        <w:ind w:firstLine="567"/>
        <w:rPr>
          <w:color w:val="000000"/>
          <w:sz w:val="28"/>
          <w:szCs w:val="28"/>
          <w:lang w:val="pt-BR"/>
        </w:rPr>
      </w:pPr>
      <w:r w:rsidRPr="0030588E">
        <w:rPr>
          <w:color w:val="000000"/>
          <w:sz w:val="28"/>
          <w:szCs w:val="28"/>
          <w:lang w:val="pt-BR"/>
        </w:rPr>
        <w:t>- Biển báo biển báo chỉ dẫn đặt ở những chỗ quang đãng, dễ nhìn, đúng vị trí cần phát huy tác dụng.</w:t>
      </w:r>
    </w:p>
    <w:p w14:paraId="69CB1A5D" w14:textId="4FA153F7" w:rsidR="00635986" w:rsidRDefault="00635986" w:rsidP="00E92F04">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A46933">
        <w:rPr>
          <w:color w:val="000000"/>
          <w:sz w:val="28"/>
          <w:szCs w:val="28"/>
          <w:lang w:val="es-PE"/>
        </w:rPr>
        <w:t>10</w:t>
      </w:r>
      <w:r w:rsidR="002B6694">
        <w:rPr>
          <w:color w:val="000000"/>
          <w:sz w:val="28"/>
          <w:szCs w:val="28"/>
          <w:lang w:val="es-PE"/>
        </w:rPr>
        <w:t xml:space="preserve"> tháng</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75CA77A6"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A46933">
        <w:rPr>
          <w:color w:val="000000"/>
          <w:sz w:val="28"/>
          <w:szCs w:val="28"/>
        </w:rPr>
        <w:t>10</w:t>
      </w:r>
      <w:r w:rsidR="00BD6489">
        <w:rPr>
          <w:color w:val="000000"/>
          <w:sz w:val="28"/>
          <w:szCs w:val="28"/>
        </w:rPr>
        <w:t xml:space="preserve"> </w:t>
      </w:r>
      <w:r w:rsidR="002B6694">
        <w:rPr>
          <w:color w:val="000000"/>
          <w:sz w:val="28"/>
          <w:szCs w:val="28"/>
        </w:rPr>
        <w:t>tháng</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Lập sơ đồ tổ chức hiện trường, danh sách và năng lực cán bộ chỉ huy thi </w:t>
      </w:r>
      <w:r>
        <w:rPr>
          <w:color w:val="000000"/>
          <w:sz w:val="28"/>
          <w:szCs w:val="28"/>
          <w:lang w:val="vi-VN"/>
        </w:rPr>
        <w:lastRenderedPageBreak/>
        <w:t>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 xml:space="preserve">3. Các yêu cầu về chủng loại, chất lượng vật tư, máy móc, thiết bị (kèm </w:t>
      </w:r>
      <w:r>
        <w:rPr>
          <w:b/>
          <w:color w:val="000000"/>
          <w:sz w:val="28"/>
          <w:szCs w:val="28"/>
          <w:lang w:val="vi-VN"/>
        </w:rPr>
        <w:lastRenderedPageBreak/>
        <w:t>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lastRenderedPageBreak/>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w:t>
      </w:r>
      <w:r>
        <w:rPr>
          <w:color w:val="000000"/>
          <w:sz w:val="28"/>
          <w:szCs w:val="28"/>
          <w:lang w:val="vi-VN"/>
        </w:rPr>
        <w:lastRenderedPageBreak/>
        <w:t xml:space="preserve">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173339B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w:t>
      </w:r>
      <w:r>
        <w:rPr>
          <w:color w:val="000000"/>
          <w:sz w:val="28"/>
          <w:szCs w:val="28"/>
          <w:lang w:val="vi-VN"/>
        </w:rPr>
        <w:lastRenderedPageBreak/>
        <w:t xml:space="preserve">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002DAF7F"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a. </w:t>
      </w:r>
      <w:r w:rsidR="002B6694">
        <w:rPr>
          <w:color w:val="000000"/>
          <w:sz w:val="28"/>
          <w:szCs w:val="28"/>
        </w:rPr>
        <w:t>Thông</w:t>
      </w:r>
      <w:r>
        <w:rPr>
          <w:color w:val="000000"/>
          <w:sz w:val="28"/>
          <w:szCs w:val="28"/>
          <w:lang w:val="vi-VN"/>
        </w:rPr>
        <w:t xml:space="preserve">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9BF3BB0" w:rsidR="006A5593" w:rsidRDefault="002B6694"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5B7BC01F"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w:t>
            </w:r>
            <w:r w:rsidR="0030588E">
              <w:rPr>
                <w:color w:val="000000"/>
                <w:sz w:val="26"/>
                <w:szCs w:val="26"/>
              </w:rPr>
              <w:t>6</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D350" w14:textId="77777777" w:rsidR="00F51B01" w:rsidRDefault="00F51B01" w:rsidP="00E05AF1">
      <w:r>
        <w:separator/>
      </w:r>
    </w:p>
  </w:endnote>
  <w:endnote w:type="continuationSeparator" w:id="0">
    <w:p w14:paraId="5EB254E9" w14:textId="77777777" w:rsidR="00F51B01" w:rsidRDefault="00F51B0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D6A9" w14:textId="77777777" w:rsidR="00F51B01" w:rsidRDefault="00F51B01" w:rsidP="00E05AF1">
      <w:r>
        <w:separator/>
      </w:r>
    </w:p>
  </w:footnote>
  <w:footnote w:type="continuationSeparator" w:id="0">
    <w:p w14:paraId="597B2D60" w14:textId="77777777" w:rsidR="00F51B01" w:rsidRDefault="00F51B0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07B7D"/>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4EF8"/>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3314"/>
    <w:rsid w:val="001A58BF"/>
    <w:rsid w:val="001A5FCD"/>
    <w:rsid w:val="001B2A68"/>
    <w:rsid w:val="001B2F1B"/>
    <w:rsid w:val="001B313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14FF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69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0588E"/>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2FE"/>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4C1B"/>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B7E60"/>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6CB"/>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2AEC"/>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1822"/>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46933"/>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49B2"/>
    <w:rsid w:val="00B15531"/>
    <w:rsid w:val="00B16D05"/>
    <w:rsid w:val="00B22240"/>
    <w:rsid w:val="00B235C4"/>
    <w:rsid w:val="00B24C26"/>
    <w:rsid w:val="00B25A51"/>
    <w:rsid w:val="00B26353"/>
    <w:rsid w:val="00B2753A"/>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6489"/>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6583"/>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82C"/>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1B01"/>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16</Pages>
  <Words>4631</Words>
  <Characters>26402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303</cp:revision>
  <cp:lastPrinted>2025-06-20T09:37:00Z</cp:lastPrinted>
  <dcterms:created xsi:type="dcterms:W3CDTF">2024-05-05T01:30:00Z</dcterms:created>
  <dcterms:modified xsi:type="dcterms:W3CDTF">2026-01-30T08:47:00Z</dcterms:modified>
</cp:coreProperties>
</file>