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744"/>
        <w:gridCol w:w="4584"/>
        <w:gridCol w:w="1522"/>
      </w:tblGrid>
      <w:tr w:rsidR="00170C90" w:rsidRPr="004F63F0" w14:paraId="0F3DDA35" w14:textId="77777777" w:rsidTr="00652CA8">
        <w:trPr>
          <w:tblHeader/>
        </w:trPr>
        <w:tc>
          <w:tcPr>
            <w:tcW w:w="708" w:type="dxa"/>
            <w:vAlign w:val="center"/>
          </w:tcPr>
          <w:p w14:paraId="09ECACEF" w14:textId="77777777" w:rsidR="00170C90" w:rsidRPr="004F63F0" w:rsidRDefault="00170C90" w:rsidP="00652CA8">
            <w:pPr>
              <w:jc w:val="center"/>
              <w:rPr>
                <w:b/>
                <w:bCs/>
                <w:sz w:val="26"/>
                <w:szCs w:val="26"/>
              </w:rPr>
            </w:pPr>
            <w:bookmarkStart w:id="0" w:name="_Hlk191295628"/>
            <w:r w:rsidRPr="004F63F0">
              <w:rPr>
                <w:b/>
                <w:bCs/>
                <w:sz w:val="26"/>
                <w:szCs w:val="26"/>
              </w:rPr>
              <w:t>TT</w:t>
            </w:r>
          </w:p>
        </w:tc>
        <w:tc>
          <w:tcPr>
            <w:tcW w:w="2744" w:type="dxa"/>
            <w:vAlign w:val="center"/>
          </w:tcPr>
          <w:p w14:paraId="57B2FAE7" w14:textId="77777777" w:rsidR="00170C90" w:rsidRPr="004F63F0" w:rsidRDefault="00170C90" w:rsidP="00652CA8">
            <w:pPr>
              <w:jc w:val="center"/>
              <w:rPr>
                <w:b/>
                <w:bCs/>
                <w:sz w:val="26"/>
                <w:szCs w:val="26"/>
              </w:rPr>
            </w:pPr>
            <w:r w:rsidRPr="004F63F0">
              <w:rPr>
                <w:b/>
                <w:bCs/>
                <w:sz w:val="26"/>
                <w:szCs w:val="26"/>
              </w:rPr>
              <w:t>Nội dung đánh giá</w:t>
            </w:r>
          </w:p>
        </w:tc>
        <w:tc>
          <w:tcPr>
            <w:tcW w:w="6106" w:type="dxa"/>
            <w:gridSpan w:val="2"/>
            <w:vAlign w:val="center"/>
          </w:tcPr>
          <w:p w14:paraId="085064F6" w14:textId="77777777" w:rsidR="00170C90" w:rsidRPr="004F63F0" w:rsidRDefault="00170C90" w:rsidP="00652CA8">
            <w:pPr>
              <w:jc w:val="center"/>
              <w:rPr>
                <w:b/>
                <w:bCs/>
                <w:sz w:val="26"/>
                <w:szCs w:val="26"/>
              </w:rPr>
            </w:pPr>
            <w:r w:rsidRPr="004F63F0">
              <w:rPr>
                <w:b/>
                <w:bCs/>
                <w:sz w:val="26"/>
                <w:szCs w:val="26"/>
              </w:rPr>
              <w:t>Mức độ đáp ứng</w:t>
            </w:r>
          </w:p>
        </w:tc>
      </w:tr>
      <w:tr w:rsidR="00170C90" w:rsidRPr="004F63F0" w14:paraId="66DEF706" w14:textId="77777777" w:rsidTr="00652CA8">
        <w:trPr>
          <w:cantSplit/>
        </w:trPr>
        <w:tc>
          <w:tcPr>
            <w:tcW w:w="708" w:type="dxa"/>
            <w:vAlign w:val="center"/>
          </w:tcPr>
          <w:p w14:paraId="52E8D681" w14:textId="77777777" w:rsidR="00170C90" w:rsidRPr="004F63F0" w:rsidRDefault="00170C90" w:rsidP="00652CA8">
            <w:pPr>
              <w:jc w:val="center"/>
              <w:rPr>
                <w:b/>
                <w:bCs/>
                <w:sz w:val="26"/>
                <w:szCs w:val="26"/>
              </w:rPr>
            </w:pPr>
            <w:r w:rsidRPr="004F63F0">
              <w:rPr>
                <w:b/>
                <w:bCs/>
                <w:sz w:val="26"/>
                <w:szCs w:val="26"/>
              </w:rPr>
              <w:t>I</w:t>
            </w:r>
          </w:p>
        </w:tc>
        <w:tc>
          <w:tcPr>
            <w:tcW w:w="8850" w:type="dxa"/>
            <w:gridSpan w:val="3"/>
            <w:vAlign w:val="center"/>
          </w:tcPr>
          <w:p w14:paraId="4979F5FE" w14:textId="77777777" w:rsidR="00170C90" w:rsidRPr="004F63F0" w:rsidRDefault="00170C90" w:rsidP="00652CA8">
            <w:pPr>
              <w:jc w:val="left"/>
              <w:rPr>
                <w:b/>
                <w:bCs/>
                <w:sz w:val="26"/>
                <w:szCs w:val="26"/>
              </w:rPr>
            </w:pPr>
            <w:r w:rsidRPr="004F63F0">
              <w:rPr>
                <w:b/>
                <w:bCs/>
                <w:sz w:val="26"/>
                <w:szCs w:val="26"/>
              </w:rPr>
              <w:t>Phạm vi cung cấp, đặc tính, thông số kỹ thuật, tiêu chuẩn của hàng hóa, thời gian thực hiện gói thầu</w:t>
            </w:r>
          </w:p>
        </w:tc>
      </w:tr>
      <w:tr w:rsidR="00170C90" w:rsidRPr="004F63F0" w14:paraId="709E78F9" w14:textId="77777777" w:rsidTr="00652CA8">
        <w:tc>
          <w:tcPr>
            <w:tcW w:w="708" w:type="dxa"/>
            <w:vMerge w:val="restart"/>
            <w:vAlign w:val="center"/>
          </w:tcPr>
          <w:p w14:paraId="12B794A6" w14:textId="77777777" w:rsidR="00170C90" w:rsidRPr="004F63F0" w:rsidRDefault="00170C90" w:rsidP="00652CA8">
            <w:pPr>
              <w:jc w:val="center"/>
              <w:rPr>
                <w:b/>
                <w:sz w:val="26"/>
                <w:szCs w:val="26"/>
              </w:rPr>
            </w:pPr>
            <w:r w:rsidRPr="004F63F0">
              <w:rPr>
                <w:b/>
                <w:sz w:val="26"/>
                <w:szCs w:val="26"/>
              </w:rPr>
              <w:t>1</w:t>
            </w:r>
          </w:p>
        </w:tc>
        <w:tc>
          <w:tcPr>
            <w:tcW w:w="2744" w:type="dxa"/>
            <w:vMerge w:val="restart"/>
            <w:vAlign w:val="center"/>
          </w:tcPr>
          <w:p w14:paraId="27CE5443" w14:textId="77777777" w:rsidR="00170C90" w:rsidRPr="004F63F0" w:rsidRDefault="00170C90" w:rsidP="00652CA8">
            <w:pPr>
              <w:jc w:val="left"/>
              <w:rPr>
                <w:b/>
                <w:sz w:val="26"/>
                <w:szCs w:val="26"/>
              </w:rPr>
            </w:pPr>
            <w:r w:rsidRPr="004F63F0">
              <w:rPr>
                <w:b/>
                <w:sz w:val="26"/>
                <w:szCs w:val="26"/>
              </w:rPr>
              <w:t>Tính hợp lệ của hàng hóa dự thầu</w:t>
            </w:r>
          </w:p>
        </w:tc>
        <w:tc>
          <w:tcPr>
            <w:tcW w:w="4584" w:type="dxa"/>
          </w:tcPr>
          <w:p w14:paraId="31834B68" w14:textId="77777777" w:rsidR="00170C90" w:rsidRPr="004F63F0" w:rsidRDefault="00170C90" w:rsidP="00652CA8">
            <w:pPr>
              <w:pStyle w:val="TableParagraph"/>
              <w:spacing w:line="291" w:lineRule="exact"/>
              <w:ind w:left="0"/>
              <w:rPr>
                <w:sz w:val="26"/>
                <w:szCs w:val="26"/>
              </w:rPr>
            </w:pPr>
            <w:r w:rsidRPr="004F63F0">
              <w:rPr>
                <w:sz w:val="26"/>
                <w:szCs w:val="26"/>
              </w:rPr>
              <w:t>Tất cả các mục hàng hóa có đề xuất đầy đủ: ký mã hiệu (theo quy định của nhà sản xuất), nhãn mác sản phẩm (theo quy định của nhà sản xuất), tên nhà sản xuất, nguồn gốc xuất xứ.</w:t>
            </w:r>
          </w:p>
        </w:tc>
        <w:tc>
          <w:tcPr>
            <w:tcW w:w="1522" w:type="dxa"/>
            <w:vAlign w:val="center"/>
          </w:tcPr>
          <w:p w14:paraId="14F0B00C" w14:textId="77777777" w:rsidR="00170C90" w:rsidRPr="004F63F0" w:rsidRDefault="00170C90" w:rsidP="00652CA8">
            <w:pPr>
              <w:jc w:val="center"/>
              <w:rPr>
                <w:b/>
                <w:sz w:val="26"/>
                <w:szCs w:val="26"/>
              </w:rPr>
            </w:pPr>
            <w:r w:rsidRPr="004F63F0">
              <w:rPr>
                <w:b/>
                <w:sz w:val="26"/>
                <w:szCs w:val="26"/>
              </w:rPr>
              <w:t>Đạt</w:t>
            </w:r>
          </w:p>
        </w:tc>
      </w:tr>
      <w:tr w:rsidR="00170C90" w:rsidRPr="004F63F0" w14:paraId="545A88B5" w14:textId="77777777" w:rsidTr="00652CA8">
        <w:tc>
          <w:tcPr>
            <w:tcW w:w="708" w:type="dxa"/>
            <w:vMerge/>
            <w:vAlign w:val="center"/>
          </w:tcPr>
          <w:p w14:paraId="0A93E6A4" w14:textId="77777777" w:rsidR="00170C90" w:rsidRPr="004F63F0" w:rsidRDefault="00170C90" w:rsidP="00652CA8">
            <w:pPr>
              <w:jc w:val="center"/>
              <w:rPr>
                <w:b/>
                <w:sz w:val="26"/>
                <w:szCs w:val="26"/>
              </w:rPr>
            </w:pPr>
          </w:p>
        </w:tc>
        <w:tc>
          <w:tcPr>
            <w:tcW w:w="2744" w:type="dxa"/>
            <w:vMerge/>
            <w:vAlign w:val="center"/>
          </w:tcPr>
          <w:p w14:paraId="6703D08E" w14:textId="77777777" w:rsidR="00170C90" w:rsidRPr="004F63F0" w:rsidRDefault="00170C90" w:rsidP="00652CA8">
            <w:pPr>
              <w:jc w:val="left"/>
              <w:rPr>
                <w:b/>
                <w:sz w:val="26"/>
                <w:szCs w:val="26"/>
              </w:rPr>
            </w:pPr>
          </w:p>
        </w:tc>
        <w:tc>
          <w:tcPr>
            <w:tcW w:w="4584" w:type="dxa"/>
          </w:tcPr>
          <w:p w14:paraId="1864D385" w14:textId="77777777" w:rsidR="00170C90" w:rsidRPr="004F63F0" w:rsidRDefault="00170C90" w:rsidP="00652CA8">
            <w:pPr>
              <w:widowControl w:val="0"/>
              <w:autoSpaceDE w:val="0"/>
              <w:autoSpaceDN w:val="0"/>
              <w:jc w:val="left"/>
              <w:rPr>
                <w:sz w:val="26"/>
                <w:szCs w:val="26"/>
                <w:lang w:val="vi"/>
              </w:rPr>
            </w:pPr>
            <w:r w:rsidRPr="004F63F0">
              <w:rPr>
                <w:sz w:val="26"/>
                <w:szCs w:val="26"/>
              </w:rPr>
              <w:t>Có 01 loại hàng hóa hoàn toàn không nêu: ký mã hiệu (theo quy định của nhà sản xuất), hoặc nhãn mác sản phẩm (theo quy định của nhà sản xuất), tên nhà sản xuất, nguồn gốc xuất xứ.</w:t>
            </w:r>
          </w:p>
        </w:tc>
        <w:tc>
          <w:tcPr>
            <w:tcW w:w="1522" w:type="dxa"/>
            <w:vAlign w:val="center"/>
          </w:tcPr>
          <w:p w14:paraId="6F13596C" w14:textId="77777777" w:rsidR="00170C90" w:rsidRPr="004F63F0" w:rsidRDefault="00170C90" w:rsidP="00652CA8">
            <w:pPr>
              <w:jc w:val="center"/>
              <w:rPr>
                <w:b/>
                <w:sz w:val="26"/>
                <w:szCs w:val="26"/>
              </w:rPr>
            </w:pPr>
            <w:r w:rsidRPr="004F63F0">
              <w:rPr>
                <w:b/>
                <w:sz w:val="26"/>
                <w:szCs w:val="26"/>
              </w:rPr>
              <w:t>Không đạt</w:t>
            </w:r>
          </w:p>
        </w:tc>
      </w:tr>
      <w:tr w:rsidR="00170C90" w:rsidRPr="004F63F0" w14:paraId="0152963C" w14:textId="77777777" w:rsidTr="00652CA8">
        <w:trPr>
          <w:trHeight w:val="926"/>
        </w:trPr>
        <w:tc>
          <w:tcPr>
            <w:tcW w:w="708" w:type="dxa"/>
            <w:vMerge w:val="restart"/>
            <w:vAlign w:val="center"/>
          </w:tcPr>
          <w:p w14:paraId="303B66FD" w14:textId="77777777" w:rsidR="00170C90" w:rsidRPr="004F63F0" w:rsidRDefault="00170C90" w:rsidP="00652CA8">
            <w:pPr>
              <w:jc w:val="center"/>
              <w:rPr>
                <w:b/>
                <w:sz w:val="26"/>
                <w:szCs w:val="26"/>
              </w:rPr>
            </w:pPr>
            <w:r w:rsidRPr="004F63F0">
              <w:rPr>
                <w:b/>
                <w:sz w:val="26"/>
                <w:szCs w:val="26"/>
              </w:rPr>
              <w:t>2</w:t>
            </w:r>
          </w:p>
        </w:tc>
        <w:tc>
          <w:tcPr>
            <w:tcW w:w="2744" w:type="dxa"/>
            <w:vMerge w:val="restart"/>
            <w:vAlign w:val="center"/>
          </w:tcPr>
          <w:p w14:paraId="71EACC94" w14:textId="77777777" w:rsidR="00170C90" w:rsidRPr="004F63F0" w:rsidRDefault="00170C90" w:rsidP="00652CA8">
            <w:pPr>
              <w:jc w:val="left"/>
              <w:rPr>
                <w:b/>
                <w:sz w:val="26"/>
                <w:szCs w:val="26"/>
              </w:rPr>
            </w:pPr>
            <w:r w:rsidRPr="004F63F0">
              <w:rPr>
                <w:b/>
                <w:sz w:val="26"/>
                <w:szCs w:val="26"/>
              </w:rPr>
              <w:t>Đặc tính, cấu hình, thông số kỹ thuật của hàng hóa theo yêu cầu tại Chương V – Yêu cầu kỹ thuật</w:t>
            </w:r>
          </w:p>
        </w:tc>
        <w:tc>
          <w:tcPr>
            <w:tcW w:w="4584" w:type="dxa"/>
          </w:tcPr>
          <w:p w14:paraId="57B72D58" w14:textId="77777777" w:rsidR="00170C90" w:rsidRPr="004F63F0" w:rsidRDefault="00170C90" w:rsidP="00652CA8">
            <w:pPr>
              <w:jc w:val="left"/>
              <w:rPr>
                <w:sz w:val="26"/>
                <w:szCs w:val="26"/>
              </w:rPr>
            </w:pPr>
            <w:r w:rsidRPr="004F63F0">
              <w:rPr>
                <w:sz w:val="26"/>
                <w:szCs w:val="26"/>
              </w:rPr>
              <w:t>Tất cả hàng hóa có đặc tính, cấu hình, thông số kỹ thuật phù hợp, đáp ứng yêu cầu tại chương V. Tiêu chuẩn kỹ thuật.</w:t>
            </w:r>
          </w:p>
        </w:tc>
        <w:tc>
          <w:tcPr>
            <w:tcW w:w="1522" w:type="dxa"/>
            <w:vAlign w:val="center"/>
          </w:tcPr>
          <w:p w14:paraId="2953723F" w14:textId="77777777" w:rsidR="00170C90" w:rsidRPr="004F63F0" w:rsidRDefault="00170C90" w:rsidP="00652CA8">
            <w:pPr>
              <w:jc w:val="center"/>
              <w:rPr>
                <w:b/>
                <w:sz w:val="26"/>
                <w:szCs w:val="26"/>
              </w:rPr>
            </w:pPr>
            <w:r w:rsidRPr="004F63F0">
              <w:rPr>
                <w:b/>
                <w:sz w:val="26"/>
                <w:szCs w:val="26"/>
              </w:rPr>
              <w:t>Đạt</w:t>
            </w:r>
          </w:p>
        </w:tc>
      </w:tr>
      <w:tr w:rsidR="00170C90" w:rsidRPr="004F63F0" w14:paraId="3192C78D" w14:textId="77777777" w:rsidTr="00652CA8">
        <w:tc>
          <w:tcPr>
            <w:tcW w:w="708" w:type="dxa"/>
            <w:vMerge/>
            <w:vAlign w:val="center"/>
          </w:tcPr>
          <w:p w14:paraId="585A29E0" w14:textId="77777777" w:rsidR="00170C90" w:rsidRPr="004F63F0" w:rsidRDefault="00170C90" w:rsidP="00652CA8">
            <w:pPr>
              <w:jc w:val="center"/>
              <w:rPr>
                <w:b/>
                <w:sz w:val="26"/>
                <w:szCs w:val="26"/>
              </w:rPr>
            </w:pPr>
          </w:p>
        </w:tc>
        <w:tc>
          <w:tcPr>
            <w:tcW w:w="2744" w:type="dxa"/>
            <w:vMerge/>
            <w:vAlign w:val="center"/>
          </w:tcPr>
          <w:p w14:paraId="16056B6B" w14:textId="77777777" w:rsidR="00170C90" w:rsidRPr="004F63F0" w:rsidRDefault="00170C90" w:rsidP="00652CA8">
            <w:pPr>
              <w:jc w:val="left"/>
              <w:rPr>
                <w:sz w:val="26"/>
                <w:szCs w:val="26"/>
              </w:rPr>
            </w:pPr>
          </w:p>
        </w:tc>
        <w:tc>
          <w:tcPr>
            <w:tcW w:w="4584" w:type="dxa"/>
            <w:vAlign w:val="center"/>
          </w:tcPr>
          <w:p w14:paraId="68F69C2B" w14:textId="77777777" w:rsidR="00170C90" w:rsidRPr="004F63F0" w:rsidRDefault="00170C90" w:rsidP="00652CA8">
            <w:pPr>
              <w:pStyle w:val="TableParagraph"/>
              <w:tabs>
                <w:tab w:val="left" w:pos="272"/>
              </w:tabs>
              <w:ind w:left="0" w:right="64"/>
              <w:rPr>
                <w:sz w:val="26"/>
                <w:szCs w:val="26"/>
              </w:rPr>
            </w:pPr>
            <w:r w:rsidRPr="004F63F0">
              <w:rPr>
                <w:sz w:val="26"/>
                <w:szCs w:val="26"/>
              </w:rPr>
              <w:t>Có 01 loại hàng hóa có đặc tính, cấu hình, thông số kỹ thuật không đáp ứng yêu cầu tại chương V. Tiêu chuẩn kỹ thuật.</w:t>
            </w:r>
          </w:p>
        </w:tc>
        <w:tc>
          <w:tcPr>
            <w:tcW w:w="1522" w:type="dxa"/>
            <w:vAlign w:val="center"/>
          </w:tcPr>
          <w:p w14:paraId="57D21595" w14:textId="77777777" w:rsidR="00170C90" w:rsidRPr="004F63F0" w:rsidRDefault="00170C90" w:rsidP="00652CA8">
            <w:pPr>
              <w:jc w:val="center"/>
              <w:rPr>
                <w:b/>
                <w:sz w:val="26"/>
                <w:szCs w:val="26"/>
              </w:rPr>
            </w:pPr>
            <w:r w:rsidRPr="004F63F0">
              <w:rPr>
                <w:b/>
                <w:sz w:val="26"/>
                <w:szCs w:val="26"/>
              </w:rPr>
              <w:t>Không đạt</w:t>
            </w:r>
          </w:p>
        </w:tc>
      </w:tr>
      <w:tr w:rsidR="00170C90" w:rsidRPr="004F63F0" w14:paraId="3747D0DD" w14:textId="77777777" w:rsidTr="00652CA8">
        <w:tc>
          <w:tcPr>
            <w:tcW w:w="708" w:type="dxa"/>
            <w:vMerge w:val="restart"/>
            <w:vAlign w:val="center"/>
          </w:tcPr>
          <w:p w14:paraId="66FE3E91" w14:textId="77777777" w:rsidR="00170C90" w:rsidRPr="004F63F0" w:rsidRDefault="00170C90" w:rsidP="00652CA8">
            <w:pPr>
              <w:jc w:val="center"/>
              <w:rPr>
                <w:b/>
                <w:sz w:val="26"/>
                <w:szCs w:val="26"/>
              </w:rPr>
            </w:pPr>
            <w:r w:rsidRPr="004F63F0">
              <w:rPr>
                <w:b/>
                <w:sz w:val="26"/>
                <w:szCs w:val="26"/>
              </w:rPr>
              <w:t>3</w:t>
            </w:r>
          </w:p>
        </w:tc>
        <w:tc>
          <w:tcPr>
            <w:tcW w:w="2744" w:type="dxa"/>
            <w:vMerge w:val="restart"/>
            <w:vAlign w:val="center"/>
          </w:tcPr>
          <w:p w14:paraId="42B3326B" w14:textId="77777777" w:rsidR="00170C90" w:rsidRPr="004F63F0" w:rsidRDefault="00170C90" w:rsidP="00652CA8">
            <w:pPr>
              <w:widowControl w:val="0"/>
              <w:tabs>
                <w:tab w:val="left" w:pos="834"/>
                <w:tab w:val="left" w:pos="1511"/>
                <w:tab w:val="left" w:pos="2245"/>
              </w:tabs>
              <w:autoSpaceDE w:val="0"/>
              <w:autoSpaceDN w:val="0"/>
              <w:spacing w:before="1"/>
              <w:ind w:right="100"/>
              <w:jc w:val="left"/>
              <w:rPr>
                <w:b/>
                <w:sz w:val="26"/>
                <w:szCs w:val="26"/>
                <w:lang w:val="vi"/>
              </w:rPr>
            </w:pPr>
            <w:r w:rsidRPr="004F63F0">
              <w:rPr>
                <w:b/>
                <w:sz w:val="26"/>
                <w:szCs w:val="26"/>
                <w:lang w:val="vi"/>
              </w:rPr>
              <w:t>Hàng hóa dự thầu đáp ứng theo quy định tại CDNT 10.8 Chương II của HSMT</w:t>
            </w:r>
          </w:p>
        </w:tc>
        <w:tc>
          <w:tcPr>
            <w:tcW w:w="4584" w:type="dxa"/>
            <w:vAlign w:val="center"/>
          </w:tcPr>
          <w:p w14:paraId="6FA2025E" w14:textId="77777777" w:rsidR="00170C90" w:rsidRPr="004F63F0" w:rsidRDefault="00170C90" w:rsidP="00652CA8">
            <w:pPr>
              <w:pStyle w:val="TableParagraph"/>
              <w:spacing w:line="291" w:lineRule="exact"/>
              <w:ind w:left="0"/>
              <w:rPr>
                <w:sz w:val="26"/>
                <w:szCs w:val="26"/>
              </w:rPr>
            </w:pPr>
            <w:r w:rsidRPr="004F63F0">
              <w:rPr>
                <w:rFonts w:eastAsia="Calibri"/>
                <w:sz w:val="26"/>
                <w:szCs w:val="26"/>
              </w:rPr>
              <w:t>Đáp ứng theo quy định tại CDNT 10.8 Chương II của HSMT này</w:t>
            </w:r>
          </w:p>
        </w:tc>
        <w:tc>
          <w:tcPr>
            <w:tcW w:w="1522" w:type="dxa"/>
            <w:vAlign w:val="center"/>
          </w:tcPr>
          <w:p w14:paraId="3541C5A3" w14:textId="77777777" w:rsidR="00170C90" w:rsidRPr="004F63F0" w:rsidRDefault="00170C90" w:rsidP="00652CA8">
            <w:pPr>
              <w:jc w:val="center"/>
              <w:rPr>
                <w:b/>
                <w:sz w:val="26"/>
                <w:szCs w:val="26"/>
              </w:rPr>
            </w:pPr>
            <w:r w:rsidRPr="004F63F0">
              <w:rPr>
                <w:b/>
                <w:sz w:val="26"/>
                <w:szCs w:val="26"/>
              </w:rPr>
              <w:t>Đạt</w:t>
            </w:r>
          </w:p>
        </w:tc>
      </w:tr>
      <w:tr w:rsidR="00170C90" w:rsidRPr="004F63F0" w14:paraId="0EB42AF3" w14:textId="77777777" w:rsidTr="00652CA8">
        <w:tc>
          <w:tcPr>
            <w:tcW w:w="708" w:type="dxa"/>
            <w:vMerge/>
            <w:vAlign w:val="center"/>
          </w:tcPr>
          <w:p w14:paraId="59246F2C" w14:textId="77777777" w:rsidR="00170C90" w:rsidRPr="004F63F0" w:rsidRDefault="00170C90" w:rsidP="00652CA8">
            <w:pPr>
              <w:jc w:val="center"/>
              <w:rPr>
                <w:b/>
                <w:sz w:val="26"/>
                <w:szCs w:val="26"/>
              </w:rPr>
            </w:pPr>
          </w:p>
        </w:tc>
        <w:tc>
          <w:tcPr>
            <w:tcW w:w="2744" w:type="dxa"/>
            <w:vMerge/>
            <w:tcBorders>
              <w:top w:val="nil"/>
            </w:tcBorders>
            <w:vAlign w:val="center"/>
          </w:tcPr>
          <w:p w14:paraId="65C9D05C" w14:textId="77777777" w:rsidR="00170C90" w:rsidRPr="004F63F0" w:rsidRDefault="00170C90" w:rsidP="00652CA8">
            <w:pPr>
              <w:jc w:val="left"/>
              <w:rPr>
                <w:sz w:val="26"/>
                <w:szCs w:val="26"/>
              </w:rPr>
            </w:pPr>
          </w:p>
        </w:tc>
        <w:tc>
          <w:tcPr>
            <w:tcW w:w="4584" w:type="dxa"/>
            <w:vAlign w:val="center"/>
          </w:tcPr>
          <w:p w14:paraId="0A4B5069" w14:textId="77777777" w:rsidR="00170C90" w:rsidRPr="004F63F0" w:rsidRDefault="00170C90" w:rsidP="00652CA8">
            <w:pPr>
              <w:pStyle w:val="TableParagraph"/>
              <w:tabs>
                <w:tab w:val="left" w:pos="4730"/>
              </w:tabs>
              <w:spacing w:line="291" w:lineRule="exact"/>
              <w:ind w:left="0"/>
              <w:rPr>
                <w:sz w:val="26"/>
                <w:szCs w:val="26"/>
              </w:rPr>
            </w:pPr>
            <w:r w:rsidRPr="004F63F0">
              <w:rPr>
                <w:rFonts w:eastAsia="Calibri"/>
                <w:sz w:val="26"/>
                <w:szCs w:val="26"/>
                <w:lang w:val="nl-NL"/>
              </w:rPr>
              <w:t>Không đáp ứng theo quy định tại CDNT 10.8 Chương II của HSMT này</w:t>
            </w:r>
          </w:p>
        </w:tc>
        <w:tc>
          <w:tcPr>
            <w:tcW w:w="1522" w:type="dxa"/>
            <w:vAlign w:val="center"/>
          </w:tcPr>
          <w:p w14:paraId="065890B5" w14:textId="77777777" w:rsidR="00170C90" w:rsidRPr="004F63F0" w:rsidRDefault="00170C90" w:rsidP="00652CA8">
            <w:pPr>
              <w:jc w:val="center"/>
              <w:rPr>
                <w:b/>
                <w:sz w:val="26"/>
                <w:szCs w:val="26"/>
              </w:rPr>
            </w:pPr>
            <w:r w:rsidRPr="004F63F0">
              <w:rPr>
                <w:b/>
                <w:sz w:val="26"/>
                <w:szCs w:val="26"/>
              </w:rPr>
              <w:t>Không đạt</w:t>
            </w:r>
          </w:p>
        </w:tc>
      </w:tr>
      <w:tr w:rsidR="00170C90" w:rsidRPr="004F63F0" w14:paraId="7C8D48A2" w14:textId="77777777" w:rsidTr="00652CA8">
        <w:tc>
          <w:tcPr>
            <w:tcW w:w="708" w:type="dxa"/>
            <w:vAlign w:val="center"/>
          </w:tcPr>
          <w:p w14:paraId="30E072C9" w14:textId="77777777" w:rsidR="00170C90" w:rsidRPr="004F63F0" w:rsidRDefault="00170C90" w:rsidP="00652CA8">
            <w:pPr>
              <w:jc w:val="center"/>
              <w:rPr>
                <w:b/>
                <w:sz w:val="26"/>
                <w:szCs w:val="26"/>
              </w:rPr>
            </w:pPr>
            <w:r w:rsidRPr="004F63F0">
              <w:rPr>
                <w:b/>
                <w:sz w:val="26"/>
                <w:szCs w:val="26"/>
              </w:rPr>
              <w:t>II</w:t>
            </w:r>
          </w:p>
        </w:tc>
        <w:tc>
          <w:tcPr>
            <w:tcW w:w="8850" w:type="dxa"/>
            <w:gridSpan w:val="3"/>
            <w:tcBorders>
              <w:top w:val="nil"/>
            </w:tcBorders>
            <w:vAlign w:val="center"/>
          </w:tcPr>
          <w:p w14:paraId="2DA05FF0" w14:textId="77777777" w:rsidR="00170C90" w:rsidRPr="004F63F0" w:rsidRDefault="00170C90" w:rsidP="00652CA8">
            <w:pPr>
              <w:jc w:val="left"/>
              <w:rPr>
                <w:b/>
                <w:bCs/>
                <w:sz w:val="26"/>
                <w:szCs w:val="26"/>
              </w:rPr>
            </w:pPr>
            <w:r w:rsidRPr="004F63F0">
              <w:rPr>
                <w:b/>
                <w:bCs/>
                <w:sz w:val="26"/>
                <w:szCs w:val="26"/>
              </w:rPr>
              <w:t>Tiêu chuẩn chất lượng của hàng hóa</w:t>
            </w:r>
          </w:p>
        </w:tc>
      </w:tr>
      <w:tr w:rsidR="00170C90" w:rsidRPr="004F63F0" w14:paraId="5074147B" w14:textId="77777777" w:rsidTr="00652CA8">
        <w:tc>
          <w:tcPr>
            <w:tcW w:w="708" w:type="dxa"/>
            <w:vMerge w:val="restart"/>
            <w:vAlign w:val="center"/>
          </w:tcPr>
          <w:p w14:paraId="532875DF" w14:textId="77777777" w:rsidR="00170C90" w:rsidRPr="004F63F0" w:rsidRDefault="00170C90" w:rsidP="00652CA8">
            <w:pPr>
              <w:jc w:val="center"/>
              <w:rPr>
                <w:b/>
                <w:sz w:val="26"/>
                <w:szCs w:val="26"/>
              </w:rPr>
            </w:pPr>
            <w:r w:rsidRPr="004F63F0">
              <w:rPr>
                <w:b/>
                <w:sz w:val="26"/>
                <w:szCs w:val="26"/>
              </w:rPr>
              <w:t>1</w:t>
            </w:r>
          </w:p>
        </w:tc>
        <w:tc>
          <w:tcPr>
            <w:tcW w:w="2744" w:type="dxa"/>
            <w:vMerge w:val="restart"/>
            <w:tcBorders>
              <w:top w:val="nil"/>
            </w:tcBorders>
            <w:vAlign w:val="center"/>
          </w:tcPr>
          <w:p w14:paraId="45F1AD1B" w14:textId="49DBF2BC" w:rsidR="00170C90" w:rsidRPr="004F63F0" w:rsidRDefault="00170C90" w:rsidP="00652CA8">
            <w:pPr>
              <w:jc w:val="left"/>
              <w:rPr>
                <w:b/>
                <w:bCs/>
                <w:sz w:val="26"/>
                <w:szCs w:val="26"/>
              </w:rPr>
            </w:pPr>
            <w:r w:rsidRPr="004F63F0">
              <w:rPr>
                <w:b/>
                <w:bCs/>
                <w:sz w:val="26"/>
                <w:szCs w:val="26"/>
              </w:rPr>
              <w:t xml:space="preserve">Tài liệu chứng minh nguồn gốc xuất xứ của hàng hóa </w:t>
            </w:r>
            <w:r w:rsidRPr="004F63F0">
              <w:rPr>
                <w:b/>
                <w:bCs/>
                <w:sz w:val="26"/>
                <w:szCs w:val="26"/>
              </w:rPr>
              <w:tab/>
            </w:r>
          </w:p>
        </w:tc>
        <w:tc>
          <w:tcPr>
            <w:tcW w:w="4584" w:type="dxa"/>
            <w:vAlign w:val="center"/>
          </w:tcPr>
          <w:p w14:paraId="638ACA1C" w14:textId="77777777" w:rsidR="00170C90" w:rsidRPr="004F63F0" w:rsidRDefault="00170C90" w:rsidP="00652CA8">
            <w:pPr>
              <w:pStyle w:val="TableParagraph"/>
              <w:spacing w:line="291" w:lineRule="exact"/>
              <w:ind w:left="0"/>
              <w:rPr>
                <w:sz w:val="26"/>
                <w:szCs w:val="26"/>
              </w:rPr>
            </w:pPr>
            <w:r w:rsidRPr="004F63F0">
              <w:rPr>
                <w:sz w:val="26"/>
                <w:szCs w:val="26"/>
              </w:rPr>
              <w:t>Có cam kết cung cấp tài liệu chứng nhận nguồn gốc xuất xứ (CO) đối với hàng nhập khẩu và tài liệu chứng nhận nguồn gốc xuất xứ đối với hàng sản xuất trong nước khi bàn giao hàng hóa (Trừ vật tư phụ kiện, hàng hóa gia công, hàng hóa có giá trị thấp, nhỏ lẻ).</w:t>
            </w:r>
          </w:p>
        </w:tc>
        <w:tc>
          <w:tcPr>
            <w:tcW w:w="1522" w:type="dxa"/>
            <w:vAlign w:val="center"/>
          </w:tcPr>
          <w:p w14:paraId="5E788430" w14:textId="77777777" w:rsidR="00170C90" w:rsidRPr="004F63F0" w:rsidRDefault="00170C90" w:rsidP="00652CA8">
            <w:pPr>
              <w:jc w:val="center"/>
              <w:rPr>
                <w:b/>
                <w:sz w:val="26"/>
                <w:szCs w:val="26"/>
              </w:rPr>
            </w:pPr>
            <w:r w:rsidRPr="004F63F0">
              <w:rPr>
                <w:b/>
                <w:sz w:val="26"/>
                <w:szCs w:val="26"/>
              </w:rPr>
              <w:t>Đạt</w:t>
            </w:r>
          </w:p>
        </w:tc>
      </w:tr>
      <w:tr w:rsidR="00170C90" w:rsidRPr="004F63F0" w14:paraId="1A856443" w14:textId="77777777" w:rsidTr="00652CA8">
        <w:tc>
          <w:tcPr>
            <w:tcW w:w="708" w:type="dxa"/>
            <w:vMerge/>
            <w:vAlign w:val="center"/>
          </w:tcPr>
          <w:p w14:paraId="104293DE" w14:textId="77777777" w:rsidR="00170C90" w:rsidRPr="004F63F0" w:rsidRDefault="00170C90" w:rsidP="00652CA8">
            <w:pPr>
              <w:jc w:val="center"/>
              <w:rPr>
                <w:b/>
                <w:sz w:val="26"/>
                <w:szCs w:val="26"/>
              </w:rPr>
            </w:pPr>
          </w:p>
        </w:tc>
        <w:tc>
          <w:tcPr>
            <w:tcW w:w="2744" w:type="dxa"/>
            <w:vMerge/>
            <w:vAlign w:val="center"/>
          </w:tcPr>
          <w:p w14:paraId="652F75AD" w14:textId="77777777" w:rsidR="00170C90" w:rsidRPr="004F63F0" w:rsidRDefault="00170C90" w:rsidP="00652CA8">
            <w:pPr>
              <w:jc w:val="left"/>
              <w:rPr>
                <w:sz w:val="26"/>
                <w:szCs w:val="26"/>
              </w:rPr>
            </w:pPr>
          </w:p>
        </w:tc>
        <w:tc>
          <w:tcPr>
            <w:tcW w:w="4584" w:type="dxa"/>
            <w:vAlign w:val="center"/>
          </w:tcPr>
          <w:p w14:paraId="68C2595E" w14:textId="77777777" w:rsidR="00170C90" w:rsidRPr="004F63F0" w:rsidRDefault="00170C90" w:rsidP="00652CA8">
            <w:pPr>
              <w:pStyle w:val="TableParagraph"/>
              <w:spacing w:line="291" w:lineRule="exact"/>
              <w:ind w:left="0"/>
              <w:rPr>
                <w:sz w:val="26"/>
                <w:szCs w:val="26"/>
              </w:rPr>
            </w:pPr>
            <w:r w:rsidRPr="004F63F0">
              <w:rPr>
                <w:sz w:val="26"/>
                <w:szCs w:val="26"/>
              </w:rPr>
              <w:t>Không có cam kết cung cấp tài liệu chứng nhận nguồn gốc xuất xứ (CO) đối với hàng nhập khẩu và tài liệu chứng nhận nguồn gốc xuất xứ đối với hàng sản xuất trong nước khi bàn giao hàng hóa (Trừ vật tư phụ kiện, hàng hóa gia công, hàng hóa có giá trị thấp, nhỏ lẻ).</w:t>
            </w:r>
          </w:p>
        </w:tc>
        <w:tc>
          <w:tcPr>
            <w:tcW w:w="1522" w:type="dxa"/>
            <w:vAlign w:val="center"/>
          </w:tcPr>
          <w:p w14:paraId="02EB5E18" w14:textId="77777777" w:rsidR="00170C90" w:rsidRPr="004F63F0" w:rsidRDefault="00170C90" w:rsidP="00652CA8">
            <w:pPr>
              <w:jc w:val="center"/>
              <w:rPr>
                <w:b/>
                <w:sz w:val="26"/>
                <w:szCs w:val="26"/>
              </w:rPr>
            </w:pPr>
            <w:r w:rsidRPr="004F63F0">
              <w:rPr>
                <w:b/>
                <w:sz w:val="26"/>
                <w:szCs w:val="26"/>
              </w:rPr>
              <w:t>Không đạt</w:t>
            </w:r>
          </w:p>
        </w:tc>
      </w:tr>
      <w:tr w:rsidR="00170C90" w:rsidRPr="004F63F0" w14:paraId="3135B929" w14:textId="77777777" w:rsidTr="00652CA8">
        <w:tc>
          <w:tcPr>
            <w:tcW w:w="708" w:type="dxa"/>
            <w:vAlign w:val="center"/>
          </w:tcPr>
          <w:p w14:paraId="0A6411E5" w14:textId="77777777" w:rsidR="00170C90" w:rsidRPr="004F63F0" w:rsidRDefault="00170C90" w:rsidP="00652CA8">
            <w:pPr>
              <w:jc w:val="center"/>
              <w:rPr>
                <w:b/>
                <w:sz w:val="26"/>
                <w:szCs w:val="26"/>
              </w:rPr>
            </w:pPr>
            <w:r w:rsidRPr="004F63F0">
              <w:rPr>
                <w:b/>
                <w:sz w:val="26"/>
                <w:szCs w:val="26"/>
              </w:rPr>
              <w:t>III</w:t>
            </w:r>
          </w:p>
        </w:tc>
        <w:tc>
          <w:tcPr>
            <w:tcW w:w="8850" w:type="dxa"/>
            <w:gridSpan w:val="3"/>
            <w:tcBorders>
              <w:top w:val="nil"/>
            </w:tcBorders>
            <w:vAlign w:val="center"/>
          </w:tcPr>
          <w:p w14:paraId="3C0F4779" w14:textId="77777777" w:rsidR="00170C90" w:rsidRPr="004F63F0" w:rsidRDefault="00170C90" w:rsidP="00652CA8">
            <w:pPr>
              <w:jc w:val="left"/>
              <w:rPr>
                <w:b/>
                <w:bCs/>
                <w:sz w:val="26"/>
                <w:szCs w:val="26"/>
              </w:rPr>
            </w:pPr>
            <w:r w:rsidRPr="004F63F0">
              <w:rPr>
                <w:b/>
                <w:sz w:val="26"/>
                <w:szCs w:val="26"/>
              </w:rPr>
              <w:t>Tiến độ cung cấp, lắp đặt hàng hóa</w:t>
            </w:r>
          </w:p>
        </w:tc>
      </w:tr>
      <w:tr w:rsidR="00170C90" w:rsidRPr="004F63F0" w14:paraId="4A5DA8C8" w14:textId="77777777" w:rsidTr="00652CA8">
        <w:tc>
          <w:tcPr>
            <w:tcW w:w="708" w:type="dxa"/>
            <w:vMerge w:val="restart"/>
            <w:vAlign w:val="center"/>
          </w:tcPr>
          <w:p w14:paraId="750D2951" w14:textId="77777777" w:rsidR="00170C90" w:rsidRPr="004F63F0" w:rsidRDefault="00170C90" w:rsidP="00652CA8">
            <w:pPr>
              <w:jc w:val="center"/>
              <w:rPr>
                <w:b/>
                <w:sz w:val="26"/>
                <w:szCs w:val="26"/>
              </w:rPr>
            </w:pPr>
            <w:r w:rsidRPr="004F63F0">
              <w:rPr>
                <w:b/>
                <w:sz w:val="26"/>
                <w:szCs w:val="26"/>
              </w:rPr>
              <w:t>1</w:t>
            </w:r>
          </w:p>
        </w:tc>
        <w:tc>
          <w:tcPr>
            <w:tcW w:w="2744" w:type="dxa"/>
            <w:vMerge w:val="restart"/>
            <w:vAlign w:val="center"/>
          </w:tcPr>
          <w:p w14:paraId="14F6F6F3" w14:textId="77777777" w:rsidR="00170C90" w:rsidRPr="004F63F0" w:rsidRDefault="00170C90" w:rsidP="00652CA8">
            <w:pPr>
              <w:jc w:val="left"/>
              <w:rPr>
                <w:b/>
                <w:bCs/>
                <w:sz w:val="26"/>
                <w:szCs w:val="26"/>
              </w:rPr>
            </w:pPr>
            <w:r w:rsidRPr="004F63F0">
              <w:rPr>
                <w:b/>
                <w:sz w:val="26"/>
                <w:szCs w:val="26"/>
                <w:lang w:val="vi"/>
              </w:rPr>
              <w:t xml:space="preserve">Bảng tiến độ cung cấp hàng hóa hợp lý, khả thi phù hợp với đề xuất kỹ thuật và đáp </w:t>
            </w:r>
            <w:r w:rsidRPr="004F63F0">
              <w:rPr>
                <w:b/>
                <w:sz w:val="26"/>
                <w:szCs w:val="26"/>
                <w:lang w:val="vi"/>
              </w:rPr>
              <w:lastRenderedPageBreak/>
              <w:t>ứng yêu cầu của HSMT.</w:t>
            </w:r>
          </w:p>
        </w:tc>
        <w:tc>
          <w:tcPr>
            <w:tcW w:w="4584" w:type="dxa"/>
            <w:tcBorders>
              <w:top w:val="single" w:sz="4" w:space="0" w:color="auto"/>
              <w:left w:val="single" w:sz="4" w:space="0" w:color="auto"/>
              <w:bottom w:val="single" w:sz="4" w:space="0" w:color="auto"/>
              <w:right w:val="single" w:sz="4" w:space="0" w:color="auto"/>
            </w:tcBorders>
            <w:vAlign w:val="center"/>
          </w:tcPr>
          <w:p w14:paraId="616C78C1" w14:textId="1A8E3371" w:rsidR="00170C90" w:rsidRPr="004F63F0" w:rsidRDefault="00170C90" w:rsidP="00652CA8">
            <w:pPr>
              <w:pStyle w:val="TableParagraph"/>
              <w:spacing w:line="289" w:lineRule="exact"/>
              <w:ind w:left="4"/>
              <w:rPr>
                <w:sz w:val="26"/>
                <w:szCs w:val="26"/>
              </w:rPr>
            </w:pPr>
            <w:r w:rsidRPr="004F63F0">
              <w:rPr>
                <w:sz w:val="26"/>
                <w:szCs w:val="26"/>
              </w:rPr>
              <w:lastRenderedPageBreak/>
              <w:t>Có Bảng biểu tiến độ cung cấp hàng hóa hợp lý, khả thi và phù hợp, thuyết minh chi tiết kế hoạch cung cấp các địa điểm, có thời gian thực hiện ≤</w:t>
            </w:r>
            <w:r w:rsidR="00D9543C">
              <w:rPr>
                <w:sz w:val="26"/>
                <w:szCs w:val="26"/>
              </w:rPr>
              <w:t xml:space="preserve"> 03</w:t>
            </w:r>
            <w:r w:rsidRPr="004F63F0">
              <w:rPr>
                <w:sz w:val="26"/>
                <w:szCs w:val="26"/>
              </w:rPr>
              <w:t xml:space="preserve"> ngày kể từ ngày hợp đồng có hiệu lực.</w:t>
            </w:r>
          </w:p>
        </w:tc>
        <w:tc>
          <w:tcPr>
            <w:tcW w:w="1522" w:type="dxa"/>
            <w:vAlign w:val="center"/>
          </w:tcPr>
          <w:p w14:paraId="196171F6" w14:textId="77777777" w:rsidR="00170C90" w:rsidRPr="004F63F0" w:rsidRDefault="00170C90" w:rsidP="00652CA8">
            <w:pPr>
              <w:jc w:val="center"/>
              <w:rPr>
                <w:b/>
                <w:sz w:val="26"/>
                <w:szCs w:val="26"/>
              </w:rPr>
            </w:pPr>
            <w:r w:rsidRPr="004F63F0">
              <w:rPr>
                <w:b/>
                <w:sz w:val="26"/>
                <w:szCs w:val="26"/>
              </w:rPr>
              <w:t>Đạt</w:t>
            </w:r>
          </w:p>
        </w:tc>
      </w:tr>
      <w:tr w:rsidR="00170C90" w:rsidRPr="004F63F0" w14:paraId="6113DE50" w14:textId="77777777" w:rsidTr="00652CA8">
        <w:tc>
          <w:tcPr>
            <w:tcW w:w="708" w:type="dxa"/>
            <w:vMerge/>
            <w:vAlign w:val="center"/>
          </w:tcPr>
          <w:p w14:paraId="0620E643" w14:textId="77777777" w:rsidR="00170C90" w:rsidRPr="004F63F0" w:rsidRDefault="00170C90" w:rsidP="00652CA8">
            <w:pPr>
              <w:jc w:val="center"/>
              <w:rPr>
                <w:b/>
                <w:sz w:val="26"/>
                <w:szCs w:val="26"/>
              </w:rPr>
            </w:pPr>
          </w:p>
        </w:tc>
        <w:tc>
          <w:tcPr>
            <w:tcW w:w="2744" w:type="dxa"/>
            <w:vMerge/>
            <w:tcBorders>
              <w:top w:val="nil"/>
            </w:tcBorders>
            <w:vAlign w:val="center"/>
          </w:tcPr>
          <w:p w14:paraId="372E5781" w14:textId="77777777" w:rsidR="00170C90" w:rsidRPr="004F63F0" w:rsidRDefault="00170C90" w:rsidP="00652CA8">
            <w:pPr>
              <w:jc w:val="left"/>
              <w:rPr>
                <w:sz w:val="26"/>
                <w:szCs w:val="26"/>
              </w:rPr>
            </w:pPr>
          </w:p>
        </w:tc>
        <w:tc>
          <w:tcPr>
            <w:tcW w:w="4584" w:type="dxa"/>
            <w:tcBorders>
              <w:top w:val="single" w:sz="4" w:space="0" w:color="auto"/>
            </w:tcBorders>
            <w:vAlign w:val="center"/>
          </w:tcPr>
          <w:p w14:paraId="07DFCE6D" w14:textId="18D4B4BB" w:rsidR="00170C90" w:rsidRPr="004F63F0" w:rsidRDefault="00170C90" w:rsidP="00652CA8">
            <w:pPr>
              <w:pStyle w:val="TableParagraph"/>
              <w:spacing w:line="291" w:lineRule="exact"/>
              <w:ind w:left="0"/>
              <w:rPr>
                <w:sz w:val="26"/>
                <w:szCs w:val="26"/>
              </w:rPr>
            </w:pPr>
            <w:r w:rsidRPr="004F63F0">
              <w:rPr>
                <w:sz w:val="26"/>
                <w:szCs w:val="26"/>
              </w:rPr>
              <w:t xml:space="preserve">Không có Bảng biểu tiến độ cung cấp hàng hóa, không có thuyết minh chi tiết kế hoạch cung cấp các địa điểm; có thời gian thực hiện &gt; </w:t>
            </w:r>
            <w:r w:rsidR="00D9543C">
              <w:rPr>
                <w:sz w:val="26"/>
                <w:szCs w:val="26"/>
              </w:rPr>
              <w:t>03</w:t>
            </w:r>
            <w:r w:rsidRPr="004F63F0">
              <w:rPr>
                <w:sz w:val="26"/>
                <w:szCs w:val="26"/>
              </w:rPr>
              <w:t xml:space="preserve"> ngày kể từ ngày hợp đồng có hiệu lực.</w:t>
            </w:r>
          </w:p>
        </w:tc>
        <w:tc>
          <w:tcPr>
            <w:tcW w:w="1522" w:type="dxa"/>
            <w:vAlign w:val="center"/>
          </w:tcPr>
          <w:p w14:paraId="2FFEE7EB" w14:textId="77777777" w:rsidR="00170C90" w:rsidRPr="004F63F0" w:rsidRDefault="00170C90" w:rsidP="00652CA8">
            <w:pPr>
              <w:jc w:val="center"/>
              <w:rPr>
                <w:b/>
                <w:sz w:val="26"/>
                <w:szCs w:val="26"/>
              </w:rPr>
            </w:pPr>
            <w:r w:rsidRPr="004F63F0">
              <w:rPr>
                <w:b/>
                <w:sz w:val="26"/>
                <w:szCs w:val="26"/>
              </w:rPr>
              <w:t>Không đạt</w:t>
            </w:r>
          </w:p>
        </w:tc>
      </w:tr>
      <w:tr w:rsidR="00170C90" w:rsidRPr="004F63F0" w14:paraId="1D2C57C1" w14:textId="77777777" w:rsidTr="00652CA8">
        <w:tc>
          <w:tcPr>
            <w:tcW w:w="708" w:type="dxa"/>
            <w:vAlign w:val="center"/>
          </w:tcPr>
          <w:p w14:paraId="524488E4" w14:textId="77777777" w:rsidR="00170C90" w:rsidRPr="004F63F0" w:rsidRDefault="00170C90" w:rsidP="00652CA8">
            <w:pPr>
              <w:jc w:val="center"/>
              <w:rPr>
                <w:b/>
                <w:sz w:val="26"/>
                <w:szCs w:val="26"/>
              </w:rPr>
            </w:pPr>
            <w:r w:rsidRPr="004F63F0">
              <w:rPr>
                <w:b/>
                <w:sz w:val="26"/>
                <w:szCs w:val="26"/>
              </w:rPr>
              <w:t>IV</w:t>
            </w:r>
          </w:p>
        </w:tc>
        <w:tc>
          <w:tcPr>
            <w:tcW w:w="8850" w:type="dxa"/>
            <w:gridSpan w:val="3"/>
            <w:vAlign w:val="center"/>
          </w:tcPr>
          <w:p w14:paraId="2A4466E6" w14:textId="77777777" w:rsidR="00170C90" w:rsidRPr="004F63F0" w:rsidRDefault="00170C90" w:rsidP="00652CA8">
            <w:pPr>
              <w:jc w:val="left"/>
              <w:rPr>
                <w:b/>
                <w:bCs/>
                <w:sz w:val="26"/>
                <w:szCs w:val="26"/>
                <w:lang w:val="vi-VN"/>
              </w:rPr>
            </w:pPr>
            <w:r w:rsidRPr="004F63F0">
              <w:rPr>
                <w:b/>
                <w:bCs/>
                <w:sz w:val="26"/>
                <w:szCs w:val="26"/>
                <w:lang w:val="vi-VN"/>
              </w:rPr>
              <w:t>Bảo hành, bảo trì</w:t>
            </w:r>
          </w:p>
        </w:tc>
      </w:tr>
      <w:tr w:rsidR="00170C90" w:rsidRPr="004F63F0" w14:paraId="4DF4E596" w14:textId="77777777" w:rsidTr="00652CA8">
        <w:tc>
          <w:tcPr>
            <w:tcW w:w="708" w:type="dxa"/>
            <w:vMerge w:val="restart"/>
            <w:vAlign w:val="center"/>
          </w:tcPr>
          <w:p w14:paraId="492F448E" w14:textId="77777777" w:rsidR="00170C90" w:rsidRPr="004F63F0" w:rsidRDefault="00170C90" w:rsidP="00652CA8">
            <w:pPr>
              <w:jc w:val="center"/>
              <w:rPr>
                <w:b/>
                <w:sz w:val="26"/>
                <w:szCs w:val="26"/>
              </w:rPr>
            </w:pPr>
            <w:r w:rsidRPr="004F63F0">
              <w:rPr>
                <w:b/>
                <w:sz w:val="26"/>
                <w:szCs w:val="26"/>
              </w:rPr>
              <w:t>1</w:t>
            </w:r>
          </w:p>
        </w:tc>
        <w:tc>
          <w:tcPr>
            <w:tcW w:w="2744" w:type="dxa"/>
            <w:vMerge w:val="restart"/>
            <w:vAlign w:val="center"/>
          </w:tcPr>
          <w:p w14:paraId="1E690BE5" w14:textId="039DF8A9" w:rsidR="00170C90" w:rsidRPr="00170C90" w:rsidRDefault="00170C90" w:rsidP="00652CA8">
            <w:pPr>
              <w:jc w:val="left"/>
              <w:rPr>
                <w:b/>
                <w:sz w:val="26"/>
                <w:szCs w:val="26"/>
              </w:rPr>
            </w:pPr>
            <w:r w:rsidRPr="004F63F0">
              <w:rPr>
                <w:b/>
                <w:sz w:val="26"/>
                <w:szCs w:val="26"/>
                <w:lang w:val="vi"/>
              </w:rPr>
              <w:t>Thời gian bảo hành, bảo trì</w:t>
            </w:r>
          </w:p>
        </w:tc>
        <w:tc>
          <w:tcPr>
            <w:tcW w:w="4584" w:type="dxa"/>
            <w:tcBorders>
              <w:top w:val="single" w:sz="4" w:space="0" w:color="auto"/>
            </w:tcBorders>
            <w:vAlign w:val="center"/>
          </w:tcPr>
          <w:p w14:paraId="3EFA0385" w14:textId="77777777" w:rsidR="00170C90" w:rsidRPr="004F63F0" w:rsidRDefault="00170C90" w:rsidP="00652CA8">
            <w:pPr>
              <w:widowControl w:val="0"/>
              <w:tabs>
                <w:tab w:val="left" w:pos="283"/>
              </w:tabs>
              <w:autoSpaceDE w:val="0"/>
              <w:autoSpaceDN w:val="0"/>
              <w:ind w:right="104"/>
              <w:jc w:val="left"/>
              <w:rPr>
                <w:sz w:val="26"/>
                <w:szCs w:val="26"/>
              </w:rPr>
            </w:pPr>
            <w:r w:rsidRPr="004F63F0">
              <w:rPr>
                <w:sz w:val="26"/>
                <w:szCs w:val="26"/>
              </w:rPr>
              <w:t>Nhà thầu có văn bản cam kết như sau:</w:t>
            </w:r>
          </w:p>
          <w:p w14:paraId="1865C90E" w14:textId="77777777" w:rsidR="00170C90" w:rsidRPr="004F63F0" w:rsidRDefault="00170C90" w:rsidP="00652CA8">
            <w:pPr>
              <w:widowControl w:val="0"/>
              <w:tabs>
                <w:tab w:val="left" w:pos="283"/>
              </w:tabs>
              <w:autoSpaceDE w:val="0"/>
              <w:autoSpaceDN w:val="0"/>
              <w:ind w:right="104"/>
              <w:jc w:val="left"/>
              <w:rPr>
                <w:sz w:val="26"/>
                <w:szCs w:val="26"/>
              </w:rPr>
            </w:pPr>
            <w:r w:rsidRPr="004F63F0">
              <w:rPr>
                <w:sz w:val="26"/>
                <w:szCs w:val="26"/>
              </w:rPr>
              <w:t xml:space="preserve">- Đối với sản phẩm bảo hành 24 tháng theo quy định bảo hành của nhà sản xuất thời gian bảo hành kể từ ngày nghiệm thu bàn giao. </w:t>
            </w:r>
          </w:p>
          <w:p w14:paraId="13DED95B" w14:textId="77777777" w:rsidR="00170C90" w:rsidRPr="004F63F0" w:rsidRDefault="00170C90" w:rsidP="00652CA8">
            <w:pPr>
              <w:widowControl w:val="0"/>
              <w:tabs>
                <w:tab w:val="left" w:pos="283"/>
              </w:tabs>
              <w:autoSpaceDE w:val="0"/>
              <w:autoSpaceDN w:val="0"/>
              <w:ind w:right="104"/>
              <w:jc w:val="left"/>
              <w:rPr>
                <w:sz w:val="26"/>
                <w:szCs w:val="26"/>
              </w:rPr>
            </w:pPr>
            <w:r w:rsidRPr="004F63F0">
              <w:rPr>
                <w:sz w:val="26"/>
                <w:szCs w:val="26"/>
              </w:rPr>
              <w:t>+ Định kỳ 12 tháng 1 lần nhà thầu phải có trách nhiệm kiểm tra, bảo dưỡng toàn bộ thiết bị đã trang cấp và có biên bản xác nhận của đơn vị sử dụng (Trừ các sản phẩm, thiết bị, hàng hoá có khấu hao theo quy định).</w:t>
            </w:r>
          </w:p>
          <w:p w14:paraId="67454588" w14:textId="77777777" w:rsidR="00170C90" w:rsidRPr="004F63F0" w:rsidRDefault="00170C90" w:rsidP="00652CA8">
            <w:pPr>
              <w:widowControl w:val="0"/>
              <w:tabs>
                <w:tab w:val="left" w:pos="283"/>
              </w:tabs>
              <w:autoSpaceDE w:val="0"/>
              <w:autoSpaceDN w:val="0"/>
              <w:ind w:right="104"/>
              <w:jc w:val="left"/>
              <w:rPr>
                <w:sz w:val="26"/>
                <w:szCs w:val="26"/>
              </w:rPr>
            </w:pPr>
            <w:r w:rsidRPr="004F63F0">
              <w:rPr>
                <w:sz w:val="26"/>
                <w:szCs w:val="26"/>
              </w:rPr>
              <w:t xml:space="preserve">- Đối với sản phẩm bảo hành 12 tháng theo quy định bảo hành của nhà sản xuất thời gian bảo hành kể từ ngày nghiệm thu bàn giao. </w:t>
            </w:r>
          </w:p>
          <w:p w14:paraId="67896B90" w14:textId="77777777" w:rsidR="00170C90" w:rsidRPr="004F63F0" w:rsidRDefault="00170C90" w:rsidP="00652CA8">
            <w:pPr>
              <w:widowControl w:val="0"/>
              <w:tabs>
                <w:tab w:val="left" w:pos="283"/>
              </w:tabs>
              <w:autoSpaceDE w:val="0"/>
              <w:autoSpaceDN w:val="0"/>
              <w:ind w:right="104"/>
              <w:jc w:val="left"/>
              <w:rPr>
                <w:sz w:val="26"/>
                <w:szCs w:val="26"/>
              </w:rPr>
            </w:pPr>
            <w:r w:rsidRPr="004F63F0">
              <w:rPr>
                <w:sz w:val="26"/>
                <w:szCs w:val="26"/>
              </w:rPr>
              <w:t>+ Định kỳ 06 tháng 1 lần nhà thầu phải có trách nhiệm kiểm tra, bảo dưỡng toàn bộ thiết bị đã trang cấp và có biên bản xác nhận của đơn vị sử dụng (Trừ các sản phẩm, thiết bị, hàng hoá có khấu hao theo quy định).</w:t>
            </w:r>
          </w:p>
          <w:p w14:paraId="1DF06881" w14:textId="77777777" w:rsidR="00170C90" w:rsidRPr="004F63F0" w:rsidRDefault="00170C90" w:rsidP="00652CA8">
            <w:pPr>
              <w:widowControl w:val="0"/>
              <w:tabs>
                <w:tab w:val="left" w:pos="283"/>
              </w:tabs>
              <w:autoSpaceDE w:val="0"/>
              <w:autoSpaceDN w:val="0"/>
              <w:ind w:right="104"/>
              <w:jc w:val="left"/>
              <w:rPr>
                <w:sz w:val="26"/>
                <w:szCs w:val="26"/>
              </w:rPr>
            </w:pPr>
            <w:r w:rsidRPr="004F63F0">
              <w:rPr>
                <w:sz w:val="26"/>
                <w:szCs w:val="26"/>
              </w:rPr>
              <w:t>-Cam kết phương thức bảo hành, bảo trì: Khi có yêu cầu về bảo hành, bảo trì, Nhà thầu phải cử chuyên gia không chậm quá 24 giờ kể từ khi được yêu cầu của Chủ đầu tư. Trong trường hợp nhà thầu không đáp ứng được việc bảo hành, bảo trì thì Chủ đầu tư có quyền thuê nhà thầu khác thực hiện. Toàn bộ kinh phí thuê này do nhà thầu chi trả theo đúng quy định trong bảo lãnh bảo hành.</w:t>
            </w:r>
          </w:p>
        </w:tc>
        <w:tc>
          <w:tcPr>
            <w:tcW w:w="1522" w:type="dxa"/>
            <w:vAlign w:val="center"/>
          </w:tcPr>
          <w:p w14:paraId="2AE5D3A3" w14:textId="77777777" w:rsidR="00170C90" w:rsidRPr="004F63F0" w:rsidRDefault="00170C90" w:rsidP="00652CA8">
            <w:pPr>
              <w:jc w:val="center"/>
              <w:rPr>
                <w:b/>
                <w:sz w:val="26"/>
                <w:szCs w:val="26"/>
              </w:rPr>
            </w:pPr>
          </w:p>
        </w:tc>
      </w:tr>
      <w:tr w:rsidR="00170C90" w:rsidRPr="004F63F0" w14:paraId="4E4F178A" w14:textId="77777777" w:rsidTr="00652CA8">
        <w:tc>
          <w:tcPr>
            <w:tcW w:w="708" w:type="dxa"/>
            <w:vMerge/>
            <w:vAlign w:val="center"/>
          </w:tcPr>
          <w:p w14:paraId="47188F5F" w14:textId="77777777" w:rsidR="00170C90" w:rsidRPr="004F63F0" w:rsidRDefault="00170C90" w:rsidP="00652CA8">
            <w:pPr>
              <w:jc w:val="center"/>
              <w:rPr>
                <w:b/>
                <w:sz w:val="26"/>
                <w:szCs w:val="26"/>
              </w:rPr>
            </w:pPr>
          </w:p>
        </w:tc>
        <w:tc>
          <w:tcPr>
            <w:tcW w:w="2744" w:type="dxa"/>
            <w:vMerge/>
            <w:vAlign w:val="center"/>
          </w:tcPr>
          <w:p w14:paraId="14410E39" w14:textId="77777777" w:rsidR="00170C90" w:rsidRPr="004F63F0" w:rsidRDefault="00170C90" w:rsidP="00652CA8">
            <w:pPr>
              <w:jc w:val="left"/>
              <w:rPr>
                <w:b/>
                <w:sz w:val="26"/>
                <w:szCs w:val="26"/>
                <w:lang w:val="vi"/>
              </w:rPr>
            </w:pPr>
          </w:p>
        </w:tc>
        <w:tc>
          <w:tcPr>
            <w:tcW w:w="4584" w:type="dxa"/>
            <w:tcBorders>
              <w:top w:val="single" w:sz="4" w:space="0" w:color="auto"/>
            </w:tcBorders>
            <w:vAlign w:val="center"/>
          </w:tcPr>
          <w:p w14:paraId="1ECB6AF7" w14:textId="77777777" w:rsidR="00170C90" w:rsidRPr="004F63F0" w:rsidRDefault="00170C90" w:rsidP="00652CA8">
            <w:pPr>
              <w:widowControl w:val="0"/>
              <w:tabs>
                <w:tab w:val="left" w:pos="283"/>
              </w:tabs>
              <w:autoSpaceDE w:val="0"/>
              <w:autoSpaceDN w:val="0"/>
              <w:ind w:right="104"/>
              <w:jc w:val="left"/>
              <w:rPr>
                <w:sz w:val="26"/>
                <w:szCs w:val="26"/>
              </w:rPr>
            </w:pPr>
            <w:r w:rsidRPr="004F63F0">
              <w:rPr>
                <w:sz w:val="26"/>
                <w:szCs w:val="26"/>
              </w:rPr>
              <w:t>Không đáp ứng yêu cầu nêu trên</w:t>
            </w:r>
          </w:p>
        </w:tc>
        <w:tc>
          <w:tcPr>
            <w:tcW w:w="1522" w:type="dxa"/>
            <w:vAlign w:val="center"/>
          </w:tcPr>
          <w:p w14:paraId="7CD3396D" w14:textId="77777777" w:rsidR="00170C90" w:rsidRPr="004F63F0" w:rsidRDefault="00170C90" w:rsidP="00652CA8">
            <w:pPr>
              <w:jc w:val="center"/>
              <w:rPr>
                <w:b/>
                <w:sz w:val="26"/>
                <w:szCs w:val="26"/>
              </w:rPr>
            </w:pPr>
            <w:r w:rsidRPr="004F63F0">
              <w:rPr>
                <w:b/>
                <w:sz w:val="26"/>
                <w:szCs w:val="26"/>
              </w:rPr>
              <w:t>Không đạt</w:t>
            </w:r>
          </w:p>
        </w:tc>
      </w:tr>
      <w:tr w:rsidR="00170C90" w:rsidRPr="004F63F0" w14:paraId="3F68444C" w14:textId="77777777" w:rsidTr="00652CA8">
        <w:tc>
          <w:tcPr>
            <w:tcW w:w="708" w:type="dxa"/>
            <w:vMerge w:val="restart"/>
            <w:vAlign w:val="center"/>
          </w:tcPr>
          <w:p w14:paraId="4B46D63C" w14:textId="77777777" w:rsidR="00170C90" w:rsidRPr="004F63F0" w:rsidRDefault="00170C90" w:rsidP="00652CA8">
            <w:pPr>
              <w:jc w:val="center"/>
              <w:rPr>
                <w:b/>
                <w:sz w:val="26"/>
                <w:szCs w:val="26"/>
              </w:rPr>
            </w:pPr>
            <w:r w:rsidRPr="004F63F0">
              <w:rPr>
                <w:b/>
                <w:sz w:val="26"/>
                <w:szCs w:val="26"/>
              </w:rPr>
              <w:t>2</w:t>
            </w:r>
          </w:p>
        </w:tc>
        <w:tc>
          <w:tcPr>
            <w:tcW w:w="2744" w:type="dxa"/>
            <w:vMerge w:val="restart"/>
            <w:vAlign w:val="center"/>
          </w:tcPr>
          <w:p w14:paraId="7795921C" w14:textId="77777777" w:rsidR="00170C90" w:rsidRPr="004F63F0" w:rsidRDefault="00170C90" w:rsidP="00652CA8">
            <w:pPr>
              <w:jc w:val="left"/>
              <w:rPr>
                <w:b/>
                <w:bCs/>
                <w:sz w:val="26"/>
                <w:szCs w:val="26"/>
              </w:rPr>
            </w:pPr>
            <w:r w:rsidRPr="004F63F0">
              <w:rPr>
                <w:b/>
                <w:bCs/>
                <w:sz w:val="26"/>
                <w:szCs w:val="26"/>
              </w:rPr>
              <w:t>Mức độ đáp ứng các yêu cầu về bảo hành, bảo trì</w:t>
            </w:r>
          </w:p>
        </w:tc>
        <w:tc>
          <w:tcPr>
            <w:tcW w:w="4584" w:type="dxa"/>
            <w:tcBorders>
              <w:top w:val="single" w:sz="4" w:space="0" w:color="auto"/>
            </w:tcBorders>
            <w:vAlign w:val="center"/>
          </w:tcPr>
          <w:p w14:paraId="401345F7" w14:textId="77777777" w:rsidR="00170C90" w:rsidRPr="004F63F0" w:rsidRDefault="00170C90" w:rsidP="00652CA8">
            <w:pPr>
              <w:widowControl w:val="0"/>
              <w:jc w:val="left"/>
              <w:rPr>
                <w:sz w:val="26"/>
                <w:szCs w:val="26"/>
              </w:rPr>
            </w:pPr>
            <w:r w:rsidRPr="004F63F0">
              <w:rPr>
                <w:sz w:val="26"/>
                <w:szCs w:val="26"/>
              </w:rPr>
              <w:t>Nhà thầu có cam kết thực hiện các nghĩa vụ bảo hành, bảo trì, duy tu, bảo dưỡng, sửa chữa, cung cấp phụ tùng thay thế, khắc phục hư hỏng, sai sót trong vòng 24 giờ, kể từ khi nhận được yêu cầu của chủ đầu tư hoặc đơn vị trực tiếp sử dụng tài sản, trong đó nêu rõ các nội dung sau:</w:t>
            </w:r>
          </w:p>
          <w:p w14:paraId="3E6FF012" w14:textId="77777777" w:rsidR="00170C90" w:rsidRPr="004F63F0" w:rsidRDefault="00170C90" w:rsidP="00652CA8">
            <w:pPr>
              <w:ind w:right="43"/>
              <w:jc w:val="left"/>
              <w:rPr>
                <w:sz w:val="26"/>
                <w:szCs w:val="26"/>
              </w:rPr>
            </w:pPr>
            <w:r w:rsidRPr="004F63F0">
              <w:rPr>
                <w:sz w:val="26"/>
                <w:szCs w:val="26"/>
              </w:rPr>
              <w:lastRenderedPageBreak/>
              <w:t>- Cam kết bảo hành bảo trì tại địa điểm cung cấp lắp đặt.</w:t>
            </w:r>
          </w:p>
          <w:p w14:paraId="6759A61F" w14:textId="77777777" w:rsidR="00170C90" w:rsidRPr="004F63F0" w:rsidRDefault="00170C90" w:rsidP="00652CA8">
            <w:pPr>
              <w:ind w:right="43"/>
              <w:jc w:val="left"/>
              <w:rPr>
                <w:sz w:val="26"/>
                <w:szCs w:val="26"/>
              </w:rPr>
            </w:pPr>
            <w:r w:rsidRPr="004F63F0">
              <w:rPr>
                <w:sz w:val="26"/>
                <w:szCs w:val="26"/>
              </w:rPr>
              <w:t>- Cam kết cung cấp linh kiện, phụ tùng thay thế phù hợp với hàng hóa của gói thầu này trong thời gian tối thiểu 03 năm.</w:t>
            </w:r>
          </w:p>
          <w:p w14:paraId="7546ED51" w14:textId="77777777" w:rsidR="00170C90" w:rsidRPr="004F63F0" w:rsidRDefault="00170C90" w:rsidP="00170C90">
            <w:pPr>
              <w:widowControl w:val="0"/>
              <w:numPr>
                <w:ilvl w:val="0"/>
                <w:numId w:val="1"/>
              </w:numPr>
              <w:tabs>
                <w:tab w:val="left" w:pos="202"/>
              </w:tabs>
              <w:jc w:val="left"/>
              <w:rPr>
                <w:sz w:val="26"/>
                <w:szCs w:val="26"/>
              </w:rPr>
            </w:pPr>
            <w:r w:rsidRPr="004F63F0">
              <w:rPr>
                <w:sz w:val="26"/>
                <w:szCs w:val="26"/>
              </w:rPr>
              <w:t>Liệt kê các dạng hư hỏng sẽ được bảo hành, các dạng hư hỏng không được bảo hành.</w:t>
            </w:r>
          </w:p>
          <w:p w14:paraId="3D0B3882" w14:textId="77777777" w:rsidR="00170C90" w:rsidRPr="004F63F0" w:rsidRDefault="00170C90" w:rsidP="00652CA8">
            <w:pPr>
              <w:widowControl w:val="0"/>
              <w:tabs>
                <w:tab w:val="left" w:pos="283"/>
              </w:tabs>
              <w:autoSpaceDE w:val="0"/>
              <w:autoSpaceDN w:val="0"/>
              <w:spacing w:before="46"/>
              <w:ind w:right="106"/>
              <w:jc w:val="left"/>
              <w:rPr>
                <w:sz w:val="26"/>
                <w:szCs w:val="26"/>
                <w:lang w:val="vi"/>
              </w:rPr>
            </w:pPr>
            <w:r w:rsidRPr="004F63F0">
              <w:rPr>
                <w:sz w:val="26"/>
                <w:szCs w:val="26"/>
              </w:rPr>
              <w:t>- Phương thức liên hệ nhà thầu khi hàng hóa gặp hư hỏng (Bằng văn bản, email, điện thoại...)</w:t>
            </w:r>
          </w:p>
        </w:tc>
        <w:tc>
          <w:tcPr>
            <w:tcW w:w="1522" w:type="dxa"/>
            <w:vAlign w:val="center"/>
          </w:tcPr>
          <w:p w14:paraId="7283A545" w14:textId="77777777" w:rsidR="00170C90" w:rsidRPr="004F63F0" w:rsidRDefault="00170C90" w:rsidP="00652CA8">
            <w:pPr>
              <w:jc w:val="center"/>
              <w:rPr>
                <w:b/>
                <w:sz w:val="26"/>
                <w:szCs w:val="26"/>
              </w:rPr>
            </w:pPr>
            <w:r w:rsidRPr="004F63F0">
              <w:rPr>
                <w:b/>
                <w:sz w:val="26"/>
                <w:szCs w:val="26"/>
              </w:rPr>
              <w:lastRenderedPageBreak/>
              <w:t>Đạt</w:t>
            </w:r>
          </w:p>
        </w:tc>
      </w:tr>
      <w:tr w:rsidR="00170C90" w:rsidRPr="004F63F0" w14:paraId="59F55D94" w14:textId="77777777" w:rsidTr="00652CA8">
        <w:tc>
          <w:tcPr>
            <w:tcW w:w="708" w:type="dxa"/>
            <w:vMerge/>
            <w:vAlign w:val="center"/>
          </w:tcPr>
          <w:p w14:paraId="1E10F7BF" w14:textId="77777777" w:rsidR="00170C90" w:rsidRPr="004F63F0" w:rsidRDefault="00170C90" w:rsidP="00652CA8">
            <w:pPr>
              <w:jc w:val="center"/>
              <w:rPr>
                <w:b/>
                <w:sz w:val="26"/>
                <w:szCs w:val="26"/>
              </w:rPr>
            </w:pPr>
          </w:p>
        </w:tc>
        <w:tc>
          <w:tcPr>
            <w:tcW w:w="2744" w:type="dxa"/>
            <w:vMerge/>
            <w:vAlign w:val="center"/>
          </w:tcPr>
          <w:p w14:paraId="0BFD0F97" w14:textId="77777777" w:rsidR="00170C90" w:rsidRPr="004F63F0" w:rsidRDefault="00170C90" w:rsidP="00652CA8">
            <w:pPr>
              <w:jc w:val="left"/>
              <w:rPr>
                <w:sz w:val="26"/>
                <w:szCs w:val="26"/>
              </w:rPr>
            </w:pPr>
          </w:p>
        </w:tc>
        <w:tc>
          <w:tcPr>
            <w:tcW w:w="4584" w:type="dxa"/>
            <w:tcBorders>
              <w:top w:val="single" w:sz="4" w:space="0" w:color="auto"/>
            </w:tcBorders>
            <w:vAlign w:val="center"/>
          </w:tcPr>
          <w:p w14:paraId="064BC5FD" w14:textId="77777777" w:rsidR="00170C90" w:rsidRPr="004F63F0" w:rsidRDefault="00170C90" w:rsidP="00652CA8">
            <w:pPr>
              <w:widowControl w:val="0"/>
              <w:tabs>
                <w:tab w:val="left" w:pos="283"/>
              </w:tabs>
              <w:autoSpaceDE w:val="0"/>
              <w:autoSpaceDN w:val="0"/>
              <w:spacing w:before="46"/>
              <w:ind w:right="106"/>
              <w:jc w:val="left"/>
              <w:rPr>
                <w:sz w:val="26"/>
                <w:szCs w:val="26"/>
                <w:lang w:val="vi"/>
              </w:rPr>
            </w:pPr>
            <w:r w:rsidRPr="004F63F0">
              <w:rPr>
                <w:sz w:val="26"/>
                <w:szCs w:val="26"/>
              </w:rPr>
              <w:t>Không đáp ứng yêu cầu nêu trên</w:t>
            </w:r>
          </w:p>
        </w:tc>
        <w:tc>
          <w:tcPr>
            <w:tcW w:w="1522" w:type="dxa"/>
            <w:vAlign w:val="center"/>
          </w:tcPr>
          <w:p w14:paraId="23F71BE1" w14:textId="77777777" w:rsidR="00170C90" w:rsidRPr="004F63F0" w:rsidRDefault="00170C90" w:rsidP="00652CA8">
            <w:pPr>
              <w:jc w:val="center"/>
              <w:rPr>
                <w:b/>
                <w:sz w:val="26"/>
                <w:szCs w:val="26"/>
              </w:rPr>
            </w:pPr>
            <w:r w:rsidRPr="004F63F0">
              <w:rPr>
                <w:b/>
                <w:sz w:val="26"/>
                <w:szCs w:val="26"/>
              </w:rPr>
              <w:t>Không đạt</w:t>
            </w:r>
          </w:p>
        </w:tc>
      </w:tr>
      <w:tr w:rsidR="00170C90" w:rsidRPr="004F63F0" w14:paraId="517B3661" w14:textId="77777777" w:rsidTr="00652CA8">
        <w:tc>
          <w:tcPr>
            <w:tcW w:w="708" w:type="dxa"/>
            <w:vAlign w:val="center"/>
          </w:tcPr>
          <w:p w14:paraId="3513E49D" w14:textId="77777777" w:rsidR="00170C90" w:rsidRPr="004F63F0" w:rsidRDefault="00170C90" w:rsidP="00652CA8">
            <w:pPr>
              <w:jc w:val="center"/>
              <w:rPr>
                <w:b/>
                <w:sz w:val="26"/>
                <w:szCs w:val="26"/>
              </w:rPr>
            </w:pPr>
            <w:r w:rsidRPr="004F63F0">
              <w:rPr>
                <w:b/>
                <w:sz w:val="26"/>
                <w:szCs w:val="26"/>
              </w:rPr>
              <w:t>V</w:t>
            </w:r>
          </w:p>
        </w:tc>
        <w:tc>
          <w:tcPr>
            <w:tcW w:w="8850" w:type="dxa"/>
            <w:gridSpan w:val="3"/>
            <w:vAlign w:val="center"/>
          </w:tcPr>
          <w:p w14:paraId="57361973" w14:textId="77777777" w:rsidR="00170C90" w:rsidRPr="004F63F0" w:rsidRDefault="00170C90" w:rsidP="00652CA8">
            <w:pPr>
              <w:jc w:val="left"/>
              <w:rPr>
                <w:b/>
                <w:bCs/>
                <w:sz w:val="26"/>
                <w:szCs w:val="26"/>
              </w:rPr>
            </w:pPr>
            <w:r w:rsidRPr="004F63F0">
              <w:rPr>
                <w:b/>
                <w:bCs/>
                <w:sz w:val="26"/>
                <w:szCs w:val="26"/>
              </w:rPr>
              <w:t>Uy tín của nhà thầu</w:t>
            </w:r>
          </w:p>
        </w:tc>
      </w:tr>
      <w:tr w:rsidR="00170C90" w:rsidRPr="004F63F0" w14:paraId="1208AF74" w14:textId="77777777" w:rsidTr="00652CA8">
        <w:tc>
          <w:tcPr>
            <w:tcW w:w="708" w:type="dxa"/>
            <w:vMerge w:val="restart"/>
            <w:vAlign w:val="center"/>
          </w:tcPr>
          <w:p w14:paraId="7EE20CC3" w14:textId="77777777" w:rsidR="00170C90" w:rsidRPr="004F63F0" w:rsidRDefault="00170C90" w:rsidP="00652CA8">
            <w:pPr>
              <w:jc w:val="center"/>
              <w:rPr>
                <w:b/>
                <w:sz w:val="26"/>
                <w:szCs w:val="26"/>
              </w:rPr>
            </w:pPr>
            <w:r w:rsidRPr="004F63F0">
              <w:rPr>
                <w:b/>
                <w:sz w:val="26"/>
                <w:szCs w:val="26"/>
              </w:rPr>
              <w:t>1</w:t>
            </w:r>
          </w:p>
        </w:tc>
        <w:tc>
          <w:tcPr>
            <w:tcW w:w="2744" w:type="dxa"/>
            <w:vMerge w:val="restart"/>
            <w:vAlign w:val="center"/>
          </w:tcPr>
          <w:p w14:paraId="411099C3" w14:textId="77777777" w:rsidR="00170C90" w:rsidRPr="004F63F0" w:rsidRDefault="00170C90" w:rsidP="00652CA8">
            <w:pPr>
              <w:jc w:val="left"/>
              <w:rPr>
                <w:b/>
                <w:bCs/>
                <w:sz w:val="26"/>
                <w:szCs w:val="26"/>
              </w:rPr>
            </w:pPr>
            <w:r w:rsidRPr="004F63F0">
              <w:rPr>
                <w:b/>
                <w:bCs/>
                <w:sz w:val="26"/>
                <w:szCs w:val="26"/>
              </w:rPr>
              <w:t>Uy tín về việc kê khai số liệu tài chính</w:t>
            </w:r>
            <w:r w:rsidRPr="004F63F0">
              <w:rPr>
                <w:b/>
                <w:bCs/>
                <w:sz w:val="26"/>
                <w:szCs w:val="26"/>
              </w:rPr>
              <w:tab/>
            </w:r>
          </w:p>
        </w:tc>
        <w:tc>
          <w:tcPr>
            <w:tcW w:w="4584" w:type="dxa"/>
            <w:vAlign w:val="center"/>
          </w:tcPr>
          <w:p w14:paraId="34E7B0AC" w14:textId="77777777" w:rsidR="00170C90" w:rsidRPr="004F63F0" w:rsidRDefault="00170C90" w:rsidP="00652CA8">
            <w:pPr>
              <w:widowControl w:val="0"/>
              <w:tabs>
                <w:tab w:val="left" w:pos="851"/>
              </w:tabs>
              <w:ind w:left="-18"/>
              <w:rPr>
                <w:sz w:val="26"/>
                <w:szCs w:val="26"/>
              </w:rPr>
            </w:pPr>
            <w:r w:rsidRPr="004F63F0">
              <w:rPr>
                <w:sz w:val="26"/>
                <w:szCs w:val="26"/>
              </w:rPr>
              <w:t>- Trường hợp nhà thầu “Tự kê khai” số liệu thuế yêu cầu nhà thầu cung cấp một trong các tài liệu sau đây tương ứng theo từng năm:</w:t>
            </w:r>
          </w:p>
          <w:p w14:paraId="3771805D" w14:textId="77777777" w:rsidR="00170C90" w:rsidRPr="004F63F0" w:rsidRDefault="00170C90" w:rsidP="00652CA8">
            <w:pPr>
              <w:widowControl w:val="0"/>
              <w:tabs>
                <w:tab w:val="left" w:pos="851"/>
              </w:tabs>
              <w:ind w:left="-18"/>
              <w:rPr>
                <w:sz w:val="26"/>
                <w:szCs w:val="26"/>
              </w:rPr>
            </w:pPr>
            <w:r w:rsidRPr="004F63F0">
              <w:rPr>
                <w:sz w:val="26"/>
                <w:szCs w:val="26"/>
              </w:rPr>
              <w:t>+ Thông báo về việc tiếp nhận hồ sơ khai thuế điện tử;</w:t>
            </w:r>
          </w:p>
          <w:p w14:paraId="18564D60" w14:textId="77777777" w:rsidR="00170C90" w:rsidRPr="004F63F0" w:rsidRDefault="00170C90" w:rsidP="00652CA8">
            <w:pPr>
              <w:widowControl w:val="0"/>
              <w:tabs>
                <w:tab w:val="left" w:pos="851"/>
              </w:tabs>
              <w:ind w:left="-18"/>
              <w:rPr>
                <w:sz w:val="26"/>
                <w:szCs w:val="26"/>
              </w:rPr>
            </w:pPr>
            <w:r w:rsidRPr="004F63F0">
              <w:rPr>
                <w:sz w:val="26"/>
                <w:szCs w:val="26"/>
              </w:rPr>
              <w:t>+ Thông báo về việc chấp nhận việc nộp hồ sơ khai thuế điện tử;</w:t>
            </w:r>
          </w:p>
          <w:p w14:paraId="41E30A55" w14:textId="77777777" w:rsidR="00170C90" w:rsidRPr="004F63F0" w:rsidRDefault="00170C90" w:rsidP="00652CA8">
            <w:pPr>
              <w:widowControl w:val="0"/>
              <w:tabs>
                <w:tab w:val="left" w:pos="851"/>
              </w:tabs>
              <w:ind w:left="-18"/>
              <w:rPr>
                <w:sz w:val="26"/>
                <w:szCs w:val="26"/>
              </w:rPr>
            </w:pPr>
            <w:r w:rsidRPr="004F63F0">
              <w:rPr>
                <w:sz w:val="26"/>
                <w:szCs w:val="26"/>
              </w:rPr>
              <w:t>+ Tờ khai tự quyết toán thuế thu nhập doanh nghiệp có xác nhận của cơ quan thuế về thời điểm đã nộp tờ khai;</w:t>
            </w:r>
          </w:p>
          <w:p w14:paraId="3E102A08" w14:textId="77777777" w:rsidR="00170C90" w:rsidRPr="004F63F0" w:rsidRDefault="00170C90" w:rsidP="00652CA8">
            <w:pPr>
              <w:widowControl w:val="0"/>
              <w:tabs>
                <w:tab w:val="left" w:pos="851"/>
              </w:tabs>
              <w:ind w:left="-18"/>
              <w:rPr>
                <w:sz w:val="26"/>
                <w:szCs w:val="26"/>
              </w:rPr>
            </w:pPr>
            <w:r w:rsidRPr="004F63F0">
              <w:rPr>
                <w:sz w:val="26"/>
                <w:szCs w:val="26"/>
              </w:rPr>
              <w:t>+ Tài liệu chứng minh việc nhà thầu đã kê khai quyết toán thuế điện tử;</w:t>
            </w:r>
          </w:p>
          <w:p w14:paraId="0D2955DE" w14:textId="77777777" w:rsidR="00170C90" w:rsidRPr="004F63F0" w:rsidRDefault="00170C90" w:rsidP="00652CA8">
            <w:pPr>
              <w:widowControl w:val="0"/>
              <w:tabs>
                <w:tab w:val="left" w:pos="283"/>
              </w:tabs>
              <w:autoSpaceDE w:val="0"/>
              <w:autoSpaceDN w:val="0"/>
              <w:spacing w:before="46"/>
              <w:ind w:right="106"/>
              <w:jc w:val="left"/>
              <w:rPr>
                <w:sz w:val="26"/>
                <w:szCs w:val="26"/>
                <w:lang w:val="vi"/>
              </w:rPr>
            </w:pPr>
            <w:r w:rsidRPr="004F63F0">
              <w:rPr>
                <w:sz w:val="26"/>
                <w:szCs w:val="26"/>
              </w:rPr>
              <w:t>+ Văn bản xác nhận của cơ quan quản lý thuế (xác nhận số nộp cả năm) về việc thực hiện nghĩa vụ nộp thuế của năm tài chính gần nhất;</w:t>
            </w:r>
          </w:p>
        </w:tc>
        <w:tc>
          <w:tcPr>
            <w:tcW w:w="1522" w:type="dxa"/>
            <w:vAlign w:val="center"/>
          </w:tcPr>
          <w:p w14:paraId="05CFDAC7" w14:textId="77777777" w:rsidR="00170C90" w:rsidRPr="004F63F0" w:rsidRDefault="00170C90" w:rsidP="00652CA8">
            <w:pPr>
              <w:jc w:val="center"/>
              <w:rPr>
                <w:b/>
                <w:sz w:val="26"/>
                <w:szCs w:val="26"/>
              </w:rPr>
            </w:pPr>
            <w:r w:rsidRPr="004F63F0">
              <w:rPr>
                <w:b/>
                <w:sz w:val="26"/>
                <w:szCs w:val="26"/>
              </w:rPr>
              <w:t>Đạt</w:t>
            </w:r>
          </w:p>
        </w:tc>
      </w:tr>
      <w:tr w:rsidR="00170C90" w:rsidRPr="004F63F0" w14:paraId="5B7E938C" w14:textId="77777777" w:rsidTr="00652CA8">
        <w:tc>
          <w:tcPr>
            <w:tcW w:w="708" w:type="dxa"/>
            <w:vMerge/>
            <w:vAlign w:val="center"/>
          </w:tcPr>
          <w:p w14:paraId="723FC097" w14:textId="77777777" w:rsidR="00170C90" w:rsidRPr="004F63F0" w:rsidRDefault="00170C90" w:rsidP="00652CA8">
            <w:pPr>
              <w:jc w:val="center"/>
              <w:rPr>
                <w:b/>
                <w:sz w:val="26"/>
                <w:szCs w:val="26"/>
              </w:rPr>
            </w:pPr>
          </w:p>
        </w:tc>
        <w:tc>
          <w:tcPr>
            <w:tcW w:w="2744" w:type="dxa"/>
            <w:vMerge/>
            <w:vAlign w:val="center"/>
          </w:tcPr>
          <w:p w14:paraId="12CC5DB0" w14:textId="77777777" w:rsidR="00170C90" w:rsidRPr="004F63F0" w:rsidRDefault="00170C90" w:rsidP="00652CA8">
            <w:pPr>
              <w:jc w:val="left"/>
              <w:rPr>
                <w:sz w:val="26"/>
                <w:szCs w:val="26"/>
              </w:rPr>
            </w:pPr>
          </w:p>
        </w:tc>
        <w:tc>
          <w:tcPr>
            <w:tcW w:w="4584" w:type="dxa"/>
            <w:vAlign w:val="center"/>
          </w:tcPr>
          <w:p w14:paraId="4532F417" w14:textId="77777777" w:rsidR="00170C90" w:rsidRPr="004F63F0" w:rsidRDefault="00170C90" w:rsidP="00652CA8">
            <w:pPr>
              <w:widowControl w:val="0"/>
              <w:tabs>
                <w:tab w:val="left" w:pos="283"/>
              </w:tabs>
              <w:autoSpaceDE w:val="0"/>
              <w:autoSpaceDN w:val="0"/>
              <w:spacing w:before="46"/>
              <w:ind w:right="106"/>
              <w:jc w:val="left"/>
              <w:rPr>
                <w:sz w:val="26"/>
                <w:szCs w:val="26"/>
                <w:lang w:val="vi"/>
              </w:rPr>
            </w:pPr>
            <w:r w:rsidRPr="004F63F0">
              <w:rPr>
                <w:sz w:val="26"/>
                <w:szCs w:val="26"/>
              </w:rPr>
              <w:t>Không đáp ứng yêu cầu trên</w:t>
            </w:r>
          </w:p>
        </w:tc>
        <w:tc>
          <w:tcPr>
            <w:tcW w:w="1522" w:type="dxa"/>
            <w:vAlign w:val="center"/>
          </w:tcPr>
          <w:p w14:paraId="4ECAF750" w14:textId="77777777" w:rsidR="00170C90" w:rsidRPr="004F63F0" w:rsidRDefault="00170C90" w:rsidP="00652CA8">
            <w:pPr>
              <w:jc w:val="center"/>
              <w:rPr>
                <w:b/>
                <w:sz w:val="26"/>
                <w:szCs w:val="26"/>
              </w:rPr>
            </w:pPr>
            <w:r w:rsidRPr="004F63F0">
              <w:rPr>
                <w:b/>
                <w:sz w:val="26"/>
                <w:szCs w:val="26"/>
              </w:rPr>
              <w:t>Không đạt</w:t>
            </w:r>
          </w:p>
        </w:tc>
      </w:tr>
      <w:tr w:rsidR="00170C90" w:rsidRPr="004F63F0" w14:paraId="56C9EB11" w14:textId="77777777" w:rsidTr="00652CA8">
        <w:tc>
          <w:tcPr>
            <w:tcW w:w="708" w:type="dxa"/>
            <w:vMerge w:val="restart"/>
            <w:vAlign w:val="center"/>
          </w:tcPr>
          <w:p w14:paraId="21EF59BF" w14:textId="77777777" w:rsidR="00170C90" w:rsidRPr="004F63F0" w:rsidRDefault="00170C90" w:rsidP="00652CA8">
            <w:pPr>
              <w:jc w:val="center"/>
              <w:rPr>
                <w:b/>
                <w:sz w:val="26"/>
                <w:szCs w:val="26"/>
              </w:rPr>
            </w:pPr>
            <w:r w:rsidRPr="004F63F0">
              <w:rPr>
                <w:b/>
                <w:sz w:val="26"/>
                <w:szCs w:val="26"/>
              </w:rPr>
              <w:t>2</w:t>
            </w:r>
          </w:p>
        </w:tc>
        <w:tc>
          <w:tcPr>
            <w:tcW w:w="2744" w:type="dxa"/>
            <w:vMerge w:val="restart"/>
            <w:vAlign w:val="center"/>
          </w:tcPr>
          <w:p w14:paraId="7652BFD6" w14:textId="77777777" w:rsidR="00170C90" w:rsidRPr="004F63F0" w:rsidRDefault="00170C90" w:rsidP="00652CA8">
            <w:pPr>
              <w:jc w:val="left"/>
              <w:rPr>
                <w:b/>
                <w:sz w:val="26"/>
                <w:szCs w:val="26"/>
              </w:rPr>
            </w:pPr>
            <w:r w:rsidRPr="004F63F0">
              <w:rPr>
                <w:rFonts w:asciiTheme="majorHAnsi" w:hAnsiTheme="majorHAnsi" w:cstheme="majorHAnsi"/>
                <w:b/>
                <w:bCs/>
                <w:sz w:val="26"/>
                <w:szCs w:val="26"/>
              </w:rPr>
              <w:t xml:space="preserve">Uy tín của nhà thầu thông qua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w:t>
            </w:r>
            <w:r w:rsidRPr="004F63F0">
              <w:rPr>
                <w:rFonts w:asciiTheme="majorHAnsi" w:hAnsiTheme="majorHAnsi" w:cstheme="majorHAnsi"/>
                <w:b/>
                <w:bCs/>
                <w:sz w:val="26"/>
                <w:szCs w:val="26"/>
              </w:rPr>
              <w:lastRenderedPageBreak/>
              <w:t>theo quy định tại Điều 20 của Nghị định số 214/2025/NĐ-CP trong thời gian từ năm 2022 tính đến thời điểm đóng thầu</w:t>
            </w:r>
          </w:p>
        </w:tc>
        <w:tc>
          <w:tcPr>
            <w:tcW w:w="4584" w:type="dxa"/>
            <w:vAlign w:val="center"/>
          </w:tcPr>
          <w:p w14:paraId="5F967192" w14:textId="77777777" w:rsidR="00170C90" w:rsidRPr="004F63F0" w:rsidRDefault="00170C90" w:rsidP="00652CA8">
            <w:pPr>
              <w:widowControl w:val="0"/>
              <w:tabs>
                <w:tab w:val="left" w:pos="851"/>
              </w:tabs>
              <w:ind w:left="-18"/>
              <w:jc w:val="left"/>
              <w:rPr>
                <w:rFonts w:asciiTheme="majorHAnsi" w:hAnsiTheme="majorHAnsi" w:cstheme="majorHAnsi"/>
                <w:sz w:val="26"/>
                <w:szCs w:val="26"/>
              </w:rPr>
            </w:pPr>
            <w:r w:rsidRPr="004F63F0">
              <w:rPr>
                <w:rFonts w:asciiTheme="majorHAnsi" w:hAnsiTheme="majorHAnsi" w:cstheme="majorHAnsi"/>
                <w:sz w:val="26"/>
                <w:szCs w:val="26"/>
              </w:rPr>
              <w:lastRenderedPageBreak/>
              <w:t>- Nhà thầu không thuộc danh sách các nhà thầu vi phạm đã được đăng tải trên Hệ thống mạng đấu thầu quốc gia về Tiến độ thực hiện hợp đồng</w:t>
            </w:r>
          </w:p>
          <w:p w14:paraId="298FDF8F" w14:textId="77777777" w:rsidR="00170C90" w:rsidRPr="004F63F0" w:rsidRDefault="00170C90" w:rsidP="00652CA8">
            <w:pPr>
              <w:widowControl w:val="0"/>
              <w:tabs>
                <w:tab w:val="left" w:pos="851"/>
              </w:tabs>
              <w:ind w:left="-18"/>
              <w:jc w:val="left"/>
              <w:rPr>
                <w:rFonts w:asciiTheme="majorHAnsi" w:hAnsiTheme="majorHAnsi" w:cstheme="majorHAnsi"/>
                <w:sz w:val="26"/>
                <w:szCs w:val="26"/>
              </w:rPr>
            </w:pPr>
            <w:r w:rsidRPr="004F63F0">
              <w:rPr>
                <w:rFonts w:asciiTheme="majorHAnsi" w:hAnsiTheme="majorHAnsi" w:cstheme="majorHAnsi"/>
                <w:sz w:val="26"/>
                <w:szCs w:val="26"/>
              </w:rPr>
              <w:t>- Nhà thầu không thuộc danh sách các nhà thầu vi phạm đã được đăng tải trên Hệ thống mạng đấu thầu quốc gia về Chất lượng hàng hóa, bao gồm các sự cố xảy ra trong quá trình thực hiện hợp đồng (nếu có) và các yếu tố khác có liên quan</w:t>
            </w:r>
          </w:p>
          <w:p w14:paraId="0F802B8C" w14:textId="77777777" w:rsidR="00170C90" w:rsidRPr="004F63F0" w:rsidRDefault="00170C90" w:rsidP="00652CA8">
            <w:pPr>
              <w:widowControl w:val="0"/>
              <w:tabs>
                <w:tab w:val="left" w:pos="283"/>
              </w:tabs>
              <w:autoSpaceDE w:val="0"/>
              <w:autoSpaceDN w:val="0"/>
              <w:spacing w:before="46"/>
              <w:ind w:right="106"/>
              <w:jc w:val="left"/>
              <w:rPr>
                <w:sz w:val="26"/>
                <w:szCs w:val="26"/>
                <w:lang w:val="vi"/>
              </w:rPr>
            </w:pPr>
            <w:r w:rsidRPr="004F63F0">
              <w:rPr>
                <w:rFonts w:asciiTheme="majorHAnsi" w:hAnsiTheme="majorHAnsi" w:cstheme="majorHAnsi"/>
                <w:sz w:val="26"/>
                <w:szCs w:val="26"/>
              </w:rPr>
              <w:t xml:space="preserve">- Nhà thầu không thuộc danh sách các nhà thầu vi phạm đã được đăng tải trên Hệ thống mạng đấu thầu quốc gia về Vi </w:t>
            </w:r>
            <w:r w:rsidRPr="004F63F0">
              <w:rPr>
                <w:rFonts w:asciiTheme="majorHAnsi" w:hAnsiTheme="majorHAnsi" w:cstheme="majorHAnsi"/>
                <w:sz w:val="26"/>
                <w:szCs w:val="26"/>
              </w:rPr>
              <w:lastRenderedPageBreak/>
              <w:t>phạm hợp đồng, chấm dứt hợp đồng.</w:t>
            </w:r>
          </w:p>
        </w:tc>
        <w:tc>
          <w:tcPr>
            <w:tcW w:w="1522" w:type="dxa"/>
            <w:vAlign w:val="center"/>
          </w:tcPr>
          <w:p w14:paraId="43134EFC" w14:textId="77777777" w:rsidR="00170C90" w:rsidRPr="004F63F0" w:rsidRDefault="00170C90" w:rsidP="00652CA8">
            <w:pPr>
              <w:jc w:val="center"/>
              <w:rPr>
                <w:b/>
                <w:sz w:val="26"/>
                <w:szCs w:val="26"/>
              </w:rPr>
            </w:pPr>
            <w:r w:rsidRPr="004F63F0">
              <w:rPr>
                <w:b/>
                <w:sz w:val="26"/>
                <w:szCs w:val="26"/>
              </w:rPr>
              <w:lastRenderedPageBreak/>
              <w:t>Đạt</w:t>
            </w:r>
          </w:p>
        </w:tc>
      </w:tr>
      <w:tr w:rsidR="00170C90" w:rsidRPr="004F63F0" w14:paraId="3101F90B" w14:textId="77777777" w:rsidTr="00652CA8">
        <w:tc>
          <w:tcPr>
            <w:tcW w:w="708" w:type="dxa"/>
            <w:vMerge/>
            <w:vAlign w:val="center"/>
          </w:tcPr>
          <w:p w14:paraId="1B4BDCFF" w14:textId="77777777" w:rsidR="00170C90" w:rsidRPr="004F63F0" w:rsidRDefault="00170C90" w:rsidP="00652CA8">
            <w:pPr>
              <w:jc w:val="center"/>
              <w:rPr>
                <w:b/>
                <w:sz w:val="26"/>
                <w:szCs w:val="26"/>
              </w:rPr>
            </w:pPr>
          </w:p>
        </w:tc>
        <w:tc>
          <w:tcPr>
            <w:tcW w:w="2744" w:type="dxa"/>
            <w:vMerge/>
            <w:vAlign w:val="center"/>
          </w:tcPr>
          <w:p w14:paraId="4869D2BE" w14:textId="77777777" w:rsidR="00170C90" w:rsidRPr="004F63F0" w:rsidRDefault="00170C90" w:rsidP="00652CA8">
            <w:pPr>
              <w:jc w:val="left"/>
              <w:rPr>
                <w:sz w:val="26"/>
                <w:szCs w:val="26"/>
              </w:rPr>
            </w:pPr>
          </w:p>
        </w:tc>
        <w:tc>
          <w:tcPr>
            <w:tcW w:w="4584" w:type="dxa"/>
            <w:vAlign w:val="center"/>
          </w:tcPr>
          <w:p w14:paraId="1EC68E07" w14:textId="77777777" w:rsidR="00170C90" w:rsidRPr="004F63F0" w:rsidRDefault="00170C90" w:rsidP="00652CA8">
            <w:pPr>
              <w:widowControl w:val="0"/>
              <w:tabs>
                <w:tab w:val="left" w:pos="283"/>
              </w:tabs>
              <w:autoSpaceDE w:val="0"/>
              <w:autoSpaceDN w:val="0"/>
              <w:spacing w:before="46"/>
              <w:ind w:right="106"/>
              <w:jc w:val="left"/>
              <w:rPr>
                <w:sz w:val="26"/>
                <w:szCs w:val="26"/>
                <w:lang w:val="vi"/>
              </w:rPr>
            </w:pPr>
            <w:r w:rsidRPr="004F63F0">
              <w:rPr>
                <w:rFonts w:asciiTheme="majorHAnsi" w:hAnsiTheme="majorHAnsi" w:cstheme="majorHAnsi"/>
                <w:sz w:val="26"/>
                <w:szCs w:val="26"/>
              </w:rPr>
              <w:t>Không đáp ứng yêu cầu trên</w:t>
            </w:r>
          </w:p>
        </w:tc>
        <w:tc>
          <w:tcPr>
            <w:tcW w:w="1522" w:type="dxa"/>
            <w:vAlign w:val="center"/>
          </w:tcPr>
          <w:p w14:paraId="42437590" w14:textId="77777777" w:rsidR="00170C90" w:rsidRPr="004F63F0" w:rsidRDefault="00170C90" w:rsidP="00652CA8">
            <w:pPr>
              <w:jc w:val="center"/>
              <w:rPr>
                <w:b/>
                <w:sz w:val="26"/>
                <w:szCs w:val="26"/>
              </w:rPr>
            </w:pPr>
            <w:r w:rsidRPr="004F63F0">
              <w:rPr>
                <w:b/>
                <w:sz w:val="26"/>
                <w:szCs w:val="26"/>
              </w:rPr>
              <w:t>Không đạt</w:t>
            </w:r>
          </w:p>
        </w:tc>
      </w:tr>
      <w:tr w:rsidR="00170C90" w:rsidRPr="004F63F0" w14:paraId="70037FD5" w14:textId="77777777" w:rsidTr="00652CA8">
        <w:tc>
          <w:tcPr>
            <w:tcW w:w="708" w:type="dxa"/>
            <w:vMerge w:val="restart"/>
            <w:vAlign w:val="center"/>
          </w:tcPr>
          <w:p w14:paraId="33BBEBC5" w14:textId="77777777" w:rsidR="00170C90" w:rsidRPr="004F63F0" w:rsidRDefault="00170C90" w:rsidP="00652CA8">
            <w:pPr>
              <w:jc w:val="center"/>
              <w:rPr>
                <w:b/>
                <w:sz w:val="26"/>
                <w:szCs w:val="26"/>
              </w:rPr>
            </w:pPr>
          </w:p>
        </w:tc>
        <w:tc>
          <w:tcPr>
            <w:tcW w:w="2744" w:type="dxa"/>
            <w:vMerge w:val="restart"/>
            <w:vAlign w:val="center"/>
          </w:tcPr>
          <w:p w14:paraId="4B50B710" w14:textId="77777777" w:rsidR="00170C90" w:rsidRPr="004F63F0" w:rsidRDefault="00170C90" w:rsidP="00652CA8">
            <w:pPr>
              <w:jc w:val="left"/>
              <w:rPr>
                <w:b/>
                <w:bCs/>
                <w:sz w:val="26"/>
                <w:szCs w:val="26"/>
              </w:rPr>
            </w:pPr>
            <w:r w:rsidRPr="004F63F0">
              <w:rPr>
                <w:b/>
                <w:bCs/>
                <w:sz w:val="26"/>
                <w:szCs w:val="26"/>
              </w:rPr>
              <w:t>Kết luận</w:t>
            </w:r>
          </w:p>
        </w:tc>
        <w:tc>
          <w:tcPr>
            <w:tcW w:w="4584" w:type="dxa"/>
            <w:vAlign w:val="center"/>
          </w:tcPr>
          <w:p w14:paraId="728BBA20" w14:textId="77777777" w:rsidR="00170C90" w:rsidRPr="004F63F0" w:rsidRDefault="00170C90" w:rsidP="00652CA8">
            <w:pPr>
              <w:jc w:val="left"/>
              <w:rPr>
                <w:b/>
                <w:bCs/>
                <w:sz w:val="26"/>
                <w:szCs w:val="26"/>
              </w:rPr>
            </w:pPr>
            <w:r w:rsidRPr="004F63F0">
              <w:rPr>
                <w:b/>
                <w:bCs/>
                <w:sz w:val="26"/>
                <w:szCs w:val="26"/>
              </w:rPr>
              <w:t>Các tiêu chí từ I đến V được xác định là Đạt</w:t>
            </w:r>
          </w:p>
        </w:tc>
        <w:tc>
          <w:tcPr>
            <w:tcW w:w="1522" w:type="dxa"/>
            <w:vAlign w:val="center"/>
          </w:tcPr>
          <w:p w14:paraId="75704B3E" w14:textId="77777777" w:rsidR="00170C90" w:rsidRPr="004F63F0" w:rsidRDefault="00170C90" w:rsidP="00652CA8">
            <w:pPr>
              <w:jc w:val="center"/>
              <w:rPr>
                <w:b/>
                <w:sz w:val="26"/>
                <w:szCs w:val="26"/>
              </w:rPr>
            </w:pPr>
            <w:r w:rsidRPr="004F63F0">
              <w:rPr>
                <w:b/>
                <w:sz w:val="26"/>
                <w:szCs w:val="26"/>
              </w:rPr>
              <w:t>Đạt</w:t>
            </w:r>
          </w:p>
        </w:tc>
      </w:tr>
      <w:tr w:rsidR="00170C90" w:rsidRPr="004F63F0" w14:paraId="356B75DD" w14:textId="77777777" w:rsidTr="00652CA8">
        <w:tc>
          <w:tcPr>
            <w:tcW w:w="708" w:type="dxa"/>
            <w:vMerge/>
            <w:vAlign w:val="center"/>
          </w:tcPr>
          <w:p w14:paraId="514C0763" w14:textId="77777777" w:rsidR="00170C90" w:rsidRPr="004F63F0" w:rsidRDefault="00170C90" w:rsidP="00652CA8">
            <w:pPr>
              <w:jc w:val="left"/>
              <w:rPr>
                <w:sz w:val="26"/>
                <w:szCs w:val="26"/>
              </w:rPr>
            </w:pPr>
          </w:p>
        </w:tc>
        <w:tc>
          <w:tcPr>
            <w:tcW w:w="2744" w:type="dxa"/>
            <w:vMerge/>
            <w:vAlign w:val="center"/>
          </w:tcPr>
          <w:p w14:paraId="6CC4484A" w14:textId="77777777" w:rsidR="00170C90" w:rsidRPr="004F63F0" w:rsidRDefault="00170C90" w:rsidP="00652CA8">
            <w:pPr>
              <w:jc w:val="left"/>
              <w:rPr>
                <w:sz w:val="26"/>
                <w:szCs w:val="26"/>
              </w:rPr>
            </w:pPr>
          </w:p>
        </w:tc>
        <w:tc>
          <w:tcPr>
            <w:tcW w:w="4584" w:type="dxa"/>
            <w:vAlign w:val="center"/>
          </w:tcPr>
          <w:p w14:paraId="41162B3B" w14:textId="77777777" w:rsidR="00170C90" w:rsidRPr="004F63F0" w:rsidRDefault="00170C90" w:rsidP="00652CA8">
            <w:pPr>
              <w:jc w:val="left"/>
              <w:rPr>
                <w:b/>
                <w:bCs/>
                <w:sz w:val="26"/>
                <w:szCs w:val="26"/>
              </w:rPr>
            </w:pPr>
            <w:r w:rsidRPr="004F63F0">
              <w:rPr>
                <w:b/>
                <w:bCs/>
                <w:sz w:val="26"/>
                <w:szCs w:val="26"/>
              </w:rPr>
              <w:t>Không đạt một trong các tiêu chí đánh giá trên</w:t>
            </w:r>
          </w:p>
        </w:tc>
        <w:tc>
          <w:tcPr>
            <w:tcW w:w="1522" w:type="dxa"/>
            <w:vAlign w:val="center"/>
          </w:tcPr>
          <w:p w14:paraId="0A854317" w14:textId="77777777" w:rsidR="00170C90" w:rsidRPr="004F63F0" w:rsidRDefault="00170C90" w:rsidP="00652CA8">
            <w:pPr>
              <w:jc w:val="center"/>
              <w:rPr>
                <w:b/>
                <w:sz w:val="26"/>
                <w:szCs w:val="26"/>
              </w:rPr>
            </w:pPr>
            <w:r w:rsidRPr="004F63F0">
              <w:rPr>
                <w:b/>
                <w:sz w:val="26"/>
                <w:szCs w:val="26"/>
              </w:rPr>
              <w:t>Không đạt</w:t>
            </w:r>
          </w:p>
        </w:tc>
      </w:tr>
      <w:bookmarkEnd w:id="0"/>
    </w:tbl>
    <w:p w14:paraId="5BD400CE" w14:textId="77777777" w:rsidR="0023076E" w:rsidRPr="00170C90" w:rsidRDefault="0023076E" w:rsidP="00170C90"/>
    <w:sectPr w:rsidR="0023076E" w:rsidRPr="00170C9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F0640"/>
    <w:multiLevelType w:val="multilevel"/>
    <w:tmpl w:val="FEFA84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3220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BEB"/>
    <w:rsid w:val="00094E0C"/>
    <w:rsid w:val="001233DF"/>
    <w:rsid w:val="00170C90"/>
    <w:rsid w:val="0023076E"/>
    <w:rsid w:val="00342939"/>
    <w:rsid w:val="00460119"/>
    <w:rsid w:val="00600419"/>
    <w:rsid w:val="00723A6D"/>
    <w:rsid w:val="007966DC"/>
    <w:rsid w:val="00847B68"/>
    <w:rsid w:val="008F7BEB"/>
    <w:rsid w:val="009E462E"/>
    <w:rsid w:val="00B90537"/>
    <w:rsid w:val="00C763E8"/>
    <w:rsid w:val="00D9543C"/>
    <w:rsid w:val="00DF06CC"/>
    <w:rsid w:val="00E24039"/>
    <w:rsid w:val="00F02FA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420B0"/>
  <w15:chartTrackingRefBased/>
  <w15:docId w15:val="{38CAB7B5-BEF2-40C0-8C5A-AF0A81285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F7BEB"/>
    <w:pPr>
      <w:spacing w:after="0" w:line="240" w:lineRule="auto"/>
      <w:jc w:val="both"/>
    </w:pPr>
    <w:rPr>
      <w:rFonts w:ascii="Times New Roman" w:eastAsia="Times New Roman" w:hAnsi="Times New Roman" w:cs="Times New Roman"/>
      <w:sz w:val="24"/>
      <w:szCs w:val="20"/>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TableParagraph">
    <w:name w:val="Table Paragraph"/>
    <w:basedOn w:val="Binhthng"/>
    <w:uiPriority w:val="1"/>
    <w:qFormat/>
    <w:rsid w:val="00847B68"/>
    <w:pPr>
      <w:widowControl w:val="0"/>
      <w:autoSpaceDE w:val="0"/>
      <w:autoSpaceDN w:val="0"/>
      <w:ind w:left="107"/>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888</Words>
  <Characters>5068</Characters>
  <Application>Microsoft Office Word</Application>
  <DocSecurity>0</DocSecurity>
  <Lines>42</Lines>
  <Paragraphs>11</Paragraphs>
  <ScaleCrop>false</ScaleCrop>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TOAN</dc:creator>
  <cp:keywords/>
  <dc:description/>
  <cp:lastModifiedBy>ADMIN</cp:lastModifiedBy>
  <cp:revision>12</cp:revision>
  <dcterms:created xsi:type="dcterms:W3CDTF">2024-03-20T14:35:00Z</dcterms:created>
  <dcterms:modified xsi:type="dcterms:W3CDTF">2026-01-29T09:21:00Z</dcterms:modified>
</cp:coreProperties>
</file>