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16D" w:rsidRPr="00223D3C" w:rsidRDefault="0084016D" w:rsidP="0084016D">
      <w:pPr>
        <w:pStyle w:val="Heading1"/>
        <w:rPr>
          <w:rFonts w:ascii="Times New Roman" w:hAnsi="Times New Roman"/>
          <w:lang w:val="es-ES"/>
        </w:rPr>
      </w:pPr>
      <w:bookmarkStart w:id="0" w:name="_Toc154510932"/>
      <w:r w:rsidRPr="00223D3C">
        <w:rPr>
          <w:rFonts w:ascii="Times New Roman" w:hAnsi="Times New Roman"/>
          <w:lang w:val="it-IT"/>
        </w:rPr>
        <w:t xml:space="preserve">PHẦN 2. ĐIỀU </w:t>
      </w:r>
      <w:r w:rsidRPr="00223D3C">
        <w:rPr>
          <w:rFonts w:ascii="Times New Roman" w:hAnsi="Times New Roman"/>
          <w:lang w:val="es-ES"/>
        </w:rPr>
        <w:t>KHOẢN THAM CHIẾU</w:t>
      </w:r>
      <w:bookmarkEnd w:id="0"/>
    </w:p>
    <w:p w:rsidR="0084016D" w:rsidRPr="00223D3C" w:rsidRDefault="0084016D" w:rsidP="0084016D">
      <w:pPr>
        <w:pStyle w:val="Heading1"/>
        <w:rPr>
          <w:rFonts w:ascii="Times New Roman" w:hAnsi="Times New Roman"/>
          <w:lang w:val="es-ES"/>
        </w:rPr>
      </w:pPr>
      <w:bookmarkStart w:id="1" w:name="_Toc154510933"/>
      <w:r w:rsidRPr="00223D3C">
        <w:rPr>
          <w:rFonts w:ascii="Times New Roman" w:hAnsi="Times New Roman"/>
          <w:lang w:val="es-ES"/>
        </w:rPr>
        <w:t>CHƯƠNG V. ĐIỀU KHOẢN THAM CHIẾU</w:t>
      </w:r>
      <w:bookmarkEnd w:id="1"/>
    </w:p>
    <w:p w:rsidR="0084016D" w:rsidRPr="00223D3C" w:rsidRDefault="0084016D" w:rsidP="0084016D">
      <w:pPr>
        <w:spacing w:before="60" w:after="60"/>
        <w:ind w:firstLine="720"/>
        <w:rPr>
          <w:i/>
          <w:iCs/>
          <w:sz w:val="28"/>
          <w:szCs w:val="28"/>
          <w:lang w:val="it-IT"/>
        </w:rPr>
      </w:pPr>
      <w:r w:rsidRPr="00223D3C">
        <w:rPr>
          <w:bCs/>
          <w:i/>
          <w:iCs/>
          <w:sz w:val="28"/>
          <w:szCs w:val="28"/>
          <w:lang w:val="it-IT"/>
        </w:rPr>
        <w:t>“Điều khoản tham chiếu" bao gồm những nội dung chủ yếu sau:</w:t>
      </w:r>
    </w:p>
    <w:p w:rsidR="00223D3C" w:rsidRDefault="00223D3C" w:rsidP="00D61649">
      <w:pPr>
        <w:spacing w:before="60" w:after="60"/>
        <w:ind w:firstLine="284"/>
        <w:rPr>
          <w:b/>
          <w:sz w:val="28"/>
          <w:szCs w:val="28"/>
          <w:lang w:val="it-IT"/>
        </w:rPr>
      </w:pPr>
    </w:p>
    <w:p w:rsidR="0084016D" w:rsidRPr="00223D3C" w:rsidRDefault="0084016D" w:rsidP="00D61649">
      <w:pPr>
        <w:spacing w:before="60" w:after="60"/>
        <w:ind w:firstLine="284"/>
        <w:rPr>
          <w:b/>
          <w:bCs/>
          <w:sz w:val="28"/>
          <w:szCs w:val="28"/>
          <w:lang w:val="it-IT"/>
        </w:rPr>
      </w:pPr>
      <w:r w:rsidRPr="00223D3C">
        <w:rPr>
          <w:b/>
          <w:sz w:val="28"/>
          <w:szCs w:val="28"/>
          <w:lang w:val="it-IT"/>
        </w:rPr>
        <w:t>I. Giới thiệu:</w:t>
      </w:r>
    </w:p>
    <w:p w:rsidR="0084016D" w:rsidRPr="00223D3C" w:rsidRDefault="00223D3C" w:rsidP="00D61649">
      <w:pPr>
        <w:spacing w:before="60" w:after="60"/>
        <w:ind w:firstLine="284"/>
        <w:rPr>
          <w:b/>
          <w:bCs/>
          <w:iCs/>
          <w:sz w:val="28"/>
          <w:szCs w:val="28"/>
          <w:lang w:val="it-IT"/>
        </w:rPr>
      </w:pPr>
      <w:r w:rsidRPr="00223D3C">
        <w:rPr>
          <w:b/>
          <w:bCs/>
          <w:iCs/>
          <w:sz w:val="28"/>
          <w:szCs w:val="28"/>
          <w:lang w:val="it-IT"/>
        </w:rPr>
        <w:t xml:space="preserve">A. </w:t>
      </w:r>
      <w:r w:rsidR="00D76ADB" w:rsidRPr="00223D3C">
        <w:rPr>
          <w:b/>
          <w:bCs/>
          <w:iCs/>
          <w:sz w:val="28"/>
          <w:szCs w:val="28"/>
          <w:lang w:val="it-IT"/>
        </w:rPr>
        <w:t>Mô tả khái quát về dự án và gói thầu</w:t>
      </w:r>
    </w:p>
    <w:p w:rsidR="00D76ADB" w:rsidRPr="00D76ADB" w:rsidRDefault="00D76ADB" w:rsidP="00D61649">
      <w:pPr>
        <w:tabs>
          <w:tab w:val="left" w:pos="720"/>
        </w:tabs>
        <w:spacing w:before="60" w:after="60" w:line="259" w:lineRule="auto"/>
        <w:rPr>
          <w:iCs/>
          <w:sz w:val="28"/>
          <w:szCs w:val="28"/>
        </w:rPr>
      </w:pPr>
      <w:r w:rsidRPr="00223D3C">
        <w:rPr>
          <w:sz w:val="28"/>
          <w:szCs w:val="28"/>
          <w:lang w:val="x-none" w:eastAsia="x-none"/>
        </w:rPr>
        <w:tab/>
        <w:t>Quyết định số 2271/QĐ-EVNNPT ngày 18/11/2025 của Tổng Công ty Truyền tải điện Quốc gia về việc phê duyệt dự án: Trang bị chống sét van các ngăn xuất tuyến cấp điện áp 110kV trở xuống tại các TBA 220kV, 500kV do Công ty Truyền tải điện 2 quản lý</w:t>
      </w:r>
      <w:r w:rsidRPr="00D76ADB">
        <w:rPr>
          <w:iCs/>
          <w:sz w:val="28"/>
          <w:szCs w:val="28"/>
        </w:rPr>
        <w:t>.</w:t>
      </w:r>
    </w:p>
    <w:p w:rsidR="00D76ADB" w:rsidRDefault="00D76ADB" w:rsidP="00D61649">
      <w:pPr>
        <w:spacing w:before="60" w:after="60"/>
        <w:ind w:firstLine="567"/>
        <w:rPr>
          <w:b/>
          <w:bCs/>
          <w:iCs/>
          <w:sz w:val="28"/>
          <w:szCs w:val="28"/>
          <w:lang w:val="it-IT"/>
        </w:rPr>
      </w:pPr>
      <w:r w:rsidRPr="00D76ADB">
        <w:rPr>
          <w:bCs/>
          <w:iCs/>
          <w:sz w:val="28"/>
          <w:szCs w:val="28"/>
          <w:lang w:val="it-IT"/>
        </w:rPr>
        <w:t xml:space="preserve">Quyết định số </w:t>
      </w:r>
      <w:r w:rsidRPr="00223D3C">
        <w:rPr>
          <w:bCs/>
          <w:iCs/>
          <w:sz w:val="28"/>
          <w:szCs w:val="28"/>
          <w:lang w:val="it-IT"/>
        </w:rPr>
        <w:t>2969</w:t>
      </w:r>
      <w:r w:rsidRPr="00D76ADB">
        <w:rPr>
          <w:bCs/>
          <w:iCs/>
          <w:sz w:val="28"/>
          <w:szCs w:val="28"/>
          <w:lang w:val="it-IT"/>
        </w:rPr>
        <w:t xml:space="preserve">/QĐ-PTC2 ngày </w:t>
      </w:r>
      <w:r w:rsidRPr="00223D3C">
        <w:rPr>
          <w:bCs/>
          <w:iCs/>
          <w:sz w:val="28"/>
          <w:szCs w:val="28"/>
          <w:lang w:val="it-IT"/>
        </w:rPr>
        <w:t>19/11</w:t>
      </w:r>
      <w:r w:rsidRPr="00D76ADB">
        <w:rPr>
          <w:bCs/>
          <w:iCs/>
          <w:sz w:val="28"/>
          <w:szCs w:val="28"/>
          <w:lang w:val="it-IT"/>
        </w:rPr>
        <w:t xml:space="preserve">/2025 của Công ty Truyền tải điện 2 (PTC2) về việc phê duyệt kế hoạch lựa chọn nhà thầu (đợt 2) Dự án: </w:t>
      </w:r>
      <w:r w:rsidRPr="00223D3C">
        <w:rPr>
          <w:sz w:val="28"/>
          <w:szCs w:val="28"/>
          <w:lang w:val="x-none" w:eastAsia="x-none"/>
        </w:rPr>
        <w:t>Trang bị chống sét van các ngăn xuất tuyến cấp điện áp 110kV trở xuống tại các TBA 220kV, 500kV do Công ty Truyền tải điện 2 quản lý</w:t>
      </w:r>
      <w:r w:rsidRPr="00223D3C">
        <w:rPr>
          <w:sz w:val="28"/>
          <w:szCs w:val="28"/>
          <w:lang w:eastAsia="x-none"/>
        </w:rPr>
        <w:t>;</w:t>
      </w:r>
      <w:r w:rsidRPr="00223D3C">
        <w:rPr>
          <w:b/>
          <w:bCs/>
          <w:iCs/>
          <w:sz w:val="28"/>
          <w:szCs w:val="28"/>
          <w:lang w:val="it-IT"/>
        </w:rPr>
        <w:tab/>
      </w:r>
    </w:p>
    <w:p w:rsidR="006D75CB" w:rsidRPr="00223D3C" w:rsidRDefault="006D75CB" w:rsidP="00D61649">
      <w:pPr>
        <w:spacing w:before="60" w:after="60"/>
        <w:ind w:firstLine="567"/>
        <w:rPr>
          <w:b/>
          <w:bCs/>
          <w:iCs/>
          <w:sz w:val="28"/>
          <w:szCs w:val="28"/>
          <w:lang w:val="it-IT"/>
        </w:rPr>
      </w:pPr>
      <w:r w:rsidRPr="00D76ADB">
        <w:rPr>
          <w:bCs/>
          <w:iCs/>
          <w:sz w:val="28"/>
          <w:szCs w:val="28"/>
          <w:lang w:val="it-IT"/>
        </w:rPr>
        <w:t xml:space="preserve">Quyết định số </w:t>
      </w:r>
      <w:r>
        <w:rPr>
          <w:bCs/>
          <w:iCs/>
          <w:sz w:val="28"/>
          <w:szCs w:val="28"/>
          <w:lang w:val="it-IT"/>
        </w:rPr>
        <w:t>105</w:t>
      </w:r>
      <w:r w:rsidRPr="00D76ADB">
        <w:rPr>
          <w:bCs/>
          <w:iCs/>
          <w:sz w:val="28"/>
          <w:szCs w:val="28"/>
          <w:lang w:val="it-IT"/>
        </w:rPr>
        <w:t xml:space="preserve">/QĐ-PTC2 ngày </w:t>
      </w:r>
      <w:r>
        <w:rPr>
          <w:bCs/>
          <w:iCs/>
          <w:sz w:val="28"/>
          <w:szCs w:val="28"/>
          <w:lang w:val="it-IT"/>
        </w:rPr>
        <w:t>16/01/2026</w:t>
      </w:r>
      <w:r w:rsidRPr="00D76ADB">
        <w:rPr>
          <w:bCs/>
          <w:iCs/>
          <w:sz w:val="28"/>
          <w:szCs w:val="28"/>
          <w:lang w:val="it-IT"/>
        </w:rPr>
        <w:t xml:space="preserve"> của Công ty Truyền tải điện 2 (PTC2) về việc phê duyệt </w:t>
      </w:r>
      <w:r>
        <w:rPr>
          <w:bCs/>
          <w:iCs/>
          <w:sz w:val="28"/>
          <w:szCs w:val="28"/>
          <w:lang w:val="it-IT"/>
        </w:rPr>
        <w:t xml:space="preserve">dự toán gói thầu số 6: Tư vấn kiểm toán công trình </w:t>
      </w:r>
      <w:r w:rsidRPr="00D76ADB">
        <w:rPr>
          <w:bCs/>
          <w:iCs/>
          <w:sz w:val="28"/>
          <w:szCs w:val="28"/>
          <w:lang w:val="it-IT"/>
        </w:rPr>
        <w:t xml:space="preserve">Dự án: </w:t>
      </w:r>
      <w:r w:rsidRPr="00223D3C">
        <w:rPr>
          <w:sz w:val="28"/>
          <w:szCs w:val="28"/>
          <w:lang w:val="x-none" w:eastAsia="x-none"/>
        </w:rPr>
        <w:t>Trang bị chống sét van các ngăn xuất tuyến cấp điện áp 110kV trở xuống tại các TBA 220kV, 500kV do Công ty Truyền tải điện 2 quản lý</w:t>
      </w:r>
      <w:r w:rsidRPr="00223D3C">
        <w:rPr>
          <w:sz w:val="28"/>
          <w:szCs w:val="28"/>
          <w:lang w:eastAsia="x-none"/>
        </w:rPr>
        <w:t>;</w:t>
      </w:r>
    </w:p>
    <w:p w:rsidR="0084016D" w:rsidRPr="00223D3C" w:rsidRDefault="0084016D" w:rsidP="00D61649">
      <w:pPr>
        <w:spacing w:before="60" w:after="60"/>
        <w:ind w:left="568" w:hanging="284"/>
        <w:rPr>
          <w:iCs/>
          <w:sz w:val="28"/>
          <w:szCs w:val="28"/>
          <w:lang w:val="it-IT"/>
        </w:rPr>
      </w:pPr>
      <w:r w:rsidRPr="00223D3C">
        <w:rPr>
          <w:iCs/>
          <w:sz w:val="28"/>
          <w:szCs w:val="28"/>
          <w:lang w:val="it-IT"/>
        </w:rPr>
        <w:t>1. Tên dự án: Trang bị chống sét van các ngăn xuất tuyến cấp điện áp 110kV trở xuống tại các TBA 220kV, 500kV do Công ty Truyền tải điện 2 quản lý.</w:t>
      </w:r>
    </w:p>
    <w:p w:rsidR="0084016D" w:rsidRPr="00223D3C" w:rsidRDefault="0084016D" w:rsidP="00D61649">
      <w:pPr>
        <w:spacing w:before="60" w:after="60"/>
        <w:ind w:left="568" w:hanging="284"/>
        <w:rPr>
          <w:iCs/>
          <w:sz w:val="28"/>
          <w:szCs w:val="28"/>
          <w:lang w:val="it-IT"/>
        </w:rPr>
      </w:pPr>
      <w:r w:rsidRPr="00223D3C">
        <w:rPr>
          <w:iCs/>
          <w:sz w:val="28"/>
          <w:szCs w:val="28"/>
          <w:lang w:val="it-IT"/>
        </w:rPr>
        <w:t xml:space="preserve">2. Chủ đầu tư: </w:t>
      </w:r>
      <w:r w:rsidR="00D76ADB" w:rsidRPr="00223D3C">
        <w:rPr>
          <w:iCs/>
          <w:sz w:val="28"/>
          <w:szCs w:val="28"/>
          <w:lang w:val="it-IT"/>
        </w:rPr>
        <w:t>Công ty Truyền tải điện 2 –CN T</w:t>
      </w:r>
      <w:r w:rsidRPr="00223D3C">
        <w:rPr>
          <w:iCs/>
          <w:sz w:val="28"/>
          <w:szCs w:val="28"/>
          <w:lang w:val="it-IT"/>
        </w:rPr>
        <w:t>ổng Công ty Truyền tải điện Quốc gia .</w:t>
      </w:r>
    </w:p>
    <w:p w:rsidR="0084016D" w:rsidRPr="00223D3C" w:rsidRDefault="0084016D" w:rsidP="00D61649">
      <w:pPr>
        <w:spacing w:before="60" w:after="60"/>
        <w:ind w:left="568" w:hanging="284"/>
        <w:rPr>
          <w:iCs/>
          <w:sz w:val="28"/>
          <w:szCs w:val="28"/>
          <w:lang w:val="it-IT"/>
        </w:rPr>
      </w:pPr>
      <w:r w:rsidRPr="00223D3C">
        <w:rPr>
          <w:iCs/>
          <w:sz w:val="28"/>
          <w:szCs w:val="28"/>
          <w:lang w:val="it-IT"/>
        </w:rPr>
        <w:t>3. Quản lý thực hiện dự án: PTC2 tự quản lý thực hiện dự án.</w:t>
      </w:r>
    </w:p>
    <w:p w:rsidR="0084016D" w:rsidRPr="00223D3C" w:rsidRDefault="0084016D" w:rsidP="00D61649">
      <w:pPr>
        <w:spacing w:before="60" w:after="60"/>
        <w:ind w:left="568" w:hanging="284"/>
        <w:rPr>
          <w:iCs/>
          <w:sz w:val="28"/>
          <w:szCs w:val="28"/>
          <w:lang w:val="it-IT"/>
        </w:rPr>
      </w:pPr>
      <w:r w:rsidRPr="00223D3C">
        <w:rPr>
          <w:iCs/>
          <w:sz w:val="28"/>
          <w:szCs w:val="28"/>
          <w:lang w:val="it-IT"/>
        </w:rPr>
        <w:t>4. Mục tiêu đầu tư xây dựng:</w:t>
      </w:r>
    </w:p>
    <w:p w:rsidR="0084016D" w:rsidRPr="00223D3C" w:rsidRDefault="0084016D" w:rsidP="00D61649">
      <w:pPr>
        <w:spacing w:before="60" w:after="60"/>
        <w:ind w:firstLine="720"/>
        <w:rPr>
          <w:iCs/>
          <w:sz w:val="28"/>
          <w:szCs w:val="28"/>
          <w:lang w:val="it-IT"/>
        </w:rPr>
      </w:pPr>
      <w:r w:rsidRPr="00223D3C">
        <w:rPr>
          <w:iCs/>
          <w:sz w:val="28"/>
          <w:szCs w:val="28"/>
          <w:lang w:val="it-IT"/>
        </w:rPr>
        <w:t>Dự án “Trang bị chống sét van các ngăn xuất tuyến cấp điện áp 110kV trở xuống tại các TBA 220kV, 500kV do Công ty Truyền tải điện 2” được đầu tư xây dựng nhằm các mục tiêu sau đây:</w:t>
      </w:r>
    </w:p>
    <w:p w:rsidR="0084016D" w:rsidRPr="00223D3C" w:rsidRDefault="0084016D" w:rsidP="00D61649">
      <w:pPr>
        <w:pStyle w:val="ListParagraph"/>
        <w:numPr>
          <w:ilvl w:val="0"/>
          <w:numId w:val="1"/>
        </w:numPr>
        <w:spacing w:before="60" w:after="60"/>
        <w:ind w:left="851" w:hanging="284"/>
        <w:rPr>
          <w:iCs/>
          <w:sz w:val="28"/>
          <w:szCs w:val="28"/>
          <w:lang w:val="it-IT"/>
        </w:rPr>
      </w:pPr>
      <w:bookmarkStart w:id="2" w:name="OLE_LINK5"/>
      <w:r w:rsidRPr="00223D3C">
        <w:rPr>
          <w:iCs/>
          <w:sz w:val="28"/>
          <w:szCs w:val="28"/>
          <w:lang w:val="it-IT"/>
        </w:rPr>
        <w:t>Ngăn ngừa việc quá điện áp lan truyền do sét đánh trên các đường dây có cấp điện áp từ 110kV trở xuống lan truyền vào trạm gây sự cố lưới điện, hư hỏng thiết bị trong TBA</w:t>
      </w:r>
      <w:bookmarkEnd w:id="2"/>
      <w:r w:rsidRPr="00223D3C">
        <w:rPr>
          <w:iCs/>
          <w:sz w:val="28"/>
          <w:szCs w:val="28"/>
          <w:lang w:val="it-IT"/>
        </w:rPr>
        <w:t>.</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Đảm bảo vận hành an toàn, nâng cao độ tin cậy cung cấp điện.</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Đáp ứng yêu cầu kỹ thuật đối với TBA không người trực.</w:t>
      </w:r>
    </w:p>
    <w:p w:rsidR="0084016D" w:rsidRPr="00223D3C" w:rsidRDefault="0084016D" w:rsidP="00D61649">
      <w:pPr>
        <w:spacing w:before="60" w:after="60"/>
        <w:ind w:left="568" w:hanging="284"/>
        <w:rPr>
          <w:iCs/>
          <w:sz w:val="28"/>
          <w:szCs w:val="28"/>
          <w:lang w:val="it-IT"/>
        </w:rPr>
      </w:pPr>
      <w:r w:rsidRPr="00223D3C">
        <w:rPr>
          <w:iCs/>
          <w:sz w:val="28"/>
          <w:szCs w:val="28"/>
          <w:lang w:val="it-IT"/>
        </w:rPr>
        <w:t>5. Địa điểm xây dựng:</w:t>
      </w:r>
    </w:p>
    <w:p w:rsidR="0084016D" w:rsidRPr="00223D3C" w:rsidRDefault="0084016D" w:rsidP="00D61649">
      <w:pPr>
        <w:spacing w:before="60" w:after="60"/>
        <w:ind w:firstLine="720"/>
        <w:rPr>
          <w:iCs/>
          <w:sz w:val="28"/>
          <w:szCs w:val="28"/>
          <w:lang w:val="it-IT"/>
        </w:rPr>
      </w:pPr>
      <w:r w:rsidRPr="00223D3C">
        <w:rPr>
          <w:iCs/>
          <w:sz w:val="28"/>
          <w:szCs w:val="28"/>
          <w:lang w:val="it-IT"/>
        </w:rPr>
        <w:t>Dự án “Trang bị CSV các ngăn xuất tuyến cấp điện áp 110kV trở xuống tại các TBA 220kV, 500kV do Công ty Truyền tải điện 2 quản lý” được thực hiện trong khuôn viên các trạm 500kV, 220kV hiện hữu trực thuộc Công ty Truyền tải điện 2 quản lý vận hành, cụ thể như sau:</w:t>
      </w:r>
    </w:p>
    <w:tbl>
      <w:tblPr>
        <w:tblW w:w="0" w:type="auto"/>
        <w:tblInd w:w="535" w:type="dxa"/>
        <w:tblLayout w:type="fixed"/>
        <w:tblLook w:val="04A0" w:firstRow="1" w:lastRow="0" w:firstColumn="1" w:lastColumn="0" w:noHBand="0" w:noVBand="1"/>
      </w:tblPr>
      <w:tblGrid>
        <w:gridCol w:w="1161"/>
        <w:gridCol w:w="3119"/>
        <w:gridCol w:w="4810"/>
      </w:tblGrid>
      <w:tr w:rsidR="00223D3C" w:rsidRPr="00223D3C" w:rsidTr="00223D3C">
        <w:trPr>
          <w:trHeight w:val="535"/>
          <w:tblHeader/>
        </w:trPr>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spacing w:before="120"/>
              <w:jc w:val="center"/>
              <w:rPr>
                <w:b/>
                <w:bCs/>
                <w:sz w:val="28"/>
                <w:szCs w:val="28"/>
              </w:rPr>
            </w:pPr>
            <w:bookmarkStart w:id="3" w:name="_Hlk212299643"/>
            <w:r w:rsidRPr="00223D3C">
              <w:rPr>
                <w:b/>
                <w:bCs/>
                <w:sz w:val="28"/>
                <w:szCs w:val="28"/>
              </w:rPr>
              <w:t>TT</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rsidR="0084016D" w:rsidRPr="00223D3C" w:rsidRDefault="0084016D" w:rsidP="00223D3C">
            <w:pPr>
              <w:spacing w:before="120"/>
              <w:jc w:val="center"/>
              <w:rPr>
                <w:b/>
                <w:bCs/>
                <w:sz w:val="28"/>
                <w:szCs w:val="28"/>
              </w:rPr>
            </w:pPr>
            <w:proofErr w:type="spellStart"/>
            <w:r w:rsidRPr="00223D3C">
              <w:rPr>
                <w:b/>
                <w:bCs/>
                <w:sz w:val="28"/>
                <w:szCs w:val="28"/>
              </w:rPr>
              <w:t>Trạm</w:t>
            </w:r>
            <w:proofErr w:type="spellEnd"/>
            <w:r w:rsidRPr="00223D3C">
              <w:rPr>
                <w:b/>
                <w:bCs/>
                <w:sz w:val="28"/>
                <w:szCs w:val="28"/>
              </w:rPr>
              <w:t xml:space="preserve"> </w:t>
            </w:r>
            <w:proofErr w:type="spellStart"/>
            <w:r w:rsidRPr="00223D3C">
              <w:rPr>
                <w:b/>
                <w:bCs/>
                <w:sz w:val="28"/>
                <w:szCs w:val="28"/>
              </w:rPr>
              <w:t>biến</w:t>
            </w:r>
            <w:proofErr w:type="spellEnd"/>
            <w:r w:rsidRPr="00223D3C">
              <w:rPr>
                <w:b/>
                <w:bCs/>
                <w:sz w:val="28"/>
                <w:szCs w:val="28"/>
              </w:rPr>
              <w:t xml:space="preserve"> </w:t>
            </w:r>
            <w:proofErr w:type="spellStart"/>
            <w:r w:rsidRPr="00223D3C">
              <w:rPr>
                <w:b/>
                <w:bCs/>
                <w:sz w:val="28"/>
                <w:szCs w:val="28"/>
              </w:rPr>
              <w:t>áp</w:t>
            </w:r>
            <w:proofErr w:type="spellEnd"/>
          </w:p>
        </w:tc>
        <w:tc>
          <w:tcPr>
            <w:tcW w:w="4810" w:type="dxa"/>
            <w:tcBorders>
              <w:top w:val="single" w:sz="4" w:space="0" w:color="auto"/>
              <w:left w:val="nil"/>
              <w:bottom w:val="single" w:sz="4" w:space="0" w:color="auto"/>
              <w:right w:val="single" w:sz="4" w:space="0" w:color="auto"/>
            </w:tcBorders>
            <w:shd w:val="clear" w:color="000000" w:fill="FFFFFF"/>
            <w:vAlign w:val="center"/>
            <w:hideMark/>
          </w:tcPr>
          <w:p w:rsidR="0084016D" w:rsidRPr="00223D3C" w:rsidRDefault="0084016D" w:rsidP="00223D3C">
            <w:pPr>
              <w:spacing w:before="120"/>
              <w:jc w:val="center"/>
              <w:rPr>
                <w:b/>
                <w:bCs/>
                <w:sz w:val="28"/>
                <w:szCs w:val="28"/>
              </w:rPr>
            </w:pPr>
            <w:proofErr w:type="spellStart"/>
            <w:r w:rsidRPr="00223D3C">
              <w:rPr>
                <w:b/>
                <w:bCs/>
                <w:sz w:val="28"/>
                <w:szCs w:val="28"/>
              </w:rPr>
              <w:t>Địa</w:t>
            </w:r>
            <w:proofErr w:type="spellEnd"/>
            <w:r w:rsidRPr="00223D3C">
              <w:rPr>
                <w:b/>
                <w:bCs/>
                <w:sz w:val="28"/>
                <w:szCs w:val="28"/>
              </w:rPr>
              <w:t xml:space="preserve"> </w:t>
            </w:r>
            <w:proofErr w:type="spellStart"/>
            <w:r w:rsidRPr="00223D3C">
              <w:rPr>
                <w:b/>
                <w:bCs/>
                <w:sz w:val="28"/>
                <w:szCs w:val="28"/>
              </w:rPr>
              <w:t>chỉ</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500kV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Phường</w:t>
            </w:r>
            <w:proofErr w:type="spellEnd"/>
            <w:r w:rsidRPr="00223D3C">
              <w:rPr>
                <w:sz w:val="28"/>
                <w:szCs w:val="28"/>
              </w:rPr>
              <w:t xml:space="preserve"> </w:t>
            </w:r>
            <w:proofErr w:type="spellStart"/>
            <w:r w:rsidRPr="00223D3C">
              <w:rPr>
                <w:sz w:val="28"/>
                <w:szCs w:val="28"/>
              </w:rPr>
              <w:t>Cẩm</w:t>
            </w:r>
            <w:proofErr w:type="spellEnd"/>
            <w:r w:rsidRPr="00223D3C">
              <w:rPr>
                <w:sz w:val="28"/>
                <w:szCs w:val="28"/>
              </w:rPr>
              <w:t xml:space="preserve"> </w:t>
            </w:r>
            <w:proofErr w:type="spellStart"/>
            <w:r w:rsidRPr="00223D3C">
              <w:rPr>
                <w:sz w:val="28"/>
                <w:szCs w:val="28"/>
              </w:rPr>
              <w:t>Lệ</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lastRenderedPageBreak/>
              <w:t>2</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500kV </w:t>
            </w:r>
            <w:proofErr w:type="spellStart"/>
            <w:r w:rsidRPr="00223D3C">
              <w:rPr>
                <w:sz w:val="28"/>
                <w:szCs w:val="28"/>
              </w:rPr>
              <w:t>Dốc</w:t>
            </w:r>
            <w:proofErr w:type="spellEnd"/>
            <w:r w:rsidRPr="00223D3C">
              <w:rPr>
                <w:sz w:val="28"/>
                <w:szCs w:val="28"/>
              </w:rPr>
              <w:t xml:space="preserve"> </w:t>
            </w:r>
            <w:proofErr w:type="spellStart"/>
            <w:r w:rsidRPr="00223D3C">
              <w:rPr>
                <w:sz w:val="28"/>
                <w:szCs w:val="28"/>
              </w:rPr>
              <w:t>Sỏi</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Bình</w:t>
            </w:r>
            <w:proofErr w:type="spellEnd"/>
            <w:r w:rsidRPr="00223D3C">
              <w:rPr>
                <w:sz w:val="28"/>
                <w:szCs w:val="28"/>
              </w:rPr>
              <w:t xml:space="preserve"> </w:t>
            </w:r>
            <w:proofErr w:type="spellStart"/>
            <w:r w:rsidRPr="00223D3C">
              <w:rPr>
                <w:sz w:val="28"/>
                <w:szCs w:val="28"/>
              </w:rPr>
              <w:t>Sơn</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3</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Lao </w:t>
            </w:r>
            <w:proofErr w:type="spellStart"/>
            <w:r w:rsidRPr="00223D3C">
              <w:rPr>
                <w:sz w:val="28"/>
                <w:szCs w:val="28"/>
              </w:rPr>
              <w:t>Bảo</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Khe</w:t>
            </w:r>
            <w:proofErr w:type="spellEnd"/>
            <w:r w:rsidRPr="00223D3C">
              <w:rPr>
                <w:sz w:val="28"/>
                <w:szCs w:val="28"/>
              </w:rPr>
              <w:t xml:space="preserve"> </w:t>
            </w:r>
            <w:proofErr w:type="spellStart"/>
            <w:r w:rsidRPr="00223D3C">
              <w:rPr>
                <w:sz w:val="28"/>
                <w:szCs w:val="28"/>
              </w:rPr>
              <w:t>Sanh</w:t>
            </w:r>
            <w:proofErr w:type="spellEnd"/>
            <w:r w:rsidRPr="00223D3C">
              <w:rPr>
                <w:sz w:val="28"/>
                <w:szCs w:val="28"/>
              </w:rPr>
              <w:t xml:space="preserve">, </w:t>
            </w:r>
            <w:proofErr w:type="spellStart"/>
            <w:r w:rsidRPr="00223D3C">
              <w:rPr>
                <w:sz w:val="28"/>
                <w:szCs w:val="28"/>
              </w:rPr>
              <w:t>tỉnh</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Trị</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4</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Huế</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Phường</w:t>
            </w:r>
            <w:proofErr w:type="spellEnd"/>
            <w:r w:rsidRPr="00223D3C">
              <w:rPr>
                <w:sz w:val="28"/>
                <w:szCs w:val="28"/>
              </w:rPr>
              <w:t xml:space="preserve"> An </w:t>
            </w:r>
            <w:proofErr w:type="spellStart"/>
            <w:r w:rsidRPr="00223D3C">
              <w:rPr>
                <w:sz w:val="28"/>
                <w:szCs w:val="28"/>
              </w:rPr>
              <w:t>cựu</w:t>
            </w:r>
            <w:proofErr w:type="spellEnd"/>
            <w:r w:rsidRPr="00223D3C">
              <w:rPr>
                <w:sz w:val="28"/>
                <w:szCs w:val="28"/>
              </w:rPr>
              <w:t xml:space="preserve">, TP </w:t>
            </w:r>
            <w:proofErr w:type="spellStart"/>
            <w:r w:rsidRPr="00223D3C">
              <w:rPr>
                <w:sz w:val="28"/>
                <w:szCs w:val="28"/>
              </w:rPr>
              <w:t>Huế</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5</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Hòa</w:t>
            </w:r>
            <w:proofErr w:type="spellEnd"/>
            <w:r w:rsidRPr="00223D3C">
              <w:rPr>
                <w:sz w:val="28"/>
                <w:szCs w:val="28"/>
              </w:rPr>
              <w:t xml:space="preserve"> </w:t>
            </w:r>
            <w:proofErr w:type="spellStart"/>
            <w:r w:rsidRPr="00223D3C">
              <w:rPr>
                <w:sz w:val="28"/>
                <w:szCs w:val="28"/>
              </w:rPr>
              <w:t>Khánh</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Phường</w:t>
            </w:r>
            <w:proofErr w:type="spellEnd"/>
            <w:r w:rsidRPr="00223D3C">
              <w:rPr>
                <w:sz w:val="28"/>
                <w:szCs w:val="28"/>
              </w:rPr>
              <w:t xml:space="preserve"> </w:t>
            </w:r>
            <w:proofErr w:type="spellStart"/>
            <w:r w:rsidRPr="00223D3C">
              <w:rPr>
                <w:sz w:val="28"/>
                <w:szCs w:val="28"/>
              </w:rPr>
              <w:t>Liên</w:t>
            </w:r>
            <w:proofErr w:type="spellEnd"/>
            <w:r w:rsidRPr="00223D3C">
              <w:rPr>
                <w:sz w:val="28"/>
                <w:szCs w:val="28"/>
              </w:rPr>
              <w:t xml:space="preserve"> </w:t>
            </w:r>
            <w:proofErr w:type="spellStart"/>
            <w:r w:rsidRPr="00223D3C">
              <w:rPr>
                <w:sz w:val="28"/>
                <w:szCs w:val="28"/>
              </w:rPr>
              <w:t>Chiểu</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6</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Ngũ</w:t>
            </w:r>
            <w:proofErr w:type="spellEnd"/>
            <w:r w:rsidRPr="00223D3C">
              <w:rPr>
                <w:sz w:val="28"/>
                <w:szCs w:val="28"/>
              </w:rPr>
              <w:t xml:space="preserve"> </w:t>
            </w:r>
            <w:proofErr w:type="spellStart"/>
            <w:r w:rsidRPr="00223D3C">
              <w:rPr>
                <w:sz w:val="28"/>
                <w:szCs w:val="28"/>
              </w:rPr>
              <w:t>Hành</w:t>
            </w:r>
            <w:proofErr w:type="spellEnd"/>
            <w:r w:rsidRPr="00223D3C">
              <w:rPr>
                <w:sz w:val="28"/>
                <w:szCs w:val="28"/>
              </w:rPr>
              <w:t xml:space="preserve"> </w:t>
            </w:r>
            <w:proofErr w:type="spellStart"/>
            <w:r w:rsidRPr="00223D3C">
              <w:rPr>
                <w:sz w:val="28"/>
                <w:szCs w:val="28"/>
              </w:rPr>
              <w:t>Sơn</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Phường</w:t>
            </w:r>
            <w:proofErr w:type="spellEnd"/>
            <w:r w:rsidRPr="00223D3C">
              <w:rPr>
                <w:sz w:val="28"/>
                <w:szCs w:val="28"/>
              </w:rPr>
              <w:t xml:space="preserve"> </w:t>
            </w:r>
            <w:proofErr w:type="spellStart"/>
            <w:r w:rsidRPr="00223D3C">
              <w:rPr>
                <w:sz w:val="28"/>
                <w:szCs w:val="28"/>
              </w:rPr>
              <w:t>Ngũ</w:t>
            </w:r>
            <w:proofErr w:type="spellEnd"/>
            <w:r w:rsidRPr="00223D3C">
              <w:rPr>
                <w:sz w:val="28"/>
                <w:szCs w:val="28"/>
              </w:rPr>
              <w:t xml:space="preserve"> </w:t>
            </w:r>
            <w:proofErr w:type="spellStart"/>
            <w:r w:rsidRPr="00223D3C">
              <w:rPr>
                <w:sz w:val="28"/>
                <w:szCs w:val="28"/>
              </w:rPr>
              <w:t>Hành</w:t>
            </w:r>
            <w:proofErr w:type="spellEnd"/>
            <w:r w:rsidRPr="00223D3C">
              <w:rPr>
                <w:sz w:val="28"/>
                <w:szCs w:val="28"/>
              </w:rPr>
              <w:t xml:space="preserve"> </w:t>
            </w:r>
            <w:proofErr w:type="spellStart"/>
            <w:r w:rsidRPr="00223D3C">
              <w:rPr>
                <w:sz w:val="28"/>
                <w:szCs w:val="28"/>
              </w:rPr>
              <w:t>Sơn</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7</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Sông</w:t>
            </w:r>
            <w:proofErr w:type="spellEnd"/>
            <w:r w:rsidRPr="00223D3C">
              <w:rPr>
                <w:sz w:val="28"/>
                <w:szCs w:val="28"/>
              </w:rPr>
              <w:t xml:space="preserve"> </w:t>
            </w:r>
            <w:proofErr w:type="spellStart"/>
            <w:r w:rsidRPr="00223D3C">
              <w:rPr>
                <w:sz w:val="28"/>
                <w:szCs w:val="28"/>
              </w:rPr>
              <w:t>Tranh</w:t>
            </w:r>
            <w:proofErr w:type="spellEnd"/>
            <w:r w:rsidRPr="00223D3C">
              <w:rPr>
                <w:sz w:val="28"/>
                <w:szCs w:val="28"/>
              </w:rPr>
              <w:t xml:space="preserve"> 2</w:t>
            </w:r>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Trà</w:t>
            </w:r>
            <w:proofErr w:type="spellEnd"/>
            <w:r w:rsidRPr="00223D3C">
              <w:rPr>
                <w:sz w:val="28"/>
                <w:szCs w:val="28"/>
              </w:rPr>
              <w:t xml:space="preserve"> </w:t>
            </w:r>
            <w:proofErr w:type="spellStart"/>
            <w:r w:rsidRPr="00223D3C">
              <w:rPr>
                <w:sz w:val="28"/>
                <w:szCs w:val="28"/>
              </w:rPr>
              <w:t>Đốc</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8</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Tam </w:t>
            </w:r>
            <w:proofErr w:type="spellStart"/>
            <w:r w:rsidRPr="00223D3C">
              <w:rPr>
                <w:sz w:val="28"/>
                <w:szCs w:val="28"/>
              </w:rPr>
              <w:t>Kỳ</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Chiên</w:t>
            </w:r>
            <w:proofErr w:type="spellEnd"/>
            <w:r w:rsidRPr="00223D3C">
              <w:rPr>
                <w:sz w:val="28"/>
                <w:szCs w:val="28"/>
              </w:rPr>
              <w:t xml:space="preserve"> </w:t>
            </w:r>
            <w:proofErr w:type="spellStart"/>
            <w:r w:rsidRPr="00223D3C">
              <w:rPr>
                <w:sz w:val="28"/>
                <w:szCs w:val="28"/>
              </w:rPr>
              <w:t>Đàn</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9</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Thạnh</w:t>
            </w:r>
            <w:proofErr w:type="spellEnd"/>
            <w:r w:rsidRPr="00223D3C">
              <w:rPr>
                <w:sz w:val="28"/>
                <w:szCs w:val="28"/>
              </w:rPr>
              <w:t xml:space="preserve"> </w:t>
            </w:r>
            <w:proofErr w:type="spellStart"/>
            <w:r w:rsidRPr="00223D3C">
              <w:rPr>
                <w:sz w:val="28"/>
                <w:szCs w:val="28"/>
              </w:rPr>
              <w:t>Mỹ</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Thạnh</w:t>
            </w:r>
            <w:proofErr w:type="spellEnd"/>
            <w:r w:rsidRPr="00223D3C">
              <w:rPr>
                <w:sz w:val="28"/>
                <w:szCs w:val="28"/>
              </w:rPr>
              <w:t xml:space="preserve"> </w:t>
            </w:r>
            <w:proofErr w:type="spellStart"/>
            <w:r w:rsidRPr="00223D3C">
              <w:rPr>
                <w:sz w:val="28"/>
                <w:szCs w:val="28"/>
              </w:rPr>
              <w:t>Mỹ</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10</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Duy</w:t>
            </w:r>
            <w:proofErr w:type="spellEnd"/>
            <w:r w:rsidRPr="00223D3C">
              <w:rPr>
                <w:sz w:val="28"/>
                <w:szCs w:val="28"/>
              </w:rPr>
              <w:t xml:space="preserve"> </w:t>
            </w:r>
            <w:proofErr w:type="spellStart"/>
            <w:r w:rsidRPr="00223D3C">
              <w:rPr>
                <w:sz w:val="28"/>
                <w:szCs w:val="28"/>
              </w:rPr>
              <w:t>Xuyên</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Duy</w:t>
            </w:r>
            <w:proofErr w:type="spellEnd"/>
            <w:r w:rsidRPr="00223D3C">
              <w:rPr>
                <w:sz w:val="28"/>
                <w:szCs w:val="28"/>
              </w:rPr>
              <w:t xml:space="preserve"> </w:t>
            </w:r>
            <w:proofErr w:type="spellStart"/>
            <w:r w:rsidRPr="00223D3C">
              <w:rPr>
                <w:sz w:val="28"/>
                <w:szCs w:val="28"/>
              </w:rPr>
              <w:t>Xuyên</w:t>
            </w:r>
            <w:proofErr w:type="spellEnd"/>
            <w:r w:rsidRPr="00223D3C">
              <w:rPr>
                <w:sz w:val="28"/>
                <w:szCs w:val="28"/>
              </w:rPr>
              <w:t xml:space="preserve">, TP </w:t>
            </w:r>
            <w:proofErr w:type="spellStart"/>
            <w:r w:rsidRPr="00223D3C">
              <w:rPr>
                <w:sz w:val="28"/>
                <w:szCs w:val="28"/>
              </w:rPr>
              <w:t>Đà</w:t>
            </w:r>
            <w:proofErr w:type="spellEnd"/>
            <w:r w:rsidRPr="00223D3C">
              <w:rPr>
                <w:sz w:val="28"/>
                <w:szCs w:val="28"/>
              </w:rPr>
              <w:t xml:space="preserve"> </w:t>
            </w:r>
            <w:proofErr w:type="spellStart"/>
            <w:r w:rsidRPr="00223D3C">
              <w:rPr>
                <w:sz w:val="28"/>
                <w:szCs w:val="28"/>
              </w:rPr>
              <w:t>Nẵng</w:t>
            </w:r>
            <w:proofErr w:type="spellEnd"/>
            <w:r w:rsidRPr="00223D3C">
              <w:rPr>
                <w:sz w:val="28"/>
                <w:szCs w:val="28"/>
              </w:rPr>
              <w:t> </w:t>
            </w:r>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11</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Dung </w:t>
            </w:r>
            <w:proofErr w:type="spellStart"/>
            <w:r w:rsidRPr="00223D3C">
              <w:rPr>
                <w:sz w:val="28"/>
                <w:szCs w:val="28"/>
              </w:rPr>
              <w:t>Quất</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w:t>
            </w:r>
            <w:proofErr w:type="spellStart"/>
            <w:r w:rsidRPr="00223D3C">
              <w:rPr>
                <w:sz w:val="28"/>
                <w:szCs w:val="28"/>
              </w:rPr>
              <w:t>Vạn</w:t>
            </w:r>
            <w:proofErr w:type="spellEnd"/>
            <w:r w:rsidRPr="00223D3C">
              <w:rPr>
                <w:sz w:val="28"/>
                <w:szCs w:val="28"/>
              </w:rPr>
              <w:t xml:space="preserve"> </w:t>
            </w:r>
            <w:proofErr w:type="spellStart"/>
            <w:r w:rsidRPr="00223D3C">
              <w:rPr>
                <w:sz w:val="28"/>
                <w:szCs w:val="28"/>
              </w:rPr>
              <w:t>Tường</w:t>
            </w:r>
            <w:proofErr w:type="spellEnd"/>
            <w:r w:rsidRPr="00223D3C">
              <w:rPr>
                <w:sz w:val="28"/>
                <w:szCs w:val="28"/>
              </w:rPr>
              <w:t xml:space="preserve">, </w:t>
            </w:r>
            <w:proofErr w:type="spellStart"/>
            <w:r w:rsidRPr="00223D3C">
              <w:rPr>
                <w:sz w:val="28"/>
                <w:szCs w:val="28"/>
              </w:rPr>
              <w:t>tỉnh</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12</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r w:rsidRPr="00223D3C">
              <w:rPr>
                <w:sz w:val="28"/>
                <w:szCs w:val="28"/>
              </w:rPr>
              <w:t xml:space="preserve"> </w:t>
            </w:r>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Lân</w:t>
            </w:r>
            <w:proofErr w:type="spellEnd"/>
            <w:r w:rsidRPr="00223D3C">
              <w:rPr>
                <w:sz w:val="28"/>
                <w:szCs w:val="28"/>
              </w:rPr>
              <w:t xml:space="preserve"> </w:t>
            </w:r>
            <w:proofErr w:type="spellStart"/>
            <w:r w:rsidRPr="00223D3C">
              <w:rPr>
                <w:sz w:val="28"/>
                <w:szCs w:val="28"/>
              </w:rPr>
              <w:t>Phong</w:t>
            </w:r>
            <w:proofErr w:type="spellEnd"/>
            <w:r w:rsidRPr="00223D3C">
              <w:rPr>
                <w:sz w:val="28"/>
                <w:szCs w:val="28"/>
              </w:rPr>
              <w:t xml:space="preserve">, </w:t>
            </w:r>
            <w:proofErr w:type="spellStart"/>
            <w:r w:rsidRPr="00223D3C">
              <w:rPr>
                <w:sz w:val="28"/>
                <w:szCs w:val="28"/>
              </w:rPr>
              <w:t>tỉnh</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p>
        </w:tc>
      </w:tr>
      <w:tr w:rsidR="00223D3C" w:rsidRPr="00223D3C" w:rsidTr="00223D3C">
        <w:trPr>
          <w:trHeight w:val="345"/>
        </w:trPr>
        <w:tc>
          <w:tcPr>
            <w:tcW w:w="1161" w:type="dxa"/>
            <w:tcBorders>
              <w:top w:val="nil"/>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13</w:t>
            </w:r>
          </w:p>
        </w:tc>
        <w:tc>
          <w:tcPr>
            <w:tcW w:w="3119" w:type="dxa"/>
            <w:tcBorders>
              <w:top w:val="nil"/>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Sơn</w:t>
            </w:r>
            <w:proofErr w:type="spellEnd"/>
            <w:r w:rsidRPr="00223D3C">
              <w:rPr>
                <w:sz w:val="28"/>
                <w:szCs w:val="28"/>
              </w:rPr>
              <w:t xml:space="preserve"> </w:t>
            </w:r>
            <w:proofErr w:type="spellStart"/>
            <w:r w:rsidRPr="00223D3C">
              <w:rPr>
                <w:sz w:val="28"/>
                <w:szCs w:val="28"/>
              </w:rPr>
              <w:t>Hà</w:t>
            </w:r>
            <w:proofErr w:type="spellEnd"/>
          </w:p>
        </w:tc>
        <w:tc>
          <w:tcPr>
            <w:tcW w:w="4810" w:type="dxa"/>
            <w:tcBorders>
              <w:top w:val="nil"/>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Sơn</w:t>
            </w:r>
            <w:proofErr w:type="spellEnd"/>
            <w:r w:rsidRPr="00223D3C">
              <w:rPr>
                <w:sz w:val="28"/>
                <w:szCs w:val="28"/>
              </w:rPr>
              <w:t xml:space="preserve"> </w:t>
            </w:r>
            <w:proofErr w:type="spellStart"/>
            <w:r w:rsidRPr="00223D3C">
              <w:rPr>
                <w:sz w:val="28"/>
                <w:szCs w:val="28"/>
              </w:rPr>
              <w:t>Hà</w:t>
            </w:r>
            <w:proofErr w:type="spellEnd"/>
            <w:r w:rsidRPr="00223D3C">
              <w:rPr>
                <w:sz w:val="28"/>
                <w:szCs w:val="28"/>
              </w:rPr>
              <w:t xml:space="preserve">, </w:t>
            </w:r>
            <w:proofErr w:type="spellStart"/>
            <w:r w:rsidRPr="00223D3C">
              <w:rPr>
                <w:sz w:val="28"/>
                <w:szCs w:val="28"/>
              </w:rPr>
              <w:t>tỉnh</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r w:rsidRPr="00223D3C">
              <w:rPr>
                <w:sz w:val="28"/>
                <w:szCs w:val="28"/>
              </w:rPr>
              <w:t> </w:t>
            </w:r>
          </w:p>
        </w:tc>
      </w:tr>
      <w:tr w:rsidR="00223D3C" w:rsidRPr="00223D3C" w:rsidTr="00223D3C">
        <w:trPr>
          <w:trHeight w:val="345"/>
        </w:trPr>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016D" w:rsidRPr="00223D3C" w:rsidRDefault="0084016D" w:rsidP="00223D3C">
            <w:pPr>
              <w:ind w:firstLine="69"/>
              <w:jc w:val="center"/>
              <w:rPr>
                <w:sz w:val="28"/>
                <w:szCs w:val="28"/>
              </w:rPr>
            </w:pPr>
            <w:r w:rsidRPr="00223D3C">
              <w:rPr>
                <w:sz w:val="28"/>
                <w:szCs w:val="28"/>
              </w:rPr>
              <w:t>14</w:t>
            </w:r>
          </w:p>
        </w:tc>
        <w:tc>
          <w:tcPr>
            <w:tcW w:w="3119" w:type="dxa"/>
            <w:tcBorders>
              <w:top w:val="single" w:sz="4" w:space="0" w:color="auto"/>
              <w:left w:val="nil"/>
              <w:bottom w:val="single" w:sz="4" w:space="0" w:color="auto"/>
              <w:right w:val="single" w:sz="4" w:space="0" w:color="auto"/>
            </w:tcBorders>
            <w:vAlign w:val="center"/>
            <w:hideMark/>
          </w:tcPr>
          <w:p w:rsidR="0084016D" w:rsidRPr="00223D3C" w:rsidRDefault="0084016D" w:rsidP="00D61649">
            <w:pPr>
              <w:rPr>
                <w:sz w:val="28"/>
                <w:szCs w:val="28"/>
              </w:rPr>
            </w:pPr>
            <w:r w:rsidRPr="00223D3C">
              <w:rPr>
                <w:sz w:val="28"/>
                <w:szCs w:val="28"/>
              </w:rPr>
              <w:t xml:space="preserve">220kV </w:t>
            </w:r>
            <w:proofErr w:type="spellStart"/>
            <w:r w:rsidRPr="00223D3C">
              <w:rPr>
                <w:sz w:val="28"/>
                <w:szCs w:val="28"/>
              </w:rPr>
              <w:t>Kon</w:t>
            </w:r>
            <w:proofErr w:type="spellEnd"/>
            <w:r w:rsidRPr="00223D3C">
              <w:rPr>
                <w:sz w:val="28"/>
                <w:szCs w:val="28"/>
              </w:rPr>
              <w:t xml:space="preserve"> Tum</w:t>
            </w:r>
          </w:p>
        </w:tc>
        <w:tc>
          <w:tcPr>
            <w:tcW w:w="4810" w:type="dxa"/>
            <w:tcBorders>
              <w:top w:val="single" w:sz="4" w:space="0" w:color="auto"/>
              <w:left w:val="nil"/>
              <w:bottom w:val="single" w:sz="4" w:space="0" w:color="auto"/>
              <w:right w:val="single" w:sz="4" w:space="0" w:color="auto"/>
            </w:tcBorders>
            <w:shd w:val="clear" w:color="000000" w:fill="FFFFFF"/>
            <w:vAlign w:val="center"/>
            <w:hideMark/>
          </w:tcPr>
          <w:p w:rsidR="0084016D" w:rsidRPr="00223D3C" w:rsidRDefault="0084016D" w:rsidP="00D61649">
            <w:pPr>
              <w:rPr>
                <w:sz w:val="28"/>
                <w:szCs w:val="28"/>
              </w:rPr>
            </w:pPr>
            <w:proofErr w:type="spellStart"/>
            <w:r w:rsidRPr="00223D3C">
              <w:rPr>
                <w:sz w:val="28"/>
                <w:szCs w:val="28"/>
              </w:rPr>
              <w:t>Xã</w:t>
            </w:r>
            <w:proofErr w:type="spellEnd"/>
            <w:r w:rsidRPr="00223D3C">
              <w:rPr>
                <w:sz w:val="28"/>
                <w:szCs w:val="28"/>
              </w:rPr>
              <w:t xml:space="preserve"> </w:t>
            </w:r>
            <w:proofErr w:type="spellStart"/>
            <w:r w:rsidRPr="00223D3C">
              <w:rPr>
                <w:sz w:val="28"/>
                <w:szCs w:val="28"/>
              </w:rPr>
              <w:t>Ngọk</w:t>
            </w:r>
            <w:proofErr w:type="spellEnd"/>
            <w:r w:rsidRPr="00223D3C">
              <w:rPr>
                <w:sz w:val="28"/>
                <w:szCs w:val="28"/>
              </w:rPr>
              <w:t xml:space="preserve"> Bay, </w:t>
            </w:r>
            <w:proofErr w:type="spellStart"/>
            <w:r w:rsidRPr="00223D3C">
              <w:rPr>
                <w:sz w:val="28"/>
                <w:szCs w:val="28"/>
              </w:rPr>
              <w:t>tỉnh</w:t>
            </w:r>
            <w:proofErr w:type="spellEnd"/>
            <w:r w:rsidRPr="00223D3C">
              <w:rPr>
                <w:sz w:val="28"/>
                <w:szCs w:val="28"/>
              </w:rPr>
              <w:t xml:space="preserve"> </w:t>
            </w:r>
            <w:proofErr w:type="spellStart"/>
            <w:r w:rsidRPr="00223D3C">
              <w:rPr>
                <w:sz w:val="28"/>
                <w:szCs w:val="28"/>
              </w:rPr>
              <w:t>Quảng</w:t>
            </w:r>
            <w:proofErr w:type="spellEnd"/>
            <w:r w:rsidRPr="00223D3C">
              <w:rPr>
                <w:sz w:val="28"/>
                <w:szCs w:val="28"/>
              </w:rPr>
              <w:t xml:space="preserve"> </w:t>
            </w:r>
            <w:proofErr w:type="spellStart"/>
            <w:r w:rsidRPr="00223D3C">
              <w:rPr>
                <w:sz w:val="28"/>
                <w:szCs w:val="28"/>
              </w:rPr>
              <w:t>Ngãi</w:t>
            </w:r>
            <w:proofErr w:type="spellEnd"/>
            <w:r w:rsidRPr="00223D3C">
              <w:rPr>
                <w:sz w:val="28"/>
                <w:szCs w:val="28"/>
              </w:rPr>
              <w:t> </w:t>
            </w:r>
          </w:p>
        </w:tc>
      </w:tr>
    </w:tbl>
    <w:bookmarkEnd w:id="3"/>
    <w:p w:rsidR="0084016D" w:rsidRPr="00223D3C" w:rsidRDefault="0084016D" w:rsidP="00D61649">
      <w:pPr>
        <w:spacing w:before="60" w:after="60"/>
        <w:ind w:left="568" w:hanging="284"/>
        <w:rPr>
          <w:iCs/>
          <w:sz w:val="28"/>
          <w:szCs w:val="28"/>
          <w:lang w:val="it-IT"/>
        </w:rPr>
      </w:pPr>
      <w:r w:rsidRPr="00223D3C">
        <w:rPr>
          <w:iCs/>
          <w:sz w:val="28"/>
          <w:szCs w:val="28"/>
          <w:lang w:val="it-IT"/>
        </w:rPr>
        <w:t xml:space="preserve">6. Quy mô đầu tư xây dựng: </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 xml:space="preserve">- </w:t>
      </w:r>
      <w:r w:rsidR="0084016D" w:rsidRPr="00223D3C">
        <w:rPr>
          <w:iCs/>
          <w:sz w:val="28"/>
          <w:szCs w:val="28"/>
          <w:lang w:val="it-IT"/>
        </w:rPr>
        <w:t xml:space="preserve">Căn cứ Quyết định 789/QĐ-EVN ngày 10/06/2025 của Tập đoàn Điện lực Việt Nam về việc ban hành Quy định về công tác Đầu tư xây dựng trong Tập đoàn Điện lực Quốc gia Việt Nam. </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 xml:space="preserve">- </w:t>
      </w:r>
      <w:r w:rsidR="0084016D" w:rsidRPr="00223D3C">
        <w:rPr>
          <w:iCs/>
          <w:sz w:val="28"/>
          <w:szCs w:val="28"/>
          <w:lang w:val="it-IT"/>
        </w:rPr>
        <w:t>Căn cứ Quyết định 921/QĐ-EVN ngày 01/06/2025 của Tổng công ty Truyền tải điện Quốc gia về việc ban hành Quy định về công tác khảo sát, thiết kế lưới điện trong Tổng công ty Truyền tải điện Quốc gia (Trong Quy định không yêu cầu lắp chống sét van cho thanh cái C19, chỉ lắp chống sét van cho thanh cái C11, C12).</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 xml:space="preserve">- </w:t>
      </w:r>
      <w:r w:rsidR="0084016D" w:rsidRPr="00223D3C">
        <w:rPr>
          <w:iCs/>
          <w:sz w:val="28"/>
          <w:szCs w:val="28"/>
          <w:lang w:val="it-IT"/>
        </w:rPr>
        <w:t xml:space="preserve">Căn cứ dự án Lắp đặt chống sét van tại các Trạm biến áp 220 kV-500 kV đã được Tổng công ty Truyền tải điện Quốc gia phê duyệt điều chỉnh tại Quyết định 1453/QĐ-EVNNPT ngày 25/7/2025. </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 xml:space="preserve">- </w:t>
      </w:r>
      <w:r w:rsidR="0084016D" w:rsidRPr="00223D3C">
        <w:rPr>
          <w:iCs/>
          <w:sz w:val="28"/>
          <w:szCs w:val="28"/>
          <w:lang w:val="it-IT"/>
        </w:rPr>
        <w:t>Căn cứ hiện trạng các Trạm biến áp thuộc PTC2 quản lý vận hành và hiện trạng các đường dây 110kV, 35kV, 22kV đấu nối vào trạm như mô tả tại Chương 4. BCKTKT dự kiến trang bị CSV như sau:</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w:t>
      </w:r>
      <w:r w:rsidR="0084016D" w:rsidRPr="00223D3C">
        <w:rPr>
          <w:iCs/>
          <w:sz w:val="28"/>
          <w:szCs w:val="28"/>
          <w:lang w:val="it-IT"/>
        </w:rPr>
        <w:t>Trang bị chống sét van tại đầu ngăn xuất tuyến 110kV, 35kV, 22kV đối với các ngăn lộ đường dây chưa trang bị chống sét van và cột đầu tuyến đường dây đấu nối vào trạm chưa lắp đặt lắp chống sét van: 62 ngăn lộ 110kV, tương đương 186 chống sét van.</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w:t>
      </w:r>
      <w:r w:rsidR="0084016D" w:rsidRPr="00223D3C">
        <w:rPr>
          <w:iCs/>
          <w:sz w:val="28"/>
          <w:szCs w:val="28"/>
          <w:lang w:val="it-IT"/>
        </w:rPr>
        <w:t>Trang bị chống sét van tại thanh cái 35kV, 22kV đối với các thanh cái chưa được trang bị chống sét van thanh cái. Đối với các tủ hợp bộ xuất tuyến 35kV, 22kV hiện hữu chưa có đường dây đấu nối vào, BCKTKT kiến nghị không lắp đặt CSV trong dự án này. CSV sẽ được lắp đặt tại vị trí trụ đấu nối cáp ngầm khi thực hiện dự án đường dây 35kV, 22kV đấu nối: 7 ngăn lộ 22kV tương đương 21 chống sét van.</w:t>
      </w:r>
    </w:p>
    <w:p w:rsidR="0084016D" w:rsidRPr="00223D3C" w:rsidRDefault="00223D3C" w:rsidP="00223D3C">
      <w:pPr>
        <w:pStyle w:val="ListParagraph"/>
        <w:tabs>
          <w:tab w:val="left" w:pos="720"/>
        </w:tabs>
        <w:spacing w:before="60" w:after="60"/>
        <w:ind w:left="0"/>
        <w:rPr>
          <w:iCs/>
          <w:sz w:val="28"/>
          <w:szCs w:val="28"/>
          <w:lang w:val="it-IT"/>
        </w:rPr>
      </w:pPr>
      <w:r>
        <w:rPr>
          <w:iCs/>
          <w:sz w:val="28"/>
          <w:szCs w:val="28"/>
          <w:lang w:val="it-IT"/>
        </w:rPr>
        <w:tab/>
        <w:t>+</w:t>
      </w:r>
      <w:r w:rsidR="0084016D" w:rsidRPr="00223D3C">
        <w:rPr>
          <w:iCs/>
          <w:sz w:val="28"/>
          <w:szCs w:val="28"/>
          <w:lang w:val="it-IT"/>
        </w:rPr>
        <w:t>Chống sét sử dụng loại không khe hở tuân thủ Quyết định số 110/QĐ-HĐTV ngày 21/9/2021 của EVN về việc ban hành tiêu chuẩn kỹ thuật chống sét van 22kV, 35kV và 110kV.</w:t>
      </w:r>
    </w:p>
    <w:p w:rsidR="0084016D" w:rsidRPr="00223D3C" w:rsidRDefault="0084016D" w:rsidP="00D61649">
      <w:pPr>
        <w:spacing w:before="60" w:after="60"/>
        <w:ind w:left="568" w:hanging="284"/>
        <w:rPr>
          <w:iCs/>
          <w:sz w:val="28"/>
          <w:szCs w:val="28"/>
          <w:lang w:val="it-IT"/>
        </w:rPr>
      </w:pPr>
      <w:r w:rsidRPr="00223D3C">
        <w:rPr>
          <w:iCs/>
          <w:sz w:val="28"/>
          <w:szCs w:val="28"/>
          <w:lang w:val="it-IT"/>
        </w:rPr>
        <w:t>7. Cấp công trình: Công trình năng lượng cấp II, nhóm C.</w:t>
      </w:r>
    </w:p>
    <w:p w:rsidR="0084016D" w:rsidRPr="00223D3C" w:rsidRDefault="0084016D" w:rsidP="00D61649">
      <w:pPr>
        <w:spacing w:before="60" w:after="60"/>
        <w:ind w:left="568" w:hanging="284"/>
        <w:rPr>
          <w:iCs/>
          <w:sz w:val="28"/>
          <w:szCs w:val="28"/>
          <w:lang w:val="it-IT"/>
        </w:rPr>
      </w:pPr>
      <w:r w:rsidRPr="00223D3C">
        <w:rPr>
          <w:iCs/>
          <w:sz w:val="28"/>
          <w:szCs w:val="28"/>
          <w:lang w:val="it-IT"/>
        </w:rPr>
        <w:t>8. Tổng mức đầu tư Dự án</w:t>
      </w:r>
    </w:p>
    <w:p w:rsidR="0084016D" w:rsidRPr="00223D3C" w:rsidRDefault="0084016D" w:rsidP="00D61649">
      <w:pPr>
        <w:spacing w:before="60" w:after="60"/>
        <w:ind w:firstLine="720"/>
        <w:rPr>
          <w:iCs/>
          <w:sz w:val="28"/>
          <w:szCs w:val="28"/>
          <w:lang w:val="it-IT"/>
        </w:rPr>
      </w:pPr>
      <w:r w:rsidRPr="00223D3C">
        <w:rPr>
          <w:iCs/>
          <w:sz w:val="28"/>
          <w:szCs w:val="28"/>
          <w:lang w:val="it-IT"/>
        </w:rPr>
        <w:lastRenderedPageBreak/>
        <w:t>Tổng mức đầu tư của dự án: 19.146.000.000 đồng theo Quyết định phê duyệt số 2271/QĐ-EVNNPT ngày 18/11/2025 của EVNNPT về việc phê duyệt dự án Trang bị chống sét van các ngăn xuất tuyến cấp điện áp 110 kV trở xuống tại các TBA 220 kV, 500 kV do Công ty Truyền tải điện 2 quản lý. Trong đó:</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BTGPMB, tái định cư</w:t>
      </w:r>
      <w:r w:rsidRPr="00223D3C">
        <w:rPr>
          <w:iCs/>
          <w:sz w:val="28"/>
          <w:szCs w:val="28"/>
          <w:lang w:val="it-IT"/>
        </w:rPr>
        <w:tab/>
        <w:t>:</w:t>
      </w:r>
      <w:r w:rsidRPr="00223D3C">
        <w:rPr>
          <w:iCs/>
          <w:sz w:val="28"/>
          <w:szCs w:val="28"/>
          <w:lang w:val="it-IT"/>
        </w:rPr>
        <w:tab/>
        <w:t>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xây dựng</w:t>
      </w:r>
      <w:r w:rsidRPr="00223D3C">
        <w:rPr>
          <w:iCs/>
          <w:sz w:val="28"/>
          <w:szCs w:val="28"/>
          <w:lang w:val="it-IT"/>
        </w:rPr>
        <w:tab/>
      </w:r>
      <w:r w:rsidRPr="00223D3C">
        <w:rPr>
          <w:iCs/>
          <w:sz w:val="28"/>
          <w:szCs w:val="28"/>
          <w:lang w:val="it-IT"/>
        </w:rPr>
        <w:tab/>
      </w:r>
      <w:r w:rsidRPr="00223D3C">
        <w:rPr>
          <w:iCs/>
          <w:sz w:val="28"/>
          <w:szCs w:val="28"/>
          <w:lang w:val="it-IT"/>
        </w:rPr>
        <w:tab/>
        <w:t>:</w:t>
      </w:r>
      <w:r w:rsidRPr="00223D3C">
        <w:rPr>
          <w:iCs/>
          <w:sz w:val="28"/>
          <w:szCs w:val="28"/>
          <w:lang w:val="it-IT"/>
        </w:rPr>
        <w:tab/>
        <w:t>5.703.000.000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thiết bị</w:t>
      </w:r>
      <w:r w:rsidRPr="00223D3C">
        <w:rPr>
          <w:iCs/>
          <w:sz w:val="28"/>
          <w:szCs w:val="28"/>
          <w:lang w:val="it-IT"/>
        </w:rPr>
        <w:tab/>
      </w:r>
      <w:r w:rsidRPr="00223D3C">
        <w:rPr>
          <w:iCs/>
          <w:sz w:val="28"/>
          <w:szCs w:val="28"/>
          <w:lang w:val="it-IT"/>
        </w:rPr>
        <w:tab/>
      </w:r>
      <w:r w:rsidRPr="00223D3C">
        <w:rPr>
          <w:iCs/>
          <w:sz w:val="28"/>
          <w:szCs w:val="28"/>
          <w:lang w:val="it-IT"/>
        </w:rPr>
        <w:tab/>
        <w:t>:</w:t>
      </w:r>
      <w:r w:rsidRPr="00223D3C">
        <w:rPr>
          <w:iCs/>
          <w:sz w:val="28"/>
          <w:szCs w:val="28"/>
          <w:lang w:val="it-IT"/>
        </w:rPr>
        <w:tab/>
        <w:t>9.836.000.000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quản lý dự án</w:t>
      </w:r>
      <w:r w:rsidRPr="00223D3C">
        <w:rPr>
          <w:iCs/>
          <w:sz w:val="28"/>
          <w:szCs w:val="28"/>
          <w:lang w:val="it-IT"/>
        </w:rPr>
        <w:tab/>
      </w:r>
      <w:r w:rsidRPr="00223D3C">
        <w:rPr>
          <w:iCs/>
          <w:sz w:val="28"/>
          <w:szCs w:val="28"/>
          <w:lang w:val="it-IT"/>
        </w:rPr>
        <w:tab/>
        <w:t>:</w:t>
      </w:r>
      <w:r w:rsidRPr="00223D3C">
        <w:rPr>
          <w:iCs/>
          <w:sz w:val="28"/>
          <w:szCs w:val="28"/>
          <w:lang w:val="it-IT"/>
        </w:rPr>
        <w:tab/>
        <w:t>336.000.000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tư vấn ĐTXD</w:t>
      </w:r>
      <w:r w:rsidRPr="00223D3C">
        <w:rPr>
          <w:iCs/>
          <w:sz w:val="28"/>
          <w:szCs w:val="28"/>
          <w:lang w:val="it-IT"/>
        </w:rPr>
        <w:tab/>
      </w:r>
      <w:r w:rsidRPr="00223D3C">
        <w:rPr>
          <w:iCs/>
          <w:sz w:val="28"/>
          <w:szCs w:val="28"/>
          <w:lang w:val="it-IT"/>
        </w:rPr>
        <w:tab/>
        <w:t>:</w:t>
      </w:r>
      <w:r w:rsidRPr="00223D3C">
        <w:rPr>
          <w:iCs/>
          <w:sz w:val="28"/>
          <w:szCs w:val="28"/>
          <w:lang w:val="it-IT"/>
        </w:rPr>
        <w:tab/>
        <w:t>1.508.000.000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Chi phí khác</w:t>
      </w:r>
      <w:r w:rsidRPr="00223D3C">
        <w:rPr>
          <w:iCs/>
          <w:sz w:val="28"/>
          <w:szCs w:val="28"/>
          <w:lang w:val="it-IT"/>
        </w:rPr>
        <w:tab/>
      </w:r>
      <w:r w:rsidRPr="00223D3C">
        <w:rPr>
          <w:iCs/>
          <w:sz w:val="28"/>
          <w:szCs w:val="28"/>
          <w:lang w:val="it-IT"/>
        </w:rPr>
        <w:tab/>
      </w:r>
      <w:r w:rsidRPr="00223D3C">
        <w:rPr>
          <w:iCs/>
          <w:sz w:val="28"/>
          <w:szCs w:val="28"/>
          <w:lang w:val="it-IT"/>
        </w:rPr>
        <w:tab/>
        <w:t>:</w:t>
      </w:r>
      <w:r w:rsidRPr="00223D3C">
        <w:rPr>
          <w:iCs/>
          <w:sz w:val="28"/>
          <w:szCs w:val="28"/>
          <w:lang w:val="it-IT"/>
        </w:rPr>
        <w:tab/>
        <w:t>303.000.000 đồng</w:t>
      </w:r>
    </w:p>
    <w:p w:rsidR="0084016D" w:rsidRPr="00223D3C" w:rsidRDefault="0084016D" w:rsidP="00D61649">
      <w:pPr>
        <w:pStyle w:val="ListParagraph"/>
        <w:numPr>
          <w:ilvl w:val="0"/>
          <w:numId w:val="1"/>
        </w:numPr>
        <w:spacing w:before="60" w:after="60"/>
        <w:ind w:left="851" w:hanging="284"/>
        <w:rPr>
          <w:iCs/>
          <w:sz w:val="28"/>
          <w:szCs w:val="28"/>
          <w:lang w:val="it-IT"/>
        </w:rPr>
      </w:pPr>
      <w:r w:rsidRPr="00223D3C">
        <w:rPr>
          <w:iCs/>
          <w:sz w:val="28"/>
          <w:szCs w:val="28"/>
          <w:lang w:val="it-IT"/>
        </w:rPr>
        <w:t>Dự phòng</w:t>
      </w:r>
      <w:r w:rsidRPr="00223D3C">
        <w:rPr>
          <w:iCs/>
          <w:sz w:val="28"/>
          <w:szCs w:val="28"/>
          <w:lang w:val="it-IT"/>
        </w:rPr>
        <w:tab/>
      </w:r>
      <w:r w:rsidRPr="00223D3C">
        <w:rPr>
          <w:iCs/>
          <w:sz w:val="28"/>
          <w:szCs w:val="28"/>
          <w:lang w:val="it-IT"/>
        </w:rPr>
        <w:tab/>
      </w:r>
      <w:r w:rsidRPr="00223D3C">
        <w:rPr>
          <w:iCs/>
          <w:sz w:val="28"/>
          <w:szCs w:val="28"/>
          <w:lang w:val="it-IT"/>
        </w:rPr>
        <w:tab/>
      </w:r>
      <w:r w:rsidRPr="00223D3C">
        <w:rPr>
          <w:iCs/>
          <w:sz w:val="28"/>
          <w:szCs w:val="28"/>
          <w:lang w:val="it-IT"/>
        </w:rPr>
        <w:tab/>
        <w:t>:</w:t>
      </w:r>
      <w:r w:rsidRPr="00223D3C">
        <w:rPr>
          <w:iCs/>
          <w:sz w:val="28"/>
          <w:szCs w:val="28"/>
          <w:lang w:val="it-IT"/>
        </w:rPr>
        <w:tab/>
        <w:t>1.461.000.000 đồng</w:t>
      </w:r>
    </w:p>
    <w:p w:rsidR="0084016D" w:rsidRPr="00223D3C" w:rsidRDefault="0084016D" w:rsidP="00D61649">
      <w:pPr>
        <w:spacing w:before="60" w:after="60"/>
        <w:ind w:left="568" w:hanging="284"/>
        <w:rPr>
          <w:iCs/>
          <w:sz w:val="28"/>
          <w:szCs w:val="28"/>
          <w:lang w:val="it-IT"/>
        </w:rPr>
      </w:pPr>
      <w:r w:rsidRPr="00223D3C">
        <w:rPr>
          <w:iCs/>
          <w:sz w:val="28"/>
          <w:szCs w:val="28"/>
          <w:lang w:val="it-IT"/>
        </w:rPr>
        <w:t>9. Nguồn vốn đầu tư: Vốn tự có EVNNPT phân bổ theo kế hoạch.</w:t>
      </w:r>
    </w:p>
    <w:p w:rsidR="0084016D" w:rsidRPr="00223D3C" w:rsidRDefault="0084016D" w:rsidP="00D61649">
      <w:pPr>
        <w:spacing w:before="60" w:after="60"/>
        <w:ind w:left="568" w:hanging="284"/>
        <w:rPr>
          <w:iCs/>
          <w:sz w:val="28"/>
          <w:szCs w:val="28"/>
          <w:lang w:val="it-IT"/>
        </w:rPr>
      </w:pPr>
      <w:r w:rsidRPr="00223D3C">
        <w:rPr>
          <w:iCs/>
          <w:sz w:val="28"/>
          <w:szCs w:val="28"/>
          <w:lang w:val="it-IT"/>
        </w:rPr>
        <w:t>1</w:t>
      </w:r>
      <w:r w:rsidR="00D76ADB" w:rsidRPr="00223D3C">
        <w:rPr>
          <w:iCs/>
          <w:sz w:val="28"/>
          <w:szCs w:val="28"/>
          <w:lang w:val="it-IT"/>
        </w:rPr>
        <w:t>0</w:t>
      </w:r>
      <w:r w:rsidRPr="00223D3C">
        <w:rPr>
          <w:iCs/>
          <w:sz w:val="28"/>
          <w:szCs w:val="28"/>
          <w:lang w:val="it-IT"/>
        </w:rPr>
        <w:t>.</w:t>
      </w:r>
      <w:r w:rsidRPr="00223D3C">
        <w:rPr>
          <w:iCs/>
          <w:sz w:val="28"/>
          <w:szCs w:val="28"/>
          <w:lang w:val="it-IT"/>
        </w:rPr>
        <w:tab/>
        <w:t>Thời gian thực hiện dự án: năm 2025 - 2026.</w:t>
      </w:r>
    </w:p>
    <w:p w:rsidR="0084016D" w:rsidRPr="00223D3C" w:rsidRDefault="0084016D" w:rsidP="00D61649">
      <w:pPr>
        <w:spacing w:before="60" w:after="60"/>
        <w:ind w:firstLine="284"/>
        <w:rPr>
          <w:b/>
          <w:bCs/>
          <w:iCs/>
          <w:sz w:val="28"/>
          <w:szCs w:val="28"/>
          <w:lang w:val="it-IT"/>
        </w:rPr>
      </w:pPr>
      <w:r w:rsidRPr="00223D3C">
        <w:rPr>
          <w:b/>
          <w:bCs/>
          <w:iCs/>
          <w:sz w:val="28"/>
          <w:szCs w:val="28"/>
          <w:lang w:val="it-IT"/>
        </w:rPr>
        <w:t>B. Mô tả mục đích tuyển chọn nhà thầu.</w:t>
      </w:r>
    </w:p>
    <w:p w:rsidR="0084016D" w:rsidRPr="00223D3C" w:rsidRDefault="0084016D" w:rsidP="00D61649">
      <w:pPr>
        <w:spacing w:before="60" w:after="60"/>
        <w:ind w:left="568" w:hanging="284"/>
        <w:rPr>
          <w:iCs/>
          <w:sz w:val="28"/>
          <w:szCs w:val="28"/>
          <w:lang w:val="it-IT"/>
        </w:rPr>
      </w:pPr>
      <w:r w:rsidRPr="00223D3C">
        <w:rPr>
          <w:iCs/>
          <w:sz w:val="28"/>
          <w:szCs w:val="28"/>
          <w:lang w:val="it-IT"/>
        </w:rPr>
        <w:t>1.</w:t>
      </w:r>
      <w:r w:rsidRPr="00223D3C">
        <w:rPr>
          <w:iCs/>
          <w:sz w:val="28"/>
          <w:szCs w:val="28"/>
          <w:lang w:val="it-IT"/>
        </w:rPr>
        <w:tab/>
        <w:t>Trên cơ sở nhiệm vụ của dự án và các thông tin đã nêu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Việt Nam số 1000 Kiểm toán báo cáo quyết toán dự án hoàn thành ban hành kèm theo thông tư số 67/2015/TT-BTC ngày 08/05/2015 của Bộ Tài chính.</w:t>
      </w:r>
    </w:p>
    <w:p w:rsidR="0084016D" w:rsidRPr="00223D3C" w:rsidRDefault="0084016D" w:rsidP="00D61649">
      <w:pPr>
        <w:spacing w:before="60" w:after="60"/>
        <w:ind w:left="568" w:hanging="284"/>
        <w:rPr>
          <w:iCs/>
          <w:sz w:val="28"/>
          <w:szCs w:val="28"/>
          <w:lang w:val="it-IT"/>
        </w:rPr>
      </w:pPr>
      <w:r w:rsidRPr="00223D3C">
        <w:rPr>
          <w:iCs/>
          <w:sz w:val="28"/>
          <w:szCs w:val="28"/>
          <w:lang w:val="it-IT"/>
        </w:rPr>
        <w:t>2.</w:t>
      </w:r>
      <w:r w:rsidRPr="00223D3C">
        <w:rPr>
          <w:iCs/>
          <w:sz w:val="28"/>
          <w:szCs w:val="28"/>
          <w:lang w:val="it-IT"/>
        </w:rPr>
        <w:tab/>
        <w:t>Kiểm toán Dự án theo các hướng dẫn hiện hành của các cơ quan có thẩm quyền và  các quy định của Nhà nước.</w:t>
      </w:r>
    </w:p>
    <w:p w:rsidR="0084016D" w:rsidRPr="00223D3C" w:rsidRDefault="0084016D" w:rsidP="00D61649">
      <w:pPr>
        <w:spacing w:before="60" w:after="60"/>
        <w:ind w:left="568" w:hanging="284"/>
        <w:rPr>
          <w:b/>
          <w:bCs/>
          <w:iCs/>
          <w:sz w:val="28"/>
          <w:szCs w:val="28"/>
          <w:lang w:val="it-IT"/>
        </w:rPr>
      </w:pPr>
      <w:r w:rsidRPr="00223D3C">
        <w:rPr>
          <w:b/>
          <w:bCs/>
          <w:iCs/>
          <w:sz w:val="28"/>
          <w:szCs w:val="28"/>
          <w:lang w:val="it-IT"/>
        </w:rPr>
        <w:t>C. Thông tin về gói thầu</w:t>
      </w:r>
    </w:p>
    <w:p w:rsidR="0084016D" w:rsidRPr="00223D3C" w:rsidRDefault="0084016D" w:rsidP="00D61649">
      <w:pPr>
        <w:spacing w:before="60" w:after="60"/>
        <w:ind w:firstLine="720"/>
        <w:rPr>
          <w:iCs/>
          <w:sz w:val="28"/>
          <w:szCs w:val="28"/>
          <w:lang w:val="it-IT"/>
        </w:rPr>
      </w:pPr>
      <w:r w:rsidRPr="00223D3C">
        <w:rPr>
          <w:iCs/>
          <w:sz w:val="28"/>
          <w:szCs w:val="28"/>
          <w:lang w:val="it-IT"/>
        </w:rPr>
        <w:t>Theo Quyết định số 2969/QĐ-PTC2 ngày 19/11/2025</w:t>
      </w:r>
      <w:r w:rsidR="0020702B">
        <w:rPr>
          <w:iCs/>
          <w:sz w:val="28"/>
          <w:szCs w:val="28"/>
          <w:lang w:val="it-IT"/>
        </w:rPr>
        <w:t xml:space="preserve"> của Công ty Truyền tải điện 2 v</w:t>
      </w:r>
      <w:r w:rsidRPr="00223D3C">
        <w:rPr>
          <w:iCs/>
          <w:sz w:val="28"/>
          <w:szCs w:val="28"/>
          <w:lang w:val="it-IT"/>
        </w:rPr>
        <w:t>ề việc phê duyệt kế hoạch lựa chọn nhà thầu (đợt 2) dự án: Trang bị chống sét van các ngăn xuất tuyến cấp điện áp 110kV trở xuống tại các TBA 220kV, 500kV do Công ty Truyền tải điện 2 quản lý, các thông tin chính về gói thầu như sau:</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Tên gói thầu: Gói thầu số 6: Tư vấn kiểm toán công trình.</w:t>
      </w:r>
    </w:p>
    <w:p w:rsidR="0084016D" w:rsidRPr="00223D3C" w:rsidRDefault="00062817" w:rsidP="00223D3C">
      <w:pPr>
        <w:pStyle w:val="ListParagraph"/>
        <w:numPr>
          <w:ilvl w:val="0"/>
          <w:numId w:val="1"/>
        </w:numPr>
        <w:spacing w:before="240" w:after="240"/>
        <w:ind w:left="850" w:hanging="288"/>
        <w:rPr>
          <w:iCs/>
          <w:sz w:val="28"/>
          <w:szCs w:val="28"/>
          <w:lang w:val="it-IT"/>
        </w:rPr>
      </w:pPr>
      <w:r>
        <w:rPr>
          <w:iCs/>
          <w:sz w:val="28"/>
          <w:szCs w:val="28"/>
          <w:lang w:val="it-IT"/>
        </w:rPr>
        <w:t>Giá d</w:t>
      </w:r>
      <w:r w:rsidR="001E57CA">
        <w:rPr>
          <w:iCs/>
          <w:sz w:val="28"/>
          <w:szCs w:val="28"/>
          <w:lang w:val="it-IT"/>
        </w:rPr>
        <w:t>ự</w:t>
      </w:r>
      <w:bookmarkStart w:id="4" w:name="_GoBack"/>
      <w:bookmarkEnd w:id="4"/>
      <w:r>
        <w:rPr>
          <w:iCs/>
          <w:sz w:val="28"/>
          <w:szCs w:val="28"/>
          <w:lang w:val="it-IT"/>
        </w:rPr>
        <w:t xml:space="preserve"> toán gói thầu</w:t>
      </w:r>
      <w:r w:rsidR="0084016D" w:rsidRPr="00223D3C">
        <w:rPr>
          <w:iCs/>
          <w:sz w:val="28"/>
          <w:szCs w:val="28"/>
          <w:lang w:val="it-IT"/>
        </w:rPr>
        <w:t xml:space="preserve">: </w:t>
      </w:r>
      <w:r>
        <w:rPr>
          <w:iCs/>
          <w:sz w:val="28"/>
          <w:szCs w:val="28"/>
          <w:lang w:val="it-IT"/>
        </w:rPr>
        <w:t>86.846.256</w:t>
      </w:r>
      <w:r w:rsidR="0084016D" w:rsidRPr="00223D3C">
        <w:rPr>
          <w:iCs/>
          <w:sz w:val="28"/>
          <w:szCs w:val="28"/>
          <w:lang w:val="it-IT"/>
        </w:rPr>
        <w:t xml:space="preserve"> đồng (bao gồm thuế VAT)</w:t>
      </w:r>
      <w:r>
        <w:rPr>
          <w:iCs/>
          <w:sz w:val="28"/>
          <w:szCs w:val="28"/>
          <w:lang w:val="it-IT"/>
        </w:rPr>
        <w:t xml:space="preserve"> (theo QĐ 105/QĐ-PTC2 ngày 16/01/2026</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Hình thức lựa chọn nhà thầu: đấu thầu rộng rãi trong nước (qua mạng)</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Phương thức đấu thầu: 01 giai đoạn 02 túi hồ sơ.</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Thời gian hiệu lực của E-HSDT: 120 ngày</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Thời gian thực hiện gói thầu: 30 ngày (phù hợp tiến độ dự án)</w:t>
      </w:r>
    </w:p>
    <w:p w:rsidR="0084016D" w:rsidRPr="00223D3C" w:rsidRDefault="0084016D" w:rsidP="00223D3C">
      <w:pPr>
        <w:pStyle w:val="ListParagraph"/>
        <w:numPr>
          <w:ilvl w:val="0"/>
          <w:numId w:val="1"/>
        </w:numPr>
        <w:spacing w:before="240" w:after="240"/>
        <w:ind w:left="850" w:hanging="288"/>
        <w:rPr>
          <w:iCs/>
          <w:sz w:val="28"/>
          <w:szCs w:val="28"/>
          <w:lang w:val="it-IT"/>
        </w:rPr>
      </w:pPr>
      <w:r w:rsidRPr="00223D3C">
        <w:rPr>
          <w:iCs/>
          <w:sz w:val="28"/>
          <w:szCs w:val="28"/>
          <w:lang w:val="it-IT"/>
        </w:rPr>
        <w:t>Loại hợp đồng: Trọn gói</w:t>
      </w:r>
    </w:p>
    <w:p w:rsidR="0084016D" w:rsidRPr="00223D3C" w:rsidRDefault="0084016D" w:rsidP="00D61649">
      <w:pPr>
        <w:spacing w:before="60" w:after="60"/>
        <w:ind w:firstLine="284"/>
        <w:rPr>
          <w:b/>
          <w:bCs/>
          <w:sz w:val="28"/>
          <w:szCs w:val="28"/>
          <w:lang w:val="it-IT"/>
        </w:rPr>
      </w:pPr>
      <w:r w:rsidRPr="00223D3C">
        <w:rPr>
          <w:b/>
          <w:sz w:val="28"/>
          <w:szCs w:val="28"/>
          <w:lang w:val="it-IT"/>
        </w:rPr>
        <w:t xml:space="preserve">II. Phạm </w:t>
      </w:r>
      <w:r w:rsidRPr="00223D3C">
        <w:rPr>
          <w:b/>
          <w:bCs/>
          <w:iCs/>
          <w:sz w:val="28"/>
          <w:szCs w:val="28"/>
          <w:lang w:val="it-IT"/>
        </w:rPr>
        <w:t>vi</w:t>
      </w:r>
      <w:r w:rsidRPr="00223D3C">
        <w:rPr>
          <w:b/>
          <w:sz w:val="28"/>
          <w:szCs w:val="28"/>
          <w:lang w:val="it-IT"/>
        </w:rPr>
        <w:t xml:space="preserve"> công việc:</w:t>
      </w:r>
    </w:p>
    <w:p w:rsidR="0084016D" w:rsidRPr="00223D3C" w:rsidRDefault="0084016D" w:rsidP="00D61649">
      <w:pPr>
        <w:spacing w:before="60" w:after="60"/>
        <w:ind w:left="568" w:hanging="284"/>
        <w:rPr>
          <w:iCs/>
          <w:sz w:val="28"/>
          <w:szCs w:val="28"/>
          <w:lang w:val="it-IT"/>
        </w:rPr>
      </w:pPr>
      <w:r w:rsidRPr="00223D3C">
        <w:rPr>
          <w:iCs/>
          <w:sz w:val="28"/>
          <w:szCs w:val="28"/>
          <w:lang w:val="it-IT"/>
        </w:rPr>
        <w:t xml:space="preserve">1. Việc kiểm toán báo cáo quyết toán vốn đầu tư dự án hoàn thành được thực hiện theo quy định của Thông tư số 99/2021/NĐ-CP ngày 11/11/2021 của Bộ Tài Chính về việc hướng dẫn Quyết toán dự án hoàn thành thuộc nguồn vốn Nhà nước; và </w:t>
      </w:r>
      <w:r w:rsidRPr="00223D3C">
        <w:rPr>
          <w:iCs/>
          <w:sz w:val="28"/>
          <w:szCs w:val="28"/>
          <w:lang w:val="it-IT"/>
        </w:rPr>
        <w:lastRenderedPageBreak/>
        <w:t>Văn bản số 1197/EVNNPT-TCKT+PC+ĐT ngày 07/04/2022 của EVNNPT về việc công tác kiểm toán, thẩm tra phê duyệt quyết toán dự án ĐTXD hoàn thành.</w:t>
      </w:r>
    </w:p>
    <w:p w:rsidR="0084016D" w:rsidRPr="00223D3C" w:rsidRDefault="0084016D" w:rsidP="00D61649">
      <w:pPr>
        <w:spacing w:before="60" w:after="60"/>
        <w:ind w:left="568" w:hanging="284"/>
        <w:rPr>
          <w:iCs/>
          <w:sz w:val="28"/>
          <w:szCs w:val="28"/>
          <w:lang w:val="it-IT"/>
        </w:rPr>
      </w:pPr>
      <w:r w:rsidRPr="00223D3C">
        <w:rPr>
          <w:iCs/>
          <w:sz w:val="28"/>
          <w:szCs w:val="28"/>
          <w:lang w:val="it-IT"/>
        </w:rPr>
        <w:t>2. Nội dung công việc cụ thể của báo cáo kiểm toán bao gồm:</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tra hồ sơ pháp lý;</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toán nguồn vốn đầu tư của dự án, gồm: Kế hoạch Nguồn vốn của Dự án, số vốn Bên A đã nhận được đến ngày lập quyết toán, Nguồn vốn đầu tư thực hiện dự án đến ngày lập quyết toán.</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tra chi phí đầu tư;</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tra chi phí đầu tư không tính vào tài sản bàn giao;</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tra tài sản hoàn thành qua bàn giao;</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sz w:val="28"/>
          <w:szCs w:val="28"/>
          <w:lang w:val="it-IT"/>
        </w:rPr>
        <w:t>Kiểm tra tình hình công nợ và vật tư, thiết bị tồn đọng sau quyết toán;</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r w:rsidRPr="00223D3C">
        <w:rPr>
          <w:iCs/>
          <w:sz w:val="28"/>
          <w:szCs w:val="28"/>
          <w:lang w:val="vi-VN"/>
        </w:rPr>
        <w:t>Kiểm tra việc duyệt TMĐT, dự toán các gói thầu,</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TMĐT </w:t>
      </w:r>
      <w:proofErr w:type="spellStart"/>
      <w:r w:rsidRPr="00223D3C">
        <w:rPr>
          <w:iCs/>
          <w:sz w:val="28"/>
          <w:szCs w:val="28"/>
          <w:lang w:val="fr-FR"/>
        </w:rPr>
        <w:t>dự</w:t>
      </w:r>
      <w:proofErr w:type="spellEnd"/>
      <w:r w:rsidRPr="00223D3C">
        <w:rPr>
          <w:iCs/>
          <w:sz w:val="28"/>
          <w:szCs w:val="28"/>
          <w:lang w:val="fr-FR"/>
        </w:rPr>
        <w:t xml:space="preserve"> </w:t>
      </w:r>
      <w:proofErr w:type="spellStart"/>
      <w:r w:rsidRPr="00223D3C">
        <w:rPr>
          <w:iCs/>
          <w:sz w:val="28"/>
          <w:szCs w:val="28"/>
          <w:lang w:val="fr-FR"/>
        </w:rPr>
        <w:t>án</w:t>
      </w:r>
      <w:proofErr w:type="spellEnd"/>
      <w:r w:rsidRPr="00223D3C">
        <w:rPr>
          <w:iCs/>
          <w:sz w:val="28"/>
          <w:szCs w:val="28"/>
          <w:lang w:val="fr-FR"/>
        </w:rPr>
        <w:t xml:space="preserve">, </w:t>
      </w: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w:t>
      </w:r>
      <w:proofErr w:type="spellStart"/>
      <w:r w:rsidRPr="00223D3C">
        <w:rPr>
          <w:iCs/>
          <w:sz w:val="28"/>
          <w:szCs w:val="28"/>
          <w:lang w:val="fr-FR"/>
        </w:rPr>
        <w:t>Dự</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w:t>
      </w:r>
      <w:proofErr w:type="spellStart"/>
      <w:r w:rsidRPr="00223D3C">
        <w:rPr>
          <w:iCs/>
          <w:sz w:val="28"/>
          <w:szCs w:val="28"/>
          <w:lang w:val="fr-FR"/>
        </w:rPr>
        <w:t>dự</w:t>
      </w:r>
      <w:proofErr w:type="spellEnd"/>
      <w:r w:rsidRPr="00223D3C">
        <w:rPr>
          <w:iCs/>
          <w:sz w:val="28"/>
          <w:szCs w:val="28"/>
          <w:lang w:val="fr-FR"/>
        </w:rPr>
        <w:t xml:space="preserve"> </w:t>
      </w:r>
      <w:proofErr w:type="spellStart"/>
      <w:r w:rsidRPr="00223D3C">
        <w:rPr>
          <w:iCs/>
          <w:sz w:val="28"/>
          <w:szCs w:val="28"/>
          <w:lang w:val="fr-FR"/>
        </w:rPr>
        <w:t>án</w:t>
      </w:r>
      <w:proofErr w:type="spellEnd"/>
      <w:r w:rsidRPr="00223D3C">
        <w:rPr>
          <w:iCs/>
          <w:sz w:val="28"/>
          <w:szCs w:val="28"/>
          <w:lang w:val="fr-FR"/>
        </w:rPr>
        <w:t xml:space="preserve"> </w:t>
      </w:r>
      <w:proofErr w:type="spellStart"/>
      <w:r w:rsidRPr="00223D3C">
        <w:rPr>
          <w:iCs/>
          <w:sz w:val="28"/>
          <w:szCs w:val="28"/>
          <w:lang w:val="fr-FR"/>
        </w:rPr>
        <w:t>và</w:t>
      </w:r>
      <w:proofErr w:type="spellEnd"/>
      <w:r w:rsidRPr="00223D3C">
        <w:rPr>
          <w:iCs/>
          <w:sz w:val="28"/>
          <w:szCs w:val="28"/>
          <w:lang w:val="fr-FR"/>
        </w:rPr>
        <w:t xml:space="preserve"> </w:t>
      </w: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w:t>
      </w:r>
      <w:proofErr w:type="spellStart"/>
      <w:r w:rsidRPr="00223D3C">
        <w:rPr>
          <w:iCs/>
          <w:sz w:val="28"/>
          <w:szCs w:val="28"/>
          <w:lang w:val="fr-FR"/>
        </w:rPr>
        <w:t>dự</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w:t>
      </w:r>
      <w:proofErr w:type="spellStart"/>
      <w:r w:rsidRPr="00223D3C">
        <w:rPr>
          <w:iCs/>
          <w:sz w:val="28"/>
          <w:szCs w:val="28"/>
          <w:lang w:val="fr-FR"/>
        </w:rPr>
        <w:t>các</w:t>
      </w:r>
      <w:proofErr w:type="spellEnd"/>
      <w:r w:rsidRPr="00223D3C">
        <w:rPr>
          <w:iCs/>
          <w:sz w:val="28"/>
          <w:szCs w:val="28"/>
          <w:lang w:val="fr-FR"/>
        </w:rPr>
        <w:t xml:space="preserve"> </w:t>
      </w:r>
      <w:proofErr w:type="spellStart"/>
      <w:r w:rsidRPr="00223D3C">
        <w:rPr>
          <w:iCs/>
          <w:sz w:val="28"/>
          <w:szCs w:val="28"/>
          <w:lang w:val="fr-FR"/>
        </w:rPr>
        <w:t>gói</w:t>
      </w:r>
      <w:proofErr w:type="spellEnd"/>
      <w:r w:rsidRPr="00223D3C">
        <w:rPr>
          <w:iCs/>
          <w:sz w:val="28"/>
          <w:szCs w:val="28"/>
          <w:lang w:val="fr-FR"/>
        </w:rPr>
        <w:t xml:space="preserve"> </w:t>
      </w:r>
      <w:proofErr w:type="spellStart"/>
      <w:r w:rsidRPr="00223D3C">
        <w:rPr>
          <w:iCs/>
          <w:sz w:val="28"/>
          <w:szCs w:val="28"/>
          <w:lang w:val="fr-FR"/>
        </w:rPr>
        <w:t>thầu</w:t>
      </w:r>
      <w:proofErr w:type="spellEnd"/>
      <w:r w:rsidRPr="00223D3C">
        <w:rPr>
          <w:iCs/>
          <w:sz w:val="28"/>
          <w:szCs w:val="28"/>
          <w:lang w:val="fr-FR"/>
        </w:rPr>
        <w:t xml:space="preserve"> </w:t>
      </w:r>
      <w:proofErr w:type="spellStart"/>
      <w:r w:rsidRPr="00223D3C">
        <w:rPr>
          <w:iCs/>
          <w:sz w:val="28"/>
          <w:szCs w:val="28"/>
          <w:lang w:val="fr-FR"/>
        </w:rPr>
        <w:t>được</w:t>
      </w:r>
      <w:proofErr w:type="spellEnd"/>
      <w:r w:rsidRPr="00223D3C">
        <w:rPr>
          <w:iCs/>
          <w:sz w:val="28"/>
          <w:szCs w:val="28"/>
          <w:lang w:val="fr-FR"/>
        </w:rPr>
        <w:t xml:space="preserve"> </w:t>
      </w:r>
      <w:proofErr w:type="spellStart"/>
      <w:r w:rsidRPr="00223D3C">
        <w:rPr>
          <w:iCs/>
          <w:sz w:val="28"/>
          <w:szCs w:val="28"/>
          <w:lang w:val="fr-FR"/>
        </w:rPr>
        <w:t>duyệt</w:t>
      </w:r>
      <w:proofErr w:type="spellEnd"/>
      <w:r w:rsidRPr="00223D3C">
        <w:rPr>
          <w:iCs/>
          <w:sz w:val="28"/>
          <w:szCs w:val="28"/>
          <w:lang w:val="fr-FR"/>
        </w:rPr>
        <w:t> ;</w:t>
      </w:r>
    </w:p>
    <w:p w:rsidR="00D61649" w:rsidRPr="00223D3C" w:rsidRDefault="00D61649" w:rsidP="00D61649">
      <w:pPr>
        <w:numPr>
          <w:ilvl w:val="2"/>
          <w:numId w:val="3"/>
        </w:numPr>
        <w:tabs>
          <w:tab w:val="left" w:pos="851"/>
        </w:tabs>
        <w:spacing w:beforeLines="60" w:before="144" w:afterLines="60" w:after="144"/>
        <w:ind w:left="851" w:hanging="283"/>
        <w:rPr>
          <w:sz w:val="28"/>
          <w:szCs w:val="28"/>
          <w:lang w:val="it-IT"/>
        </w:rPr>
      </w:pP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tra</w:t>
      </w:r>
      <w:proofErr w:type="spellEnd"/>
      <w:r w:rsidRPr="00223D3C">
        <w:rPr>
          <w:iCs/>
          <w:sz w:val="28"/>
          <w:szCs w:val="28"/>
          <w:lang w:val="fr-FR"/>
        </w:rPr>
        <w:t xml:space="preserve"> </w:t>
      </w:r>
      <w:proofErr w:type="spellStart"/>
      <w:r w:rsidRPr="00223D3C">
        <w:rPr>
          <w:iCs/>
          <w:sz w:val="28"/>
          <w:szCs w:val="28"/>
          <w:lang w:val="fr-FR"/>
        </w:rPr>
        <w:t>việc</w:t>
      </w:r>
      <w:proofErr w:type="spellEnd"/>
      <w:r w:rsidRPr="00223D3C">
        <w:rPr>
          <w:iCs/>
          <w:sz w:val="28"/>
          <w:szCs w:val="28"/>
          <w:lang w:val="fr-FR"/>
        </w:rPr>
        <w:t xml:space="preserve"> </w:t>
      </w:r>
      <w:proofErr w:type="spellStart"/>
      <w:r w:rsidRPr="00223D3C">
        <w:rPr>
          <w:iCs/>
          <w:sz w:val="28"/>
          <w:szCs w:val="28"/>
          <w:lang w:val="fr-FR"/>
        </w:rPr>
        <w:t>chấp</w:t>
      </w:r>
      <w:proofErr w:type="spellEnd"/>
      <w:r w:rsidRPr="00223D3C">
        <w:rPr>
          <w:iCs/>
          <w:sz w:val="28"/>
          <w:szCs w:val="28"/>
          <w:lang w:val="fr-FR"/>
        </w:rPr>
        <w:t xml:space="preserve"> </w:t>
      </w:r>
      <w:proofErr w:type="spellStart"/>
      <w:r w:rsidRPr="00223D3C">
        <w:rPr>
          <w:iCs/>
          <w:sz w:val="28"/>
          <w:szCs w:val="28"/>
          <w:lang w:val="fr-FR"/>
        </w:rPr>
        <w:t>hành</w:t>
      </w:r>
      <w:proofErr w:type="spellEnd"/>
      <w:r w:rsidRPr="00223D3C">
        <w:rPr>
          <w:iCs/>
          <w:sz w:val="28"/>
          <w:szCs w:val="28"/>
          <w:lang w:val="fr-FR"/>
        </w:rPr>
        <w:t xml:space="preserve"> </w:t>
      </w:r>
      <w:proofErr w:type="spellStart"/>
      <w:r w:rsidRPr="00223D3C">
        <w:rPr>
          <w:iCs/>
          <w:sz w:val="28"/>
          <w:szCs w:val="28"/>
          <w:lang w:val="fr-FR"/>
        </w:rPr>
        <w:t>của</w:t>
      </w:r>
      <w:proofErr w:type="spellEnd"/>
      <w:r w:rsidRPr="00223D3C">
        <w:rPr>
          <w:iCs/>
          <w:sz w:val="28"/>
          <w:szCs w:val="28"/>
          <w:lang w:val="fr-FR"/>
        </w:rPr>
        <w:t xml:space="preserve"> </w:t>
      </w:r>
      <w:proofErr w:type="spellStart"/>
      <w:r w:rsidRPr="00223D3C">
        <w:rPr>
          <w:iCs/>
          <w:sz w:val="28"/>
          <w:szCs w:val="28"/>
          <w:lang w:val="fr-FR"/>
        </w:rPr>
        <w:t>chủ</w:t>
      </w:r>
      <w:proofErr w:type="spellEnd"/>
      <w:r w:rsidRPr="00223D3C">
        <w:rPr>
          <w:iCs/>
          <w:sz w:val="28"/>
          <w:szCs w:val="28"/>
          <w:lang w:val="fr-FR"/>
        </w:rPr>
        <w:t xml:space="preserve"> </w:t>
      </w:r>
      <w:proofErr w:type="spellStart"/>
      <w:r w:rsidRPr="00223D3C">
        <w:rPr>
          <w:iCs/>
          <w:sz w:val="28"/>
          <w:szCs w:val="28"/>
          <w:lang w:val="fr-FR"/>
        </w:rPr>
        <w:t>đầu</w:t>
      </w:r>
      <w:proofErr w:type="spellEnd"/>
      <w:r w:rsidRPr="00223D3C">
        <w:rPr>
          <w:iCs/>
          <w:sz w:val="28"/>
          <w:szCs w:val="28"/>
          <w:lang w:val="fr-FR"/>
        </w:rPr>
        <w:t xml:space="preserve"> </w:t>
      </w:r>
      <w:proofErr w:type="spellStart"/>
      <w:r w:rsidRPr="00223D3C">
        <w:rPr>
          <w:iCs/>
          <w:sz w:val="28"/>
          <w:szCs w:val="28"/>
          <w:lang w:val="fr-FR"/>
        </w:rPr>
        <w:t>tư</w:t>
      </w:r>
      <w:proofErr w:type="spellEnd"/>
      <w:r w:rsidRPr="00223D3C">
        <w:rPr>
          <w:iCs/>
          <w:sz w:val="28"/>
          <w:szCs w:val="28"/>
          <w:lang w:val="fr-FR"/>
        </w:rPr>
        <w:t xml:space="preserve"> </w:t>
      </w:r>
      <w:proofErr w:type="spellStart"/>
      <w:r w:rsidRPr="00223D3C">
        <w:rPr>
          <w:iCs/>
          <w:sz w:val="28"/>
          <w:szCs w:val="28"/>
          <w:lang w:val="fr-FR"/>
        </w:rPr>
        <w:t>và</w:t>
      </w:r>
      <w:proofErr w:type="spellEnd"/>
      <w:r w:rsidRPr="00223D3C">
        <w:rPr>
          <w:iCs/>
          <w:sz w:val="28"/>
          <w:szCs w:val="28"/>
          <w:lang w:val="fr-FR"/>
        </w:rPr>
        <w:t xml:space="preserve"> </w:t>
      </w:r>
      <w:proofErr w:type="spellStart"/>
      <w:r w:rsidRPr="00223D3C">
        <w:rPr>
          <w:iCs/>
          <w:sz w:val="28"/>
          <w:szCs w:val="28"/>
          <w:lang w:val="fr-FR"/>
        </w:rPr>
        <w:t>các</w:t>
      </w:r>
      <w:proofErr w:type="spellEnd"/>
      <w:r w:rsidRPr="00223D3C">
        <w:rPr>
          <w:iCs/>
          <w:sz w:val="28"/>
          <w:szCs w:val="28"/>
          <w:lang w:val="fr-FR"/>
        </w:rPr>
        <w:t xml:space="preserve"> </w:t>
      </w:r>
      <w:proofErr w:type="spellStart"/>
      <w:r w:rsidRPr="00223D3C">
        <w:rPr>
          <w:iCs/>
          <w:sz w:val="28"/>
          <w:szCs w:val="28"/>
          <w:lang w:val="fr-FR"/>
        </w:rPr>
        <w:t>đơn</w:t>
      </w:r>
      <w:proofErr w:type="spellEnd"/>
      <w:r w:rsidRPr="00223D3C">
        <w:rPr>
          <w:iCs/>
          <w:sz w:val="28"/>
          <w:szCs w:val="28"/>
          <w:lang w:val="fr-FR"/>
        </w:rPr>
        <w:t xml:space="preserve"> </w:t>
      </w:r>
      <w:proofErr w:type="spellStart"/>
      <w:r w:rsidRPr="00223D3C">
        <w:rPr>
          <w:iCs/>
          <w:sz w:val="28"/>
          <w:szCs w:val="28"/>
          <w:lang w:val="fr-FR"/>
        </w:rPr>
        <w:t>vị</w:t>
      </w:r>
      <w:proofErr w:type="spellEnd"/>
      <w:r w:rsidRPr="00223D3C">
        <w:rPr>
          <w:iCs/>
          <w:sz w:val="28"/>
          <w:szCs w:val="28"/>
          <w:lang w:val="fr-FR"/>
        </w:rPr>
        <w:t xml:space="preserve"> </w:t>
      </w:r>
      <w:proofErr w:type="spellStart"/>
      <w:r w:rsidRPr="00223D3C">
        <w:rPr>
          <w:iCs/>
          <w:sz w:val="28"/>
          <w:szCs w:val="28"/>
          <w:lang w:val="fr-FR"/>
        </w:rPr>
        <w:t>có</w:t>
      </w:r>
      <w:proofErr w:type="spellEnd"/>
      <w:r w:rsidRPr="00223D3C">
        <w:rPr>
          <w:iCs/>
          <w:sz w:val="28"/>
          <w:szCs w:val="28"/>
          <w:lang w:val="fr-FR"/>
        </w:rPr>
        <w:t xml:space="preserve"> </w:t>
      </w:r>
      <w:proofErr w:type="spellStart"/>
      <w:r w:rsidRPr="00223D3C">
        <w:rPr>
          <w:iCs/>
          <w:sz w:val="28"/>
          <w:szCs w:val="28"/>
          <w:lang w:val="fr-FR"/>
        </w:rPr>
        <w:t>liên</w:t>
      </w:r>
      <w:proofErr w:type="spellEnd"/>
      <w:r w:rsidRPr="00223D3C">
        <w:rPr>
          <w:iCs/>
          <w:sz w:val="28"/>
          <w:szCs w:val="28"/>
          <w:lang w:val="fr-FR"/>
        </w:rPr>
        <w:t xml:space="preserve"> </w:t>
      </w:r>
      <w:proofErr w:type="spellStart"/>
      <w:r w:rsidRPr="00223D3C">
        <w:rPr>
          <w:iCs/>
          <w:sz w:val="28"/>
          <w:szCs w:val="28"/>
          <w:lang w:val="fr-FR"/>
        </w:rPr>
        <w:t>quan</w:t>
      </w:r>
      <w:proofErr w:type="spellEnd"/>
      <w:r w:rsidRPr="00223D3C">
        <w:rPr>
          <w:iCs/>
          <w:sz w:val="28"/>
          <w:szCs w:val="28"/>
          <w:lang w:val="fr-FR"/>
        </w:rPr>
        <w:t xml:space="preserve"> </w:t>
      </w:r>
      <w:proofErr w:type="spellStart"/>
      <w:r w:rsidRPr="00223D3C">
        <w:rPr>
          <w:iCs/>
          <w:sz w:val="28"/>
          <w:szCs w:val="28"/>
          <w:lang w:val="fr-FR"/>
        </w:rPr>
        <w:t>đối</w:t>
      </w:r>
      <w:proofErr w:type="spellEnd"/>
      <w:r w:rsidRPr="00223D3C">
        <w:rPr>
          <w:iCs/>
          <w:sz w:val="28"/>
          <w:szCs w:val="28"/>
          <w:lang w:val="fr-FR"/>
        </w:rPr>
        <w:t xml:space="preserve"> </w:t>
      </w:r>
      <w:proofErr w:type="spellStart"/>
      <w:r w:rsidRPr="00223D3C">
        <w:rPr>
          <w:iCs/>
          <w:sz w:val="28"/>
          <w:szCs w:val="28"/>
          <w:lang w:val="fr-FR"/>
        </w:rPr>
        <w:t>với</w:t>
      </w:r>
      <w:proofErr w:type="spellEnd"/>
      <w:r w:rsidRPr="00223D3C">
        <w:rPr>
          <w:iCs/>
          <w:sz w:val="28"/>
          <w:szCs w:val="28"/>
          <w:lang w:val="fr-FR"/>
        </w:rPr>
        <w:t xml:space="preserve"> ý </w:t>
      </w:r>
      <w:proofErr w:type="spellStart"/>
      <w:r w:rsidRPr="00223D3C">
        <w:rPr>
          <w:iCs/>
          <w:sz w:val="28"/>
          <w:szCs w:val="28"/>
          <w:lang w:val="fr-FR"/>
        </w:rPr>
        <w:t>kiến</w:t>
      </w:r>
      <w:proofErr w:type="spellEnd"/>
      <w:r w:rsidRPr="00223D3C">
        <w:rPr>
          <w:iCs/>
          <w:sz w:val="28"/>
          <w:szCs w:val="28"/>
          <w:lang w:val="fr-FR"/>
        </w:rPr>
        <w:t xml:space="preserve"> </w:t>
      </w:r>
      <w:proofErr w:type="spellStart"/>
      <w:r w:rsidRPr="00223D3C">
        <w:rPr>
          <w:iCs/>
          <w:sz w:val="28"/>
          <w:szCs w:val="28"/>
          <w:lang w:val="fr-FR"/>
        </w:rPr>
        <w:t>kết</w:t>
      </w:r>
      <w:proofErr w:type="spellEnd"/>
      <w:r w:rsidRPr="00223D3C">
        <w:rPr>
          <w:iCs/>
          <w:sz w:val="28"/>
          <w:szCs w:val="28"/>
          <w:lang w:val="fr-FR"/>
        </w:rPr>
        <w:t xml:space="preserve"> </w:t>
      </w:r>
      <w:proofErr w:type="spellStart"/>
      <w:r w:rsidRPr="00223D3C">
        <w:rPr>
          <w:iCs/>
          <w:sz w:val="28"/>
          <w:szCs w:val="28"/>
          <w:lang w:val="fr-FR"/>
        </w:rPr>
        <w:t>luận</w:t>
      </w:r>
      <w:proofErr w:type="spellEnd"/>
      <w:r w:rsidRPr="00223D3C">
        <w:rPr>
          <w:iCs/>
          <w:sz w:val="28"/>
          <w:szCs w:val="28"/>
          <w:lang w:val="fr-FR"/>
        </w:rPr>
        <w:t xml:space="preserve"> </w:t>
      </w:r>
      <w:proofErr w:type="spellStart"/>
      <w:r w:rsidRPr="00223D3C">
        <w:rPr>
          <w:iCs/>
          <w:sz w:val="28"/>
          <w:szCs w:val="28"/>
          <w:lang w:val="fr-FR"/>
        </w:rPr>
        <w:t>của</w:t>
      </w:r>
      <w:proofErr w:type="spellEnd"/>
      <w:r w:rsidRPr="00223D3C">
        <w:rPr>
          <w:iCs/>
          <w:sz w:val="28"/>
          <w:szCs w:val="28"/>
          <w:lang w:val="fr-FR"/>
        </w:rPr>
        <w:t xml:space="preserve"> </w:t>
      </w:r>
      <w:proofErr w:type="spellStart"/>
      <w:r w:rsidRPr="00223D3C">
        <w:rPr>
          <w:iCs/>
          <w:sz w:val="28"/>
          <w:szCs w:val="28"/>
          <w:lang w:val="fr-FR"/>
        </w:rPr>
        <w:t>cơ</w:t>
      </w:r>
      <w:proofErr w:type="spellEnd"/>
      <w:r w:rsidRPr="00223D3C">
        <w:rPr>
          <w:iCs/>
          <w:sz w:val="28"/>
          <w:szCs w:val="28"/>
          <w:lang w:val="fr-FR"/>
        </w:rPr>
        <w:t xml:space="preserve"> </w:t>
      </w:r>
      <w:proofErr w:type="spellStart"/>
      <w:r w:rsidRPr="00223D3C">
        <w:rPr>
          <w:iCs/>
          <w:sz w:val="28"/>
          <w:szCs w:val="28"/>
          <w:lang w:val="fr-FR"/>
        </w:rPr>
        <w:t>quan</w:t>
      </w:r>
      <w:proofErr w:type="spellEnd"/>
      <w:r w:rsidRPr="00223D3C">
        <w:rPr>
          <w:iCs/>
          <w:sz w:val="28"/>
          <w:szCs w:val="28"/>
          <w:lang w:val="fr-FR"/>
        </w:rPr>
        <w:t xml:space="preserve"> </w:t>
      </w:r>
      <w:proofErr w:type="spellStart"/>
      <w:r w:rsidRPr="00223D3C">
        <w:rPr>
          <w:iCs/>
          <w:sz w:val="28"/>
          <w:szCs w:val="28"/>
          <w:lang w:val="fr-FR"/>
        </w:rPr>
        <w:t>thanh</w:t>
      </w:r>
      <w:proofErr w:type="spellEnd"/>
      <w:r w:rsidRPr="00223D3C">
        <w:rPr>
          <w:iCs/>
          <w:sz w:val="28"/>
          <w:szCs w:val="28"/>
          <w:lang w:val="fr-FR"/>
        </w:rPr>
        <w:t xml:space="preserve"> </w:t>
      </w:r>
      <w:proofErr w:type="spellStart"/>
      <w:r w:rsidRPr="00223D3C">
        <w:rPr>
          <w:iCs/>
          <w:sz w:val="28"/>
          <w:szCs w:val="28"/>
          <w:lang w:val="fr-FR"/>
        </w:rPr>
        <w:t>tra</w:t>
      </w:r>
      <w:proofErr w:type="spellEnd"/>
      <w:r w:rsidRPr="00223D3C">
        <w:rPr>
          <w:iCs/>
          <w:sz w:val="28"/>
          <w:szCs w:val="28"/>
          <w:lang w:val="fr-FR"/>
        </w:rPr>
        <w:t xml:space="preserve">, </w:t>
      </w: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tra</w:t>
      </w:r>
      <w:proofErr w:type="spellEnd"/>
      <w:r w:rsidRPr="00223D3C">
        <w:rPr>
          <w:iCs/>
          <w:sz w:val="28"/>
          <w:szCs w:val="28"/>
          <w:lang w:val="fr-FR"/>
        </w:rPr>
        <w:t xml:space="preserve">, </w:t>
      </w:r>
      <w:proofErr w:type="spellStart"/>
      <w:r w:rsidRPr="00223D3C">
        <w:rPr>
          <w:iCs/>
          <w:sz w:val="28"/>
          <w:szCs w:val="28"/>
          <w:lang w:val="fr-FR"/>
        </w:rPr>
        <w:t>kiểm</w:t>
      </w:r>
      <w:proofErr w:type="spellEnd"/>
      <w:r w:rsidRPr="00223D3C">
        <w:rPr>
          <w:iCs/>
          <w:sz w:val="28"/>
          <w:szCs w:val="28"/>
          <w:lang w:val="fr-FR"/>
        </w:rPr>
        <w:t xml:space="preserve"> </w:t>
      </w:r>
      <w:proofErr w:type="spellStart"/>
      <w:r w:rsidRPr="00223D3C">
        <w:rPr>
          <w:iCs/>
          <w:sz w:val="28"/>
          <w:szCs w:val="28"/>
          <w:lang w:val="fr-FR"/>
        </w:rPr>
        <w:t>toán</w:t>
      </w:r>
      <w:proofErr w:type="spellEnd"/>
      <w:r w:rsidRPr="00223D3C">
        <w:rPr>
          <w:iCs/>
          <w:sz w:val="28"/>
          <w:szCs w:val="28"/>
          <w:lang w:val="fr-FR"/>
        </w:rPr>
        <w:t xml:space="preserve"> </w:t>
      </w:r>
      <w:proofErr w:type="spellStart"/>
      <w:r w:rsidRPr="00223D3C">
        <w:rPr>
          <w:iCs/>
          <w:sz w:val="28"/>
          <w:szCs w:val="28"/>
          <w:lang w:val="fr-FR"/>
        </w:rPr>
        <w:t>nhà</w:t>
      </w:r>
      <w:proofErr w:type="spellEnd"/>
      <w:r w:rsidRPr="00223D3C">
        <w:rPr>
          <w:iCs/>
          <w:sz w:val="28"/>
          <w:szCs w:val="28"/>
          <w:lang w:val="fr-FR"/>
        </w:rPr>
        <w:t xml:space="preserve"> </w:t>
      </w:r>
      <w:proofErr w:type="spellStart"/>
      <w:proofErr w:type="gramStart"/>
      <w:r w:rsidRPr="00223D3C">
        <w:rPr>
          <w:iCs/>
          <w:sz w:val="28"/>
          <w:szCs w:val="28"/>
          <w:lang w:val="fr-FR"/>
        </w:rPr>
        <w:t>nước</w:t>
      </w:r>
      <w:proofErr w:type="spellEnd"/>
      <w:r w:rsidRPr="00223D3C">
        <w:rPr>
          <w:iCs/>
          <w:sz w:val="28"/>
          <w:szCs w:val="28"/>
          <w:lang w:val="fr-FR"/>
        </w:rPr>
        <w:t>;</w:t>
      </w:r>
      <w:proofErr w:type="gramEnd"/>
      <w:r w:rsidRPr="00223D3C">
        <w:rPr>
          <w:iCs/>
          <w:sz w:val="28"/>
          <w:szCs w:val="28"/>
          <w:lang w:val="fr-FR"/>
        </w:rPr>
        <w:t xml:space="preserve"> </w:t>
      </w:r>
      <w:proofErr w:type="spellStart"/>
      <w:r w:rsidRPr="00223D3C">
        <w:rPr>
          <w:iCs/>
          <w:sz w:val="28"/>
          <w:szCs w:val="28"/>
          <w:lang w:val="fr-FR"/>
        </w:rPr>
        <w:t>kết</w:t>
      </w:r>
      <w:proofErr w:type="spellEnd"/>
      <w:r w:rsidRPr="00223D3C">
        <w:rPr>
          <w:iCs/>
          <w:sz w:val="28"/>
          <w:szCs w:val="28"/>
          <w:lang w:val="fr-FR"/>
        </w:rPr>
        <w:t xml:space="preserve"> </w:t>
      </w:r>
      <w:proofErr w:type="spellStart"/>
      <w:r w:rsidRPr="00223D3C">
        <w:rPr>
          <w:iCs/>
          <w:sz w:val="28"/>
          <w:szCs w:val="28"/>
          <w:lang w:val="fr-FR"/>
        </w:rPr>
        <w:t>quả</w:t>
      </w:r>
      <w:proofErr w:type="spellEnd"/>
      <w:r w:rsidRPr="00223D3C">
        <w:rPr>
          <w:iCs/>
          <w:sz w:val="28"/>
          <w:szCs w:val="28"/>
          <w:lang w:val="fr-FR"/>
        </w:rPr>
        <w:t xml:space="preserve"> </w:t>
      </w:r>
      <w:proofErr w:type="spellStart"/>
      <w:r w:rsidRPr="00223D3C">
        <w:rPr>
          <w:iCs/>
          <w:sz w:val="28"/>
          <w:szCs w:val="28"/>
          <w:lang w:val="fr-FR"/>
        </w:rPr>
        <w:t>điều</w:t>
      </w:r>
      <w:proofErr w:type="spellEnd"/>
      <w:r w:rsidRPr="00223D3C">
        <w:rPr>
          <w:iCs/>
          <w:sz w:val="28"/>
          <w:szCs w:val="28"/>
          <w:lang w:val="fr-FR"/>
        </w:rPr>
        <w:t xml:space="preserve"> </w:t>
      </w:r>
      <w:proofErr w:type="spellStart"/>
      <w:r w:rsidRPr="00223D3C">
        <w:rPr>
          <w:iCs/>
          <w:sz w:val="28"/>
          <w:szCs w:val="28"/>
          <w:lang w:val="fr-FR"/>
        </w:rPr>
        <w:t>tra</w:t>
      </w:r>
      <w:proofErr w:type="spellEnd"/>
      <w:r w:rsidRPr="00223D3C">
        <w:rPr>
          <w:iCs/>
          <w:sz w:val="28"/>
          <w:szCs w:val="28"/>
          <w:lang w:val="fr-FR"/>
        </w:rPr>
        <w:t xml:space="preserve"> </w:t>
      </w:r>
      <w:proofErr w:type="spellStart"/>
      <w:r w:rsidRPr="00223D3C">
        <w:rPr>
          <w:iCs/>
          <w:sz w:val="28"/>
          <w:szCs w:val="28"/>
          <w:lang w:val="fr-FR"/>
        </w:rPr>
        <w:t>của</w:t>
      </w:r>
      <w:proofErr w:type="spellEnd"/>
      <w:r w:rsidRPr="00223D3C">
        <w:rPr>
          <w:iCs/>
          <w:sz w:val="28"/>
          <w:szCs w:val="28"/>
          <w:lang w:val="fr-FR"/>
        </w:rPr>
        <w:t xml:space="preserve"> </w:t>
      </w:r>
      <w:proofErr w:type="spellStart"/>
      <w:r w:rsidRPr="00223D3C">
        <w:rPr>
          <w:iCs/>
          <w:sz w:val="28"/>
          <w:szCs w:val="28"/>
          <w:lang w:val="fr-FR"/>
        </w:rPr>
        <w:t>các</w:t>
      </w:r>
      <w:proofErr w:type="spellEnd"/>
      <w:r w:rsidRPr="00223D3C">
        <w:rPr>
          <w:iCs/>
          <w:sz w:val="28"/>
          <w:szCs w:val="28"/>
          <w:lang w:val="fr-FR"/>
        </w:rPr>
        <w:t xml:space="preserve"> </w:t>
      </w:r>
      <w:proofErr w:type="spellStart"/>
      <w:r w:rsidRPr="00223D3C">
        <w:rPr>
          <w:iCs/>
          <w:sz w:val="28"/>
          <w:szCs w:val="28"/>
          <w:lang w:val="fr-FR"/>
        </w:rPr>
        <w:t>cơ</w:t>
      </w:r>
      <w:proofErr w:type="spellEnd"/>
      <w:r w:rsidRPr="00223D3C">
        <w:rPr>
          <w:iCs/>
          <w:sz w:val="28"/>
          <w:szCs w:val="28"/>
          <w:lang w:val="fr-FR"/>
        </w:rPr>
        <w:t xml:space="preserve"> </w:t>
      </w:r>
      <w:proofErr w:type="spellStart"/>
      <w:r w:rsidRPr="00223D3C">
        <w:rPr>
          <w:iCs/>
          <w:sz w:val="28"/>
          <w:szCs w:val="28"/>
          <w:lang w:val="fr-FR"/>
        </w:rPr>
        <w:t>quan</w:t>
      </w:r>
      <w:proofErr w:type="spellEnd"/>
      <w:r w:rsidRPr="00223D3C">
        <w:rPr>
          <w:iCs/>
          <w:sz w:val="28"/>
          <w:szCs w:val="28"/>
          <w:lang w:val="fr-FR"/>
        </w:rPr>
        <w:t xml:space="preserve"> </w:t>
      </w:r>
      <w:proofErr w:type="spellStart"/>
      <w:r w:rsidRPr="00223D3C">
        <w:rPr>
          <w:iCs/>
          <w:sz w:val="28"/>
          <w:szCs w:val="28"/>
          <w:lang w:val="fr-FR"/>
        </w:rPr>
        <w:t>pháp</w:t>
      </w:r>
      <w:proofErr w:type="spellEnd"/>
      <w:r w:rsidRPr="00223D3C">
        <w:rPr>
          <w:iCs/>
          <w:sz w:val="28"/>
          <w:szCs w:val="28"/>
          <w:lang w:val="fr-FR"/>
        </w:rPr>
        <w:t xml:space="preserve"> </w:t>
      </w:r>
      <w:proofErr w:type="spellStart"/>
      <w:r w:rsidRPr="00223D3C">
        <w:rPr>
          <w:iCs/>
          <w:sz w:val="28"/>
          <w:szCs w:val="28"/>
          <w:lang w:val="fr-FR"/>
        </w:rPr>
        <w:t>luật</w:t>
      </w:r>
      <w:proofErr w:type="spellEnd"/>
      <w:r w:rsidRPr="00223D3C">
        <w:rPr>
          <w:iCs/>
          <w:sz w:val="28"/>
          <w:szCs w:val="28"/>
          <w:lang w:val="fr-FR"/>
        </w:rPr>
        <w:t xml:space="preserve"> </w:t>
      </w:r>
      <w:r w:rsidRPr="00223D3C">
        <w:rPr>
          <w:sz w:val="28"/>
          <w:szCs w:val="28"/>
          <w:lang w:val="it-IT"/>
        </w:rPr>
        <w:t>(nếu có);</w:t>
      </w:r>
    </w:p>
    <w:p w:rsidR="00D61649" w:rsidRPr="00223D3C" w:rsidRDefault="00D61649" w:rsidP="00D61649">
      <w:pPr>
        <w:tabs>
          <w:tab w:val="left" w:pos="993"/>
        </w:tabs>
        <w:suppressAutoHyphens/>
        <w:spacing w:before="120" w:after="120"/>
        <w:ind w:right="176" w:firstLine="567"/>
        <w:rPr>
          <w:iCs/>
          <w:sz w:val="28"/>
          <w:szCs w:val="28"/>
          <w:lang w:val="it-IT"/>
        </w:rPr>
      </w:pPr>
      <w:r w:rsidRPr="00223D3C">
        <w:rPr>
          <w:iCs/>
          <w:sz w:val="28"/>
          <w:szCs w:val="28"/>
        </w:rPr>
        <w:t xml:space="preserve">+ </w:t>
      </w:r>
      <w:r w:rsidRPr="00223D3C">
        <w:rPr>
          <w:iCs/>
          <w:sz w:val="28"/>
          <w:szCs w:val="28"/>
          <w:lang w:val="vi-VN"/>
        </w:rPr>
        <w:t>Kiểm toán độc lập phải thực hiện kiểm toán Dự toán tất cả các gói thầu Xây dựng, Mua sắm VTTB. Kiểm toán việc ký kết, nghiệm thu, thanh quyết toán với nhà thầu toàn bộ các hợp đồng: mua sắm thiết bị, hợp đồng xây dựng, hợp đồng tư vấn khảo sát và chi phí bồi thường, hỗ trợ và tái định cư.</w:t>
      </w:r>
    </w:p>
    <w:p w:rsidR="0084016D" w:rsidRPr="00223D3C" w:rsidRDefault="00D61649" w:rsidP="00D61649">
      <w:pPr>
        <w:tabs>
          <w:tab w:val="left" w:pos="993"/>
        </w:tabs>
        <w:suppressAutoHyphens/>
        <w:spacing w:before="120" w:after="120"/>
        <w:ind w:right="176" w:firstLine="567"/>
        <w:rPr>
          <w:iCs/>
          <w:sz w:val="28"/>
          <w:szCs w:val="28"/>
        </w:rPr>
      </w:pPr>
      <w:r w:rsidRPr="00223D3C">
        <w:rPr>
          <w:iCs/>
          <w:sz w:val="28"/>
          <w:szCs w:val="28"/>
        </w:rPr>
        <w:t xml:space="preserve">+ </w:t>
      </w:r>
      <w:proofErr w:type="spellStart"/>
      <w:r w:rsidR="0084016D" w:rsidRPr="00223D3C">
        <w:rPr>
          <w:iCs/>
          <w:sz w:val="28"/>
          <w:szCs w:val="28"/>
        </w:rPr>
        <w:t>Xem</w:t>
      </w:r>
      <w:proofErr w:type="spellEnd"/>
      <w:r w:rsidR="0084016D" w:rsidRPr="00223D3C">
        <w:rPr>
          <w:iCs/>
          <w:sz w:val="28"/>
          <w:szCs w:val="28"/>
        </w:rPr>
        <w:t xml:space="preserve"> </w:t>
      </w:r>
      <w:proofErr w:type="spellStart"/>
      <w:r w:rsidR="0084016D" w:rsidRPr="00223D3C">
        <w:rPr>
          <w:iCs/>
          <w:sz w:val="28"/>
          <w:szCs w:val="28"/>
        </w:rPr>
        <w:t>xét</w:t>
      </w:r>
      <w:proofErr w:type="spellEnd"/>
      <w:r w:rsidR="0084016D" w:rsidRPr="00223D3C">
        <w:rPr>
          <w:iCs/>
          <w:sz w:val="28"/>
          <w:szCs w:val="28"/>
        </w:rPr>
        <w:t xml:space="preserve"> </w:t>
      </w:r>
      <w:proofErr w:type="spellStart"/>
      <w:r w:rsidR="0084016D" w:rsidRPr="00223D3C">
        <w:rPr>
          <w:iCs/>
          <w:sz w:val="28"/>
          <w:szCs w:val="28"/>
        </w:rPr>
        <w:t>các</w:t>
      </w:r>
      <w:proofErr w:type="spellEnd"/>
      <w:r w:rsidR="0084016D" w:rsidRPr="00223D3C">
        <w:rPr>
          <w:iCs/>
          <w:sz w:val="28"/>
          <w:szCs w:val="28"/>
        </w:rPr>
        <w:t xml:space="preserve"> </w:t>
      </w:r>
      <w:proofErr w:type="spellStart"/>
      <w:r w:rsidR="0084016D" w:rsidRPr="00223D3C">
        <w:rPr>
          <w:iCs/>
          <w:sz w:val="28"/>
          <w:szCs w:val="28"/>
        </w:rPr>
        <w:t>kiến</w:t>
      </w:r>
      <w:proofErr w:type="spellEnd"/>
      <w:r w:rsidR="0084016D" w:rsidRPr="00223D3C">
        <w:rPr>
          <w:iCs/>
          <w:sz w:val="28"/>
          <w:szCs w:val="28"/>
        </w:rPr>
        <w:t xml:space="preserve"> nghị của Bên A (nếu có).</w:t>
      </w:r>
    </w:p>
    <w:p w:rsidR="003B76EA" w:rsidRPr="003B76EA" w:rsidRDefault="0084016D" w:rsidP="003B76EA">
      <w:pPr>
        <w:spacing w:before="120" w:after="120"/>
        <w:ind w:firstLine="567"/>
        <w:rPr>
          <w:bCs/>
          <w:sz w:val="28"/>
          <w:szCs w:val="28"/>
          <w:lang w:val="it-IT"/>
        </w:rPr>
      </w:pPr>
      <w:r w:rsidRPr="00223D3C">
        <w:rPr>
          <w:sz w:val="28"/>
          <w:szCs w:val="28"/>
          <w:lang w:val="it-IT"/>
        </w:rPr>
        <w:t xml:space="preserve">3. </w:t>
      </w:r>
      <w:r w:rsidR="003B76EA" w:rsidRPr="003B76EA">
        <w:rPr>
          <w:sz w:val="28"/>
          <w:szCs w:val="28"/>
          <w:lang w:val="nl-NL"/>
        </w:rPr>
        <w:t>Dự kiến thời gian nhà thầu bắt đầu thực hiện dịch vụ kiểm toán: Sẽ thống nhất trong quá trình thương thảo Hợp đồng sau này.</w:t>
      </w:r>
    </w:p>
    <w:p w:rsidR="0084016D" w:rsidRPr="00223D3C" w:rsidRDefault="0084016D" w:rsidP="003B76EA">
      <w:pPr>
        <w:spacing w:before="60" w:after="60"/>
        <w:ind w:left="568" w:hanging="284"/>
        <w:rPr>
          <w:b/>
          <w:bCs/>
          <w:sz w:val="28"/>
          <w:szCs w:val="28"/>
          <w:lang w:val="it-IT"/>
        </w:rPr>
      </w:pPr>
      <w:r w:rsidRPr="00223D3C">
        <w:rPr>
          <w:b/>
          <w:sz w:val="28"/>
          <w:szCs w:val="28"/>
          <w:lang w:val="it-IT"/>
        </w:rPr>
        <w:t xml:space="preserve">III. Báo </w:t>
      </w:r>
      <w:r w:rsidRPr="00223D3C">
        <w:rPr>
          <w:b/>
          <w:bCs/>
          <w:iCs/>
          <w:sz w:val="28"/>
          <w:szCs w:val="28"/>
          <w:lang w:val="it-IT"/>
        </w:rPr>
        <w:t>cáo</w:t>
      </w:r>
      <w:r w:rsidRPr="00223D3C">
        <w:rPr>
          <w:b/>
          <w:sz w:val="28"/>
          <w:szCs w:val="28"/>
          <w:lang w:val="it-IT"/>
        </w:rPr>
        <w:t xml:space="preserve"> và thời gian thực hiện:</w:t>
      </w:r>
    </w:p>
    <w:p w:rsidR="00D61649" w:rsidRPr="00D61649" w:rsidRDefault="00D61649" w:rsidP="00D61649">
      <w:pPr>
        <w:numPr>
          <w:ilvl w:val="0"/>
          <w:numId w:val="4"/>
        </w:numPr>
        <w:tabs>
          <w:tab w:val="clear" w:pos="1440"/>
          <w:tab w:val="left" w:pos="720"/>
        </w:tabs>
        <w:spacing w:before="60" w:after="60" w:line="360" w:lineRule="exact"/>
        <w:ind w:left="0" w:firstLine="0"/>
        <w:rPr>
          <w:sz w:val="28"/>
          <w:szCs w:val="28"/>
          <w:lang w:val="it-IT"/>
        </w:rPr>
      </w:pPr>
      <w:r w:rsidRPr="00D61649">
        <w:rPr>
          <w:sz w:val="28"/>
          <w:szCs w:val="28"/>
          <w:lang w:val="it-IT"/>
        </w:rPr>
        <w:t>Nhà thầu phải nộp các báo cáo Kiểm toán đã thực hiện hằng tuần cho Bên mời thầu. Thời gian nộp báo cáo là thứ sáu hàng tuần. Ngoài ra, tùy theo tình hình công việc đột xuất liên quan đến kiểm toán, Bên mời thầu có quyền yêu cầu nhà thầu báo cáo các công việc liên quan mà không đòi hỏi bất kỳ quyền lợi nào.</w:t>
      </w:r>
    </w:p>
    <w:p w:rsidR="00D61649" w:rsidRPr="00D61649" w:rsidRDefault="00D61649" w:rsidP="00D61649">
      <w:pPr>
        <w:numPr>
          <w:ilvl w:val="0"/>
          <w:numId w:val="4"/>
        </w:numPr>
        <w:tabs>
          <w:tab w:val="left" w:pos="720"/>
        </w:tabs>
        <w:spacing w:before="60" w:after="60" w:line="360" w:lineRule="exact"/>
        <w:ind w:left="0" w:firstLine="0"/>
        <w:rPr>
          <w:sz w:val="28"/>
          <w:szCs w:val="28"/>
          <w:lang w:val="it-IT"/>
        </w:rPr>
      </w:pPr>
      <w:r w:rsidRPr="00D61649">
        <w:rPr>
          <w:sz w:val="28"/>
          <w:szCs w:val="28"/>
          <w:lang w:val="it-IT"/>
        </w:rPr>
        <w:t>Số lượng báo cáo kiểm toán cần nộp: 06 bộ báo cáo kiểm toán trong đó bên A giữ 05 bộ, bên B giữ 01 bộ.</w:t>
      </w:r>
    </w:p>
    <w:p w:rsidR="00D61649" w:rsidRPr="00D61649" w:rsidRDefault="00D61649" w:rsidP="00D61649">
      <w:pPr>
        <w:numPr>
          <w:ilvl w:val="0"/>
          <w:numId w:val="4"/>
        </w:numPr>
        <w:tabs>
          <w:tab w:val="left" w:pos="720"/>
        </w:tabs>
        <w:spacing w:before="60" w:after="60" w:line="360" w:lineRule="exact"/>
        <w:ind w:left="0" w:firstLine="0"/>
        <w:rPr>
          <w:sz w:val="28"/>
          <w:szCs w:val="28"/>
          <w:lang w:val="it-IT"/>
        </w:rPr>
      </w:pPr>
      <w:r w:rsidRPr="00D61649">
        <w:rPr>
          <w:sz w:val="28"/>
          <w:szCs w:val="28"/>
          <w:lang w:val="it-IT"/>
        </w:rPr>
        <w:t>Thời gian thực hiện hợp đồng: 30 ngày.</w:t>
      </w:r>
    </w:p>
    <w:p w:rsidR="0084016D" w:rsidRPr="00223D3C" w:rsidRDefault="0084016D" w:rsidP="00D61649">
      <w:pPr>
        <w:spacing w:before="60" w:after="60"/>
        <w:ind w:firstLine="284"/>
        <w:rPr>
          <w:b/>
          <w:sz w:val="28"/>
          <w:szCs w:val="28"/>
          <w:lang w:val="it-IT"/>
        </w:rPr>
      </w:pPr>
      <w:r w:rsidRPr="00223D3C">
        <w:rPr>
          <w:b/>
          <w:sz w:val="28"/>
          <w:szCs w:val="28"/>
          <w:lang w:val="it-IT"/>
        </w:rPr>
        <w:t xml:space="preserve">IV. Kinh </w:t>
      </w:r>
      <w:r w:rsidRPr="00223D3C">
        <w:rPr>
          <w:b/>
          <w:bCs/>
          <w:iCs/>
          <w:sz w:val="28"/>
          <w:szCs w:val="28"/>
          <w:lang w:val="it-IT"/>
        </w:rPr>
        <w:t>nghiệm</w:t>
      </w:r>
      <w:r w:rsidRPr="00223D3C">
        <w:rPr>
          <w:b/>
          <w:sz w:val="28"/>
          <w:szCs w:val="28"/>
          <w:lang w:val="it-IT"/>
        </w:rPr>
        <w:t xml:space="preserve"> và nhân sự của nhà thầu:</w:t>
      </w:r>
    </w:p>
    <w:p w:rsidR="0084016D" w:rsidRPr="00223D3C" w:rsidRDefault="00223D3C" w:rsidP="00223D3C">
      <w:pPr>
        <w:tabs>
          <w:tab w:val="left" w:pos="720"/>
        </w:tabs>
        <w:spacing w:before="120" w:after="120"/>
        <w:rPr>
          <w:sz w:val="28"/>
          <w:szCs w:val="28"/>
          <w:lang w:val="it-IT"/>
        </w:rPr>
      </w:pPr>
      <w:r w:rsidRPr="00223D3C">
        <w:rPr>
          <w:sz w:val="28"/>
          <w:szCs w:val="28"/>
          <w:lang w:val="it-IT"/>
        </w:rPr>
        <w:tab/>
        <w:t xml:space="preserve">- </w:t>
      </w:r>
      <w:r w:rsidR="0084016D" w:rsidRPr="00223D3C">
        <w:rPr>
          <w:sz w:val="28"/>
          <w:szCs w:val="28"/>
          <w:lang w:val="it-IT"/>
        </w:rPr>
        <w:t>Đáp ứng yêu cầu tại Chương II: Bảng dữ liệu đấu thầu và Chương III: Tiêu chuẩn đánh giá E-HSDT.</w:t>
      </w:r>
    </w:p>
    <w:p w:rsidR="0084016D" w:rsidRPr="00223D3C" w:rsidRDefault="00223D3C" w:rsidP="00223D3C">
      <w:pPr>
        <w:tabs>
          <w:tab w:val="left" w:pos="720"/>
        </w:tabs>
        <w:spacing w:before="120" w:after="120"/>
        <w:rPr>
          <w:sz w:val="28"/>
          <w:szCs w:val="28"/>
          <w:lang w:val="it-IT"/>
        </w:rPr>
      </w:pPr>
      <w:r w:rsidRPr="00223D3C">
        <w:rPr>
          <w:sz w:val="28"/>
          <w:szCs w:val="28"/>
          <w:lang w:val="it-IT"/>
        </w:rPr>
        <w:lastRenderedPageBreak/>
        <w:tab/>
        <w:t xml:space="preserve">- </w:t>
      </w:r>
      <w:r w:rsidR="0084016D" w:rsidRPr="00223D3C">
        <w:rPr>
          <w:sz w:val="28"/>
          <w:szCs w:val="28"/>
          <w:lang w:val="it-IT"/>
        </w:rPr>
        <w:t>Nêu rõ tất cả các thành viên tham gia dự án kể cả các thành viên thực hiện kiểm tra, soát xét. Năng lực các Nhân sự tham gia phải đảm bảo yêu cầu trong hồ sơ mời thầu và Hồ sơ dự thầu.</w:t>
      </w:r>
    </w:p>
    <w:p w:rsidR="0084016D" w:rsidRPr="00223D3C" w:rsidRDefault="00223D3C" w:rsidP="00223D3C">
      <w:pPr>
        <w:tabs>
          <w:tab w:val="left" w:pos="720"/>
        </w:tabs>
        <w:spacing w:before="120" w:after="120"/>
        <w:rPr>
          <w:sz w:val="28"/>
          <w:szCs w:val="28"/>
          <w:lang w:val="it-IT"/>
        </w:rPr>
      </w:pPr>
      <w:r w:rsidRPr="00223D3C">
        <w:rPr>
          <w:sz w:val="28"/>
          <w:szCs w:val="28"/>
          <w:lang w:val="it-IT"/>
        </w:rPr>
        <w:tab/>
        <w:t xml:space="preserve">- </w:t>
      </w:r>
      <w:r w:rsidR="0084016D" w:rsidRPr="00223D3C">
        <w:rPr>
          <w:sz w:val="28"/>
          <w:szCs w:val="28"/>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p>
    <w:p w:rsidR="0084016D" w:rsidRPr="00223D3C" w:rsidRDefault="0084016D" w:rsidP="00D61649">
      <w:pPr>
        <w:spacing w:before="60" w:after="60"/>
        <w:ind w:firstLine="284"/>
        <w:rPr>
          <w:b/>
          <w:bCs/>
          <w:sz w:val="28"/>
          <w:szCs w:val="28"/>
          <w:lang w:val="it-IT"/>
        </w:rPr>
      </w:pPr>
      <w:r w:rsidRPr="00223D3C">
        <w:rPr>
          <w:b/>
          <w:sz w:val="28"/>
          <w:szCs w:val="28"/>
          <w:lang w:val="it-IT"/>
        </w:rPr>
        <w:t xml:space="preserve">V. Trách </w:t>
      </w:r>
      <w:r w:rsidRPr="00223D3C">
        <w:rPr>
          <w:b/>
          <w:bCs/>
          <w:iCs/>
          <w:sz w:val="28"/>
          <w:szCs w:val="28"/>
          <w:lang w:val="it-IT"/>
        </w:rPr>
        <w:t>nhiệm</w:t>
      </w:r>
      <w:r w:rsidRPr="00223D3C">
        <w:rPr>
          <w:b/>
          <w:sz w:val="28"/>
          <w:szCs w:val="28"/>
          <w:lang w:val="it-IT"/>
        </w:rPr>
        <w:t xml:space="preserve"> của chủ đầu tư:</w:t>
      </w:r>
    </w:p>
    <w:p w:rsidR="00D61649" w:rsidRPr="00D61649" w:rsidRDefault="00223D3C" w:rsidP="00223D3C">
      <w:pPr>
        <w:tabs>
          <w:tab w:val="left" w:pos="720"/>
        </w:tabs>
        <w:spacing w:before="120" w:after="120"/>
        <w:rPr>
          <w:sz w:val="28"/>
          <w:szCs w:val="28"/>
          <w:lang w:val="it-IT"/>
        </w:rPr>
      </w:pPr>
      <w:r w:rsidRPr="00223D3C">
        <w:rPr>
          <w:sz w:val="28"/>
          <w:szCs w:val="28"/>
          <w:lang w:val="it-IT"/>
        </w:rPr>
        <w:tab/>
      </w:r>
      <w:r w:rsidR="00D61649" w:rsidRPr="00D61649">
        <w:rPr>
          <w:sz w:val="28"/>
          <w:szCs w:val="28"/>
          <w:lang w:val="it-IT"/>
        </w:rPr>
        <w:t>- Bảo đảm cung cấp kịp thời cho Bên B toàn bộ hồ sơ, tài liệu cần thiết có liên quan đến cuộc kiểm toán báo cáo quyết toán vốn đầu tư theo quy định hiện hành, bao gồm: Tờ trình đề nghị phê duyệt quyết toán vốn đầu tư; Báo cáo quyết toán vốn đầu tư; Các văn bản pháp lý có liên quan; Các hợp đồng kinh tế và biên bản thanh lý hợp đồng; Các biên bản nghiệm thu giai đoạn, biên bản tổng nghiệm thu khối lượng xây lắp hoàn thành; Hồ sơ hoàn công, nhật ký thi công, hồ sơ đấu thầu, dự toán thiết kế... và các hồ sơ, tài liệu khác có liên quan đến dự án và chịu trách nhiệm pháp lý đối với các hồ sơ tài liệu cung cấp cho kiểm toán;</w:t>
      </w:r>
    </w:p>
    <w:p w:rsidR="00D61649" w:rsidRPr="00D61649" w:rsidRDefault="00223D3C" w:rsidP="00223D3C">
      <w:pPr>
        <w:tabs>
          <w:tab w:val="left" w:pos="720"/>
        </w:tabs>
        <w:spacing w:before="120" w:after="120"/>
        <w:rPr>
          <w:sz w:val="28"/>
          <w:szCs w:val="28"/>
          <w:lang w:val="it-IT"/>
        </w:rPr>
      </w:pPr>
      <w:r w:rsidRPr="00223D3C">
        <w:rPr>
          <w:sz w:val="28"/>
          <w:szCs w:val="28"/>
          <w:lang w:val="it-IT"/>
        </w:rPr>
        <w:tab/>
      </w:r>
      <w:r w:rsidR="00D61649" w:rsidRPr="00D61649">
        <w:rPr>
          <w:sz w:val="28"/>
          <w:szCs w:val="28"/>
          <w:lang w:val="it-IT"/>
        </w:rPr>
        <w:t>- Cử cán bộ chuyên môn cùng tham gia với Bên B để thuyết minh, xác định chính xác các nội dung công việc khi có yêu cầu của Bên B;</w:t>
      </w:r>
    </w:p>
    <w:p w:rsidR="00D61649" w:rsidRPr="00D61649" w:rsidRDefault="00223D3C" w:rsidP="00223D3C">
      <w:pPr>
        <w:tabs>
          <w:tab w:val="left" w:pos="720"/>
        </w:tabs>
        <w:spacing w:before="120" w:after="120"/>
        <w:rPr>
          <w:sz w:val="28"/>
          <w:szCs w:val="28"/>
          <w:lang w:val="it-IT"/>
        </w:rPr>
      </w:pPr>
      <w:r w:rsidRPr="00223D3C">
        <w:rPr>
          <w:sz w:val="28"/>
          <w:szCs w:val="28"/>
          <w:lang w:val="it-IT"/>
        </w:rPr>
        <w:tab/>
      </w:r>
      <w:r w:rsidR="00D61649" w:rsidRPr="00D61649">
        <w:rPr>
          <w:sz w:val="28"/>
          <w:szCs w:val="28"/>
          <w:lang w:val="it-IT"/>
        </w:rPr>
        <w:t xml:space="preserve">- Báo cáo quyết toán vốn đầu tư hoàn thành dùng để kiểm toán phải được Bên A ký và đóng dấu chính thức trước khi cung cấp cho Bên B. Việc lập báo cáo quyết toán vốn đầu tư hoàn thành trung thực, hợp lý và công bố các thông tin khác là trách nhiệm của Bên A. Trách nhiệm này đòi hỏi hệ thống kế toán và hệ thống kiểm soát nội bộ phải thích đáng, sự lựa chọn và áp dụng đúng đắn các chính sách kế toán và việc đảm bảo an toàn cho các tài sản của đơn vị; </w:t>
      </w:r>
    </w:p>
    <w:p w:rsidR="00D61649" w:rsidRPr="00D61649" w:rsidRDefault="00223D3C" w:rsidP="00223D3C">
      <w:pPr>
        <w:tabs>
          <w:tab w:val="left" w:pos="720"/>
        </w:tabs>
        <w:spacing w:before="120" w:after="120"/>
        <w:rPr>
          <w:sz w:val="28"/>
          <w:szCs w:val="28"/>
          <w:lang w:val="it-IT"/>
        </w:rPr>
      </w:pPr>
      <w:r w:rsidRPr="00223D3C">
        <w:rPr>
          <w:sz w:val="28"/>
          <w:szCs w:val="28"/>
          <w:lang w:val="it-IT"/>
        </w:rPr>
        <w:tab/>
      </w:r>
      <w:r w:rsidR="00D61649" w:rsidRPr="00D61649">
        <w:rPr>
          <w:sz w:val="28"/>
          <w:szCs w:val="28"/>
          <w:lang w:val="it-IT"/>
        </w:rPr>
        <w:t>- Bên B có thể yêu cầu Bên A xác nhận bằng văn bản sự đảm bảo về các thông tin và tài liệu liên quan đến cuộc kiểm toán đã cung cấp cho Bên B (Trong trường hợp cần thiết);</w:t>
      </w:r>
    </w:p>
    <w:p w:rsidR="00D61649" w:rsidRPr="00D61649" w:rsidRDefault="00223D3C" w:rsidP="00223D3C">
      <w:pPr>
        <w:tabs>
          <w:tab w:val="left" w:pos="720"/>
        </w:tabs>
        <w:spacing w:before="120" w:after="120"/>
        <w:rPr>
          <w:sz w:val="28"/>
          <w:szCs w:val="28"/>
          <w:lang w:val="it-IT"/>
        </w:rPr>
      </w:pPr>
      <w:r w:rsidRPr="00223D3C">
        <w:rPr>
          <w:sz w:val="28"/>
          <w:szCs w:val="28"/>
          <w:lang w:val="it-IT"/>
        </w:rPr>
        <w:tab/>
      </w:r>
      <w:r w:rsidR="00D61649" w:rsidRPr="00D61649">
        <w:rPr>
          <w:sz w:val="28"/>
          <w:szCs w:val="28"/>
          <w:lang w:val="it-IT"/>
        </w:rPr>
        <w:t xml:space="preserve">- Cử nhân viên của Bên A tham gia, phối hợp với Bên B và tạo điều kiện thuận lợi để Bên B có thể xem xét tất cả chứng từ, sổ kế toán và các thông tin khác cần thiết cho cuộc kiểm toán; </w:t>
      </w:r>
    </w:p>
    <w:p w:rsidR="00D61649" w:rsidRPr="00D61649" w:rsidRDefault="00D61649" w:rsidP="00223D3C">
      <w:pPr>
        <w:tabs>
          <w:tab w:val="left" w:pos="720"/>
        </w:tabs>
        <w:spacing w:before="120" w:after="120"/>
        <w:rPr>
          <w:sz w:val="28"/>
          <w:szCs w:val="28"/>
          <w:lang w:val="it-IT"/>
        </w:rPr>
      </w:pPr>
      <w:r w:rsidRPr="00D61649">
        <w:rPr>
          <w:sz w:val="28"/>
          <w:szCs w:val="28"/>
          <w:lang w:val="it-IT"/>
        </w:rPr>
        <w:tab/>
        <w:t>- Tạo điều kiện cho Bên B khảo sát, kiểm tra hiện trường khi có yêu cầu của Bên B.</w:t>
      </w:r>
    </w:p>
    <w:p w:rsidR="0084016D" w:rsidRPr="00223D3C" w:rsidRDefault="0084016D" w:rsidP="00D61649">
      <w:pPr>
        <w:spacing w:before="60" w:after="60"/>
        <w:ind w:firstLine="284"/>
        <w:rPr>
          <w:b/>
          <w:bCs/>
          <w:iCs/>
          <w:sz w:val="28"/>
          <w:szCs w:val="28"/>
          <w:lang w:val="it-IT"/>
        </w:rPr>
      </w:pPr>
      <w:r w:rsidRPr="00223D3C">
        <w:rPr>
          <w:b/>
          <w:bCs/>
          <w:iCs/>
          <w:sz w:val="28"/>
          <w:szCs w:val="28"/>
          <w:lang w:val="it-IT"/>
        </w:rPr>
        <w:t>VI. Trách nhiệm của nhà thầu kiểm toán:</w:t>
      </w:r>
    </w:p>
    <w:p w:rsidR="0084016D" w:rsidRPr="00223D3C" w:rsidRDefault="00D61649" w:rsidP="00D61649">
      <w:pPr>
        <w:tabs>
          <w:tab w:val="left" w:pos="720"/>
        </w:tabs>
        <w:spacing w:before="120" w:after="120"/>
        <w:rPr>
          <w:iCs/>
          <w:sz w:val="28"/>
          <w:szCs w:val="28"/>
          <w:lang w:val="it-IT"/>
        </w:rPr>
      </w:pPr>
      <w:r w:rsidRPr="00223D3C">
        <w:rPr>
          <w:iCs/>
          <w:sz w:val="28"/>
          <w:szCs w:val="28"/>
          <w:lang w:val="it-IT"/>
        </w:rPr>
        <w:tab/>
        <w:t xml:space="preserve">- </w:t>
      </w:r>
      <w:r w:rsidR="0084016D" w:rsidRPr="00223D3C">
        <w:rPr>
          <w:iCs/>
          <w:sz w:val="28"/>
          <w:szCs w:val="28"/>
          <w:lang w:val="it-IT"/>
        </w:rPr>
        <w:t>Bảo đảm tuân thủ các chuẩn mực kiểm toán hiện hành.</w:t>
      </w:r>
    </w:p>
    <w:p w:rsidR="0084016D" w:rsidRPr="00223D3C" w:rsidRDefault="00D61649" w:rsidP="00D61649">
      <w:pPr>
        <w:tabs>
          <w:tab w:val="left" w:pos="720"/>
        </w:tabs>
        <w:spacing w:before="120" w:after="120"/>
        <w:rPr>
          <w:iCs/>
          <w:sz w:val="28"/>
          <w:szCs w:val="28"/>
          <w:lang w:val="it-IT"/>
        </w:rPr>
      </w:pPr>
      <w:r w:rsidRPr="00223D3C">
        <w:rPr>
          <w:iCs/>
          <w:sz w:val="28"/>
          <w:szCs w:val="28"/>
          <w:lang w:val="it-IT"/>
        </w:rPr>
        <w:tab/>
        <w:t>-</w:t>
      </w:r>
      <w:r w:rsidR="00FB2F95" w:rsidRPr="00223D3C">
        <w:rPr>
          <w:iCs/>
          <w:sz w:val="28"/>
          <w:szCs w:val="28"/>
          <w:lang w:val="it-IT"/>
        </w:rPr>
        <w:t xml:space="preserve"> </w:t>
      </w:r>
      <w:r w:rsidR="0084016D" w:rsidRPr="00223D3C">
        <w:rPr>
          <w:iCs/>
          <w:sz w:val="28"/>
          <w:szCs w:val="28"/>
          <w:lang w:val="it-IT"/>
        </w:rPr>
        <w:t>Chịu trách nhiệm trước pháp luật và chủ đầu tư về nội dung và tính đúng đắn của số liệu trong báo cáo kiểm toán trên cơ sở hồ sơ quyết toán do chủ đầu tư cung cấp.</w:t>
      </w:r>
    </w:p>
    <w:p w:rsidR="0084016D" w:rsidRPr="00223D3C" w:rsidRDefault="00D61649" w:rsidP="00D61649">
      <w:pPr>
        <w:tabs>
          <w:tab w:val="left" w:pos="720"/>
        </w:tabs>
        <w:spacing w:before="120" w:after="120"/>
        <w:rPr>
          <w:iCs/>
          <w:sz w:val="28"/>
          <w:szCs w:val="28"/>
          <w:lang w:val="it-IT"/>
        </w:rPr>
      </w:pPr>
      <w:r w:rsidRPr="00223D3C">
        <w:rPr>
          <w:iCs/>
          <w:sz w:val="28"/>
          <w:szCs w:val="28"/>
          <w:lang w:val="it-IT"/>
        </w:rPr>
        <w:tab/>
      </w:r>
      <w:r w:rsidR="00FB2F95" w:rsidRPr="00223D3C">
        <w:rPr>
          <w:iCs/>
          <w:sz w:val="28"/>
          <w:szCs w:val="28"/>
          <w:lang w:val="it-IT"/>
        </w:rPr>
        <w:t>-</w:t>
      </w:r>
      <w:r w:rsidRPr="00223D3C">
        <w:rPr>
          <w:iCs/>
          <w:sz w:val="28"/>
          <w:szCs w:val="28"/>
          <w:lang w:val="it-IT"/>
        </w:rPr>
        <w:t xml:space="preserve"> </w:t>
      </w:r>
      <w:r w:rsidR="0084016D" w:rsidRPr="00223D3C">
        <w:rPr>
          <w:iCs/>
          <w:sz w:val="28"/>
          <w:szCs w:val="28"/>
          <w:lang w:val="it-IT"/>
        </w:rPr>
        <w:t>Cùng bên mời thầu làm việc với các bên hữu quan, với cơ quan thẩm tra phê duyệt báo cáo quyết toán (khi có yêu cầu của bên mời thầu) và đề xuất các giải pháp liên quan đến kết quả của cuộc kiểm toán.</w:t>
      </w:r>
    </w:p>
    <w:p w:rsidR="003E3877" w:rsidRPr="00223D3C" w:rsidRDefault="003E3877" w:rsidP="00D61649">
      <w:pPr>
        <w:spacing w:before="120" w:after="120"/>
        <w:rPr>
          <w:iCs/>
          <w:sz w:val="28"/>
          <w:szCs w:val="28"/>
          <w:lang w:val="it-IT"/>
        </w:rPr>
      </w:pPr>
    </w:p>
    <w:sectPr w:rsidR="003E3877" w:rsidRPr="00223D3C" w:rsidSect="009D00C5">
      <w:pgSz w:w="12240" w:h="15840" w:code="1"/>
      <w:pgMar w:top="907"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53502"/>
    <w:multiLevelType w:val="hybridMultilevel"/>
    <w:tmpl w:val="9508BC44"/>
    <w:lvl w:ilvl="0" w:tplc="7E8671E6">
      <w:start w:val="1"/>
      <w:numFmt w:val="bullet"/>
      <w:lvlText w:val="-"/>
      <w:lvlJc w:val="left"/>
      <w:pPr>
        <w:ind w:left="900" w:hanging="360"/>
      </w:pPr>
      <w:rPr>
        <w:rFonts w:ascii="Times New Roman" w:hAnsi="Times New Roman" w:cs="Times New Roman" w:hint="default"/>
        <w:b w:val="0"/>
        <w:i w:val="0"/>
        <w:caps w:val="0"/>
        <w:strike w:val="0"/>
        <w:dstrike w:val="0"/>
        <w:vanish w:val="0"/>
        <w:color w:val="000000"/>
        <w:sz w:val="2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5F1D6B"/>
    <w:multiLevelType w:val="hybridMultilevel"/>
    <w:tmpl w:val="B672CC9A"/>
    <w:lvl w:ilvl="0" w:tplc="641882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cs="Times New Roman" w:hint="default"/>
        <w:b w:val="0"/>
        <w:i w:val="0"/>
        <w:strike w:val="0"/>
        <w:dstrike w:val="0"/>
        <w:color w:val="auto"/>
        <w:sz w:val="26"/>
        <w:szCs w:val="26"/>
        <w:u w:val="none"/>
        <w:effect w:val="none"/>
      </w:rPr>
    </w:lvl>
    <w:lvl w:ilvl="1" w:tplc="FFFFFFFF">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cs="Times New Roman" w:hint="default"/>
        <w:b w:val="0"/>
        <w:i w:val="0"/>
        <w:strike w:val="0"/>
        <w:dstrike w:val="0"/>
        <w:color w:val="auto"/>
        <w:sz w:val="26"/>
        <w:szCs w:val="26"/>
        <w:u w:val="none"/>
        <w:effect w:val="none"/>
      </w:rPr>
    </w:lvl>
    <w:lvl w:ilvl="3" w:tplc="FFFFFFFF">
      <w:start w:val="1"/>
      <w:numFmt w:val="bullet"/>
      <w:lvlText w:val=""/>
      <w:lvlJc w:val="left"/>
      <w:pPr>
        <w:tabs>
          <w:tab w:val="num" w:pos="4815"/>
        </w:tabs>
        <w:ind w:left="4815" w:hanging="360"/>
      </w:pPr>
      <w:rPr>
        <w:rFonts w:ascii="Symbol" w:hAnsi="Symbol" w:hint="default"/>
      </w:rPr>
    </w:lvl>
    <w:lvl w:ilvl="4" w:tplc="FFFFFFFF">
      <w:start w:val="1"/>
      <w:numFmt w:val="bullet"/>
      <w:lvlText w:val="o"/>
      <w:lvlJc w:val="left"/>
      <w:pPr>
        <w:tabs>
          <w:tab w:val="num" w:pos="5535"/>
        </w:tabs>
        <w:ind w:left="5535" w:hanging="360"/>
      </w:pPr>
      <w:rPr>
        <w:rFonts w:ascii="Courier New" w:hAnsi="Courier New" w:cs="Courier New" w:hint="default"/>
      </w:rPr>
    </w:lvl>
    <w:lvl w:ilvl="5" w:tplc="FFFFFFFF">
      <w:start w:val="1"/>
      <w:numFmt w:val="bullet"/>
      <w:lvlText w:val=""/>
      <w:lvlJc w:val="left"/>
      <w:pPr>
        <w:tabs>
          <w:tab w:val="num" w:pos="6255"/>
        </w:tabs>
        <w:ind w:left="6255" w:hanging="360"/>
      </w:pPr>
      <w:rPr>
        <w:rFonts w:ascii="Wingdings" w:hAnsi="Wingdings" w:hint="default"/>
      </w:rPr>
    </w:lvl>
    <w:lvl w:ilvl="6" w:tplc="FFFFFFFF">
      <w:start w:val="1"/>
      <w:numFmt w:val="bullet"/>
      <w:lvlText w:val=""/>
      <w:lvlJc w:val="left"/>
      <w:pPr>
        <w:tabs>
          <w:tab w:val="num" w:pos="6975"/>
        </w:tabs>
        <w:ind w:left="6975" w:hanging="360"/>
      </w:pPr>
      <w:rPr>
        <w:rFonts w:ascii="Symbol" w:hAnsi="Symbol" w:hint="default"/>
      </w:rPr>
    </w:lvl>
    <w:lvl w:ilvl="7" w:tplc="FFFFFFFF">
      <w:start w:val="1"/>
      <w:numFmt w:val="bullet"/>
      <w:lvlText w:val="o"/>
      <w:lvlJc w:val="left"/>
      <w:pPr>
        <w:tabs>
          <w:tab w:val="num" w:pos="7695"/>
        </w:tabs>
        <w:ind w:left="7695" w:hanging="360"/>
      </w:pPr>
      <w:rPr>
        <w:rFonts w:ascii="Courier New" w:hAnsi="Courier New" w:cs="Courier New" w:hint="default"/>
      </w:rPr>
    </w:lvl>
    <w:lvl w:ilvl="8" w:tplc="FFFFFFFF">
      <w:start w:val="1"/>
      <w:numFmt w:val="bullet"/>
      <w:lvlText w:val=""/>
      <w:lvlJc w:val="left"/>
      <w:pPr>
        <w:tabs>
          <w:tab w:val="num" w:pos="8415"/>
        </w:tabs>
        <w:ind w:left="8415" w:hanging="360"/>
      </w:pPr>
      <w:rPr>
        <w:rFonts w:ascii="Wingdings" w:hAnsi="Wingdings" w:hint="default"/>
      </w:rPr>
    </w:lvl>
  </w:abstractNum>
  <w:abstractNum w:abstractNumId="3"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EB7"/>
    <w:rsid w:val="00062817"/>
    <w:rsid w:val="001E57CA"/>
    <w:rsid w:val="0020702B"/>
    <w:rsid w:val="00223D3C"/>
    <w:rsid w:val="0033076C"/>
    <w:rsid w:val="003B76EA"/>
    <w:rsid w:val="003E3877"/>
    <w:rsid w:val="006D75CB"/>
    <w:rsid w:val="0084016D"/>
    <w:rsid w:val="00867F69"/>
    <w:rsid w:val="009D00C5"/>
    <w:rsid w:val="00C62EB7"/>
    <w:rsid w:val="00C67F2F"/>
    <w:rsid w:val="00D61649"/>
    <w:rsid w:val="00D76ADB"/>
    <w:rsid w:val="00FB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17B0"/>
  <w15:chartTrackingRefBased/>
  <w15:docId w15:val="{DFBF0EAF-E81E-46C3-B7FC-87920095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6D"/>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84016D"/>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84016D"/>
    <w:rPr>
      <w:rFonts w:ascii="Times New Roman Bold" w:eastAsia="Times New Roman" w:hAnsi="Times New Roman Bold" w:cs="Times New Roman"/>
      <w:b/>
      <w:sz w:val="28"/>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84016D"/>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84016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17</cp:revision>
  <dcterms:created xsi:type="dcterms:W3CDTF">2026-01-28T02:56:00Z</dcterms:created>
  <dcterms:modified xsi:type="dcterms:W3CDTF">2026-01-28T10:01:00Z</dcterms:modified>
</cp:coreProperties>
</file>