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657" w:rsidRPr="00DF688D" w:rsidRDefault="00415657" w:rsidP="00F1338F">
      <w:pPr>
        <w:suppressAutoHyphens/>
        <w:spacing w:before="60" w:after="60" w:line="288" w:lineRule="auto"/>
        <w:jc w:val="both"/>
        <w:outlineLvl w:val="0"/>
        <w:rPr>
          <w:rFonts w:ascii="Times New Roman" w:eastAsia="Times New Roman" w:hAnsi="Times New Roman" w:cs="Times New Roman"/>
          <w:b/>
          <w:sz w:val="26"/>
          <w:szCs w:val="26"/>
          <w:lang w:val="es-ES"/>
        </w:rPr>
      </w:pPr>
      <w:r w:rsidRPr="00DF688D">
        <w:rPr>
          <w:rFonts w:ascii="Times New Roman" w:eastAsia="Times New Roman" w:hAnsi="Times New Roman" w:cs="Times New Roman"/>
          <w:b/>
          <w:sz w:val="26"/>
          <w:szCs w:val="26"/>
          <w:lang w:val="it-IT"/>
        </w:rPr>
        <w:t xml:space="preserve">PHẦN 2. ĐIỀU </w:t>
      </w:r>
      <w:r w:rsidRPr="00DF688D">
        <w:rPr>
          <w:rFonts w:ascii="Times New Roman" w:eastAsia="Times New Roman" w:hAnsi="Times New Roman" w:cs="Times New Roman"/>
          <w:b/>
          <w:sz w:val="26"/>
          <w:szCs w:val="26"/>
          <w:lang w:val="es-ES"/>
        </w:rPr>
        <w:t>KHOẢN THAM CHIẾU</w:t>
      </w:r>
    </w:p>
    <w:p w:rsidR="00415657" w:rsidRPr="00DF688D" w:rsidRDefault="00415657" w:rsidP="00F1338F">
      <w:pPr>
        <w:suppressAutoHyphens/>
        <w:spacing w:before="60" w:after="60" w:line="288" w:lineRule="auto"/>
        <w:jc w:val="both"/>
        <w:outlineLvl w:val="0"/>
        <w:rPr>
          <w:rFonts w:ascii="Times New Roman" w:eastAsia="Times New Roman" w:hAnsi="Times New Roman" w:cs="Times New Roman"/>
          <w:b/>
          <w:sz w:val="26"/>
          <w:szCs w:val="26"/>
          <w:lang w:val="es-ES"/>
        </w:rPr>
      </w:pPr>
      <w:r w:rsidRPr="00DF688D">
        <w:rPr>
          <w:rFonts w:ascii="Times New Roman" w:eastAsia="Times New Roman" w:hAnsi="Times New Roman" w:cs="Times New Roman"/>
          <w:b/>
          <w:sz w:val="26"/>
          <w:szCs w:val="26"/>
          <w:lang w:val="es-ES"/>
        </w:rPr>
        <w:t>CHƯƠNG V. ĐIỀU KHOẢN THAM CHIẾU</w:t>
      </w:r>
    </w:p>
    <w:p w:rsidR="00415657" w:rsidRPr="00DF688D" w:rsidRDefault="00415657" w:rsidP="00F1338F">
      <w:pPr>
        <w:spacing w:before="60" w:after="60" w:line="240" w:lineRule="auto"/>
        <w:ind w:firstLine="720"/>
        <w:jc w:val="both"/>
        <w:rPr>
          <w:rFonts w:ascii="Times New Roman" w:eastAsia="Times New Roman" w:hAnsi="Times New Roman" w:cs="Times New Roman"/>
          <w:i/>
          <w:iCs/>
          <w:sz w:val="28"/>
          <w:szCs w:val="28"/>
          <w:lang w:val="it-IT"/>
        </w:rPr>
      </w:pPr>
      <w:r w:rsidRPr="00DF688D">
        <w:rPr>
          <w:rFonts w:ascii="Times New Roman" w:eastAsia="Times New Roman" w:hAnsi="Times New Roman" w:cs="Times New Roman"/>
          <w:bCs/>
          <w:i/>
          <w:iCs/>
          <w:sz w:val="28"/>
          <w:szCs w:val="28"/>
          <w:lang w:val="it-IT"/>
        </w:rPr>
        <w:t>“Điều khoản tham chiếu" bao gồm những nội dung chủ yếu sau:</w:t>
      </w:r>
    </w:p>
    <w:p w:rsidR="00AA2438" w:rsidRPr="00DF688D" w:rsidRDefault="00AA2438" w:rsidP="00F1338F">
      <w:pPr>
        <w:spacing w:before="60" w:after="60" w:line="240" w:lineRule="auto"/>
        <w:jc w:val="both"/>
        <w:rPr>
          <w:rFonts w:ascii="Times New Roman" w:eastAsia="Times New Roman" w:hAnsi="Times New Roman" w:cs="Times New Roman"/>
          <w:b/>
          <w:sz w:val="26"/>
          <w:szCs w:val="26"/>
          <w:lang w:val="it-IT"/>
        </w:rPr>
      </w:pPr>
    </w:p>
    <w:p w:rsidR="00415657" w:rsidRPr="00DF688D" w:rsidRDefault="00415657" w:rsidP="00F1338F">
      <w:pPr>
        <w:spacing w:before="60" w:after="60" w:line="240" w:lineRule="auto"/>
        <w:jc w:val="both"/>
        <w:rPr>
          <w:rFonts w:ascii="Times New Roman" w:eastAsia="Times New Roman" w:hAnsi="Times New Roman" w:cs="Times New Roman"/>
          <w:b/>
          <w:bCs/>
          <w:sz w:val="26"/>
          <w:szCs w:val="26"/>
          <w:lang w:val="it-IT"/>
        </w:rPr>
      </w:pPr>
      <w:r w:rsidRPr="00DF688D">
        <w:rPr>
          <w:rFonts w:ascii="Times New Roman" w:eastAsia="Times New Roman" w:hAnsi="Times New Roman" w:cs="Times New Roman"/>
          <w:b/>
          <w:sz w:val="26"/>
          <w:szCs w:val="26"/>
          <w:lang w:val="it-IT"/>
        </w:rPr>
        <w:t>I. Giới thiệu:</w:t>
      </w:r>
    </w:p>
    <w:p w:rsidR="00415657" w:rsidRPr="00DF688D" w:rsidRDefault="00F1338F" w:rsidP="00F1338F">
      <w:pPr>
        <w:spacing w:before="60" w:after="60" w:line="240" w:lineRule="auto"/>
        <w:ind w:firstLine="720"/>
        <w:jc w:val="both"/>
        <w:rPr>
          <w:rFonts w:ascii="Times New Roman" w:eastAsia="Times New Roman" w:hAnsi="Times New Roman" w:cs="Times New Roman"/>
          <w:bCs/>
          <w:sz w:val="28"/>
          <w:szCs w:val="28"/>
          <w:lang w:val="it-IT"/>
        </w:rPr>
      </w:pPr>
      <w:r w:rsidRPr="00DF688D">
        <w:rPr>
          <w:rFonts w:ascii="Times New Roman" w:eastAsia="Times New Roman" w:hAnsi="Times New Roman" w:cs="Times New Roman"/>
          <w:bCs/>
          <w:sz w:val="28"/>
          <w:szCs w:val="28"/>
          <w:lang w:val="it-IT"/>
        </w:rPr>
        <w:t xml:space="preserve">A. </w:t>
      </w:r>
      <w:r w:rsidR="00415657" w:rsidRPr="00DF688D">
        <w:rPr>
          <w:rFonts w:ascii="Times New Roman" w:eastAsia="Times New Roman" w:hAnsi="Times New Roman" w:cs="Times New Roman"/>
          <w:bCs/>
          <w:sz w:val="28"/>
          <w:szCs w:val="28"/>
          <w:lang w:val="it-IT"/>
        </w:rPr>
        <w:t>Mô tả khái quát về dự án</w:t>
      </w:r>
      <w:r w:rsidR="00203CE3" w:rsidRPr="00DF688D">
        <w:rPr>
          <w:rFonts w:ascii="Times New Roman" w:eastAsia="Times New Roman" w:hAnsi="Times New Roman" w:cs="Times New Roman"/>
          <w:bCs/>
          <w:sz w:val="28"/>
          <w:szCs w:val="28"/>
          <w:lang w:val="it-IT"/>
        </w:rPr>
        <w:t xml:space="preserve"> và gói thầu:</w:t>
      </w:r>
    </w:p>
    <w:p w:rsidR="00203CE3" w:rsidRPr="00DF688D" w:rsidRDefault="00203CE3" w:rsidP="00F1338F">
      <w:pPr>
        <w:tabs>
          <w:tab w:val="left" w:pos="720"/>
        </w:tabs>
        <w:spacing w:before="60" w:after="60"/>
        <w:jc w:val="both"/>
        <w:rPr>
          <w:rFonts w:ascii="Times New Roman" w:eastAsia="Times New Roman" w:hAnsi="Times New Roman" w:cs="Times New Roman"/>
          <w:iCs/>
          <w:sz w:val="28"/>
          <w:szCs w:val="28"/>
        </w:rPr>
      </w:pPr>
      <w:r w:rsidRPr="00DF688D">
        <w:rPr>
          <w:rFonts w:ascii="Times New Roman" w:eastAsia="Times New Roman" w:hAnsi="Times New Roman" w:cs="Times New Roman"/>
          <w:bCs/>
          <w:i/>
          <w:sz w:val="26"/>
          <w:szCs w:val="26"/>
          <w:lang w:val="it-IT"/>
        </w:rPr>
        <w:tab/>
      </w:r>
      <w:proofErr w:type="spellStart"/>
      <w:r w:rsidRPr="00DF688D">
        <w:rPr>
          <w:rFonts w:ascii="Times New Roman" w:eastAsia="Times New Roman" w:hAnsi="Times New Roman" w:cs="Times New Roman"/>
          <w:iCs/>
          <w:sz w:val="28"/>
          <w:szCs w:val="28"/>
        </w:rPr>
        <w:t>Quyết</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định</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số</w:t>
      </w:r>
      <w:proofErr w:type="spellEnd"/>
      <w:r w:rsidRPr="00DF688D">
        <w:rPr>
          <w:rFonts w:ascii="Times New Roman" w:eastAsia="Times New Roman" w:hAnsi="Times New Roman" w:cs="Times New Roman"/>
          <w:iCs/>
          <w:sz w:val="28"/>
          <w:szCs w:val="28"/>
        </w:rPr>
        <w:t xml:space="preserve"> 1109/QĐ-PTC2 </w:t>
      </w:r>
      <w:proofErr w:type="spellStart"/>
      <w:r w:rsidRPr="00DF688D">
        <w:rPr>
          <w:rFonts w:ascii="Times New Roman" w:eastAsia="Times New Roman" w:hAnsi="Times New Roman" w:cs="Times New Roman"/>
          <w:iCs/>
          <w:sz w:val="28"/>
          <w:szCs w:val="28"/>
        </w:rPr>
        <w:t>ngày</w:t>
      </w:r>
      <w:proofErr w:type="spellEnd"/>
      <w:r w:rsidRPr="00DF688D">
        <w:rPr>
          <w:rFonts w:ascii="Times New Roman" w:eastAsia="Times New Roman" w:hAnsi="Times New Roman" w:cs="Times New Roman"/>
          <w:iCs/>
          <w:sz w:val="28"/>
          <w:szCs w:val="28"/>
        </w:rPr>
        <w:t xml:space="preserve"> 25/06/2025 </w:t>
      </w:r>
      <w:proofErr w:type="spellStart"/>
      <w:r w:rsidRPr="00DF688D">
        <w:rPr>
          <w:rFonts w:ascii="Times New Roman" w:eastAsia="Times New Roman" w:hAnsi="Times New Roman" w:cs="Times New Roman"/>
          <w:iCs/>
          <w:sz w:val="28"/>
          <w:szCs w:val="28"/>
        </w:rPr>
        <w:t>của</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Tổng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Công</w:t>
      </w:r>
      <w:proofErr w:type="spellEnd"/>
      <w:r w:rsidRPr="00DF688D">
        <w:rPr>
          <w:rFonts w:ascii="Times New Roman" w:eastAsia="Times New Roman" w:hAnsi="Times New Roman" w:cs="Times New Roman"/>
          <w:iCs/>
          <w:sz w:val="28"/>
          <w:szCs w:val="28"/>
        </w:rPr>
        <w:t xml:space="preserve"> ty </w:t>
      </w:r>
      <w:proofErr w:type="spellStart"/>
      <w:r w:rsidRPr="00DF688D">
        <w:rPr>
          <w:rFonts w:ascii="Times New Roman" w:eastAsia="Times New Roman" w:hAnsi="Times New Roman" w:cs="Times New Roman"/>
          <w:iCs/>
          <w:sz w:val="28"/>
          <w:szCs w:val="28"/>
        </w:rPr>
        <w:t>Truyền</w:t>
      </w:r>
      <w:proofErr w:type="spellEnd"/>
      <w:r w:rsidRPr="00DF688D">
        <w:rPr>
          <w:rFonts w:ascii="Times New Roman" w:eastAsia="Times New Roman" w:hAnsi="Times New Roman" w:cs="Times New Roman"/>
          <w:i/>
          <w:iCs/>
          <w:sz w:val="28"/>
          <w:szCs w:val="28"/>
        </w:rPr>
        <w:br/>
      </w:r>
      <w:proofErr w:type="spellStart"/>
      <w:r w:rsidRPr="00DF688D">
        <w:rPr>
          <w:rFonts w:ascii="Times New Roman" w:eastAsia="Times New Roman" w:hAnsi="Times New Roman" w:cs="Times New Roman"/>
          <w:iCs/>
          <w:sz w:val="28"/>
          <w:szCs w:val="28"/>
        </w:rPr>
        <w:t>tải</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điện</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Quốc</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gia</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về</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việc</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phê</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duyệt</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dự</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án</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Nâng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cao</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khả</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năng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tải</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Đường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dây</w:t>
      </w:r>
      <w:proofErr w:type="spellEnd"/>
      <w:r w:rsidRPr="00DF688D">
        <w:rPr>
          <w:rFonts w:ascii="Times New Roman" w:eastAsia="Times New Roman" w:hAnsi="Times New Roman" w:cs="Times New Roman"/>
          <w:iCs/>
          <w:sz w:val="28"/>
          <w:szCs w:val="28"/>
        </w:rPr>
        <w:t xml:space="preserve"> 220</w:t>
      </w:r>
      <w:r w:rsidR="00EE3209" w:rsidRPr="00DF688D">
        <w:rPr>
          <w:rFonts w:ascii="Times New Roman" w:eastAsia="Times New Roman" w:hAnsi="Times New Roman" w:cs="Times New Roman"/>
          <w:iCs/>
          <w:sz w:val="28"/>
          <w:szCs w:val="28"/>
        </w:rPr>
        <w:t>kV</w:t>
      </w:r>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Dốc</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Sỏi</w:t>
      </w:r>
      <w:proofErr w:type="spellEnd"/>
      <w:r w:rsidRPr="00DF688D">
        <w:rPr>
          <w:rFonts w:ascii="Times New Roman" w:eastAsia="Times New Roman" w:hAnsi="Times New Roman" w:cs="Times New Roman"/>
          <w:iCs/>
          <w:sz w:val="28"/>
          <w:szCs w:val="28"/>
        </w:rPr>
        <w:t xml:space="preserve">-Dung </w:t>
      </w:r>
      <w:proofErr w:type="spellStart"/>
      <w:r w:rsidRPr="00DF688D">
        <w:rPr>
          <w:rFonts w:ascii="Times New Roman" w:eastAsia="Times New Roman" w:hAnsi="Times New Roman" w:cs="Times New Roman"/>
          <w:iCs/>
          <w:sz w:val="28"/>
          <w:szCs w:val="28"/>
        </w:rPr>
        <w:t>Quất</w:t>
      </w:r>
      <w:proofErr w:type="spellEnd"/>
      <w:r w:rsidRPr="00DF688D">
        <w:rPr>
          <w:rFonts w:ascii="Times New Roman" w:eastAsia="Times New Roman" w:hAnsi="Times New Roman" w:cs="Times New Roman"/>
          <w:iCs/>
          <w:sz w:val="28"/>
          <w:szCs w:val="28"/>
        </w:rPr>
        <w:t>.</w:t>
      </w:r>
    </w:p>
    <w:p w:rsidR="00203CE3" w:rsidRPr="00DF688D" w:rsidRDefault="00203CE3" w:rsidP="00F1338F">
      <w:pPr>
        <w:spacing w:before="60" w:after="60" w:line="240" w:lineRule="auto"/>
        <w:ind w:firstLine="567"/>
        <w:jc w:val="both"/>
        <w:rPr>
          <w:rFonts w:ascii="Times New Roman" w:eastAsia="Times New Roman" w:hAnsi="Times New Roman" w:cs="Times New Roman"/>
          <w:iCs/>
          <w:sz w:val="28"/>
          <w:szCs w:val="28"/>
        </w:rPr>
      </w:pPr>
      <w:r w:rsidRPr="00DF688D">
        <w:rPr>
          <w:rFonts w:ascii="Times New Roman" w:eastAsia="Times New Roman" w:hAnsi="Times New Roman" w:cs="Times New Roman"/>
          <w:bCs/>
          <w:iCs/>
          <w:sz w:val="28"/>
          <w:szCs w:val="28"/>
          <w:lang w:val="it-IT"/>
        </w:rPr>
        <w:t xml:space="preserve">Quyết định số </w:t>
      </w:r>
      <w:r w:rsidR="00EE3209" w:rsidRPr="00DF688D">
        <w:rPr>
          <w:rFonts w:ascii="Times New Roman" w:eastAsia="Times New Roman" w:hAnsi="Times New Roman" w:cs="Times New Roman"/>
          <w:bCs/>
          <w:iCs/>
          <w:sz w:val="28"/>
          <w:szCs w:val="28"/>
          <w:lang w:val="it-IT"/>
        </w:rPr>
        <w:t>1526</w:t>
      </w:r>
      <w:r w:rsidRPr="00DF688D">
        <w:rPr>
          <w:rFonts w:ascii="Times New Roman" w:eastAsia="Times New Roman" w:hAnsi="Times New Roman" w:cs="Times New Roman"/>
          <w:bCs/>
          <w:iCs/>
          <w:sz w:val="28"/>
          <w:szCs w:val="28"/>
          <w:lang w:val="it-IT"/>
        </w:rPr>
        <w:t xml:space="preserve">/QĐ-PTC2 ngày </w:t>
      </w:r>
      <w:r w:rsidR="0016673B" w:rsidRPr="00DF688D">
        <w:rPr>
          <w:rFonts w:ascii="Times New Roman" w:eastAsia="Times New Roman" w:hAnsi="Times New Roman" w:cs="Times New Roman"/>
          <w:bCs/>
          <w:iCs/>
          <w:sz w:val="28"/>
          <w:szCs w:val="28"/>
          <w:lang w:val="it-IT"/>
        </w:rPr>
        <w:t>03/07/</w:t>
      </w:r>
      <w:r w:rsidRPr="00DF688D">
        <w:rPr>
          <w:rFonts w:ascii="Times New Roman" w:eastAsia="Times New Roman" w:hAnsi="Times New Roman" w:cs="Times New Roman"/>
          <w:bCs/>
          <w:iCs/>
          <w:sz w:val="28"/>
          <w:szCs w:val="28"/>
          <w:lang w:val="it-IT"/>
        </w:rPr>
        <w:t xml:space="preserve">2025 của Công ty Truyền tải điện 2 (PTC2) về việc phê duyệt kế hoạch lựa chọn nhà thầu (đợt </w:t>
      </w:r>
      <w:r w:rsidR="0016673B" w:rsidRPr="00DF688D">
        <w:rPr>
          <w:rFonts w:ascii="Times New Roman" w:eastAsia="Times New Roman" w:hAnsi="Times New Roman" w:cs="Times New Roman"/>
          <w:bCs/>
          <w:iCs/>
          <w:sz w:val="28"/>
          <w:szCs w:val="28"/>
          <w:lang w:val="it-IT"/>
        </w:rPr>
        <w:t>2</w:t>
      </w:r>
      <w:r w:rsidRPr="00DF688D">
        <w:rPr>
          <w:rFonts w:ascii="Times New Roman" w:eastAsia="Times New Roman" w:hAnsi="Times New Roman" w:cs="Times New Roman"/>
          <w:bCs/>
          <w:iCs/>
          <w:sz w:val="28"/>
          <w:szCs w:val="28"/>
          <w:lang w:val="it-IT"/>
        </w:rPr>
        <w:t xml:space="preserve">) Dự án: </w:t>
      </w:r>
      <w:proofErr w:type="spellStart"/>
      <w:r w:rsidR="0016673B" w:rsidRPr="00DF688D">
        <w:rPr>
          <w:rFonts w:ascii="Times New Roman" w:eastAsia="Times New Roman" w:hAnsi="Times New Roman" w:cs="Times New Roman"/>
          <w:iCs/>
          <w:sz w:val="28"/>
          <w:szCs w:val="28"/>
        </w:rPr>
        <w:t>Nâng</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cao</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khả</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năng</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tải</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Đường</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dây</w:t>
      </w:r>
      <w:proofErr w:type="spellEnd"/>
      <w:r w:rsidR="0016673B" w:rsidRPr="00DF688D">
        <w:rPr>
          <w:rFonts w:ascii="Times New Roman" w:eastAsia="Times New Roman" w:hAnsi="Times New Roman" w:cs="Times New Roman"/>
          <w:iCs/>
          <w:sz w:val="28"/>
          <w:szCs w:val="28"/>
        </w:rPr>
        <w:t xml:space="preserve"> 220kV </w:t>
      </w:r>
      <w:proofErr w:type="spellStart"/>
      <w:r w:rsidR="0016673B" w:rsidRPr="00DF688D">
        <w:rPr>
          <w:rFonts w:ascii="Times New Roman" w:eastAsia="Times New Roman" w:hAnsi="Times New Roman" w:cs="Times New Roman"/>
          <w:iCs/>
          <w:sz w:val="28"/>
          <w:szCs w:val="28"/>
        </w:rPr>
        <w:t>Dốc</w:t>
      </w:r>
      <w:proofErr w:type="spellEnd"/>
      <w:r w:rsidR="0016673B" w:rsidRPr="00DF688D">
        <w:rPr>
          <w:rFonts w:ascii="Times New Roman" w:eastAsia="Times New Roman" w:hAnsi="Times New Roman" w:cs="Times New Roman"/>
          <w:iCs/>
          <w:sz w:val="28"/>
          <w:szCs w:val="28"/>
        </w:rPr>
        <w:t xml:space="preserve"> </w:t>
      </w:r>
      <w:proofErr w:type="spellStart"/>
      <w:r w:rsidR="0016673B" w:rsidRPr="00DF688D">
        <w:rPr>
          <w:rFonts w:ascii="Times New Roman" w:eastAsia="Times New Roman" w:hAnsi="Times New Roman" w:cs="Times New Roman"/>
          <w:iCs/>
          <w:sz w:val="28"/>
          <w:szCs w:val="28"/>
        </w:rPr>
        <w:t>Sỏi</w:t>
      </w:r>
      <w:proofErr w:type="spellEnd"/>
      <w:r w:rsidR="0016673B" w:rsidRPr="00DF688D">
        <w:rPr>
          <w:rFonts w:ascii="Times New Roman" w:eastAsia="Times New Roman" w:hAnsi="Times New Roman" w:cs="Times New Roman"/>
          <w:iCs/>
          <w:sz w:val="28"/>
          <w:szCs w:val="28"/>
        </w:rPr>
        <w:t xml:space="preserve">-Dung </w:t>
      </w:r>
      <w:proofErr w:type="spellStart"/>
      <w:r w:rsidR="0016673B" w:rsidRPr="00DF688D">
        <w:rPr>
          <w:rFonts w:ascii="Times New Roman" w:eastAsia="Times New Roman" w:hAnsi="Times New Roman" w:cs="Times New Roman"/>
          <w:iCs/>
          <w:sz w:val="28"/>
          <w:szCs w:val="28"/>
        </w:rPr>
        <w:t>Quất</w:t>
      </w:r>
      <w:proofErr w:type="spellEnd"/>
      <w:r w:rsidR="00F1338F" w:rsidRPr="00DF688D">
        <w:rPr>
          <w:rFonts w:ascii="Times New Roman" w:eastAsia="Times New Roman" w:hAnsi="Times New Roman" w:cs="Times New Roman"/>
          <w:iCs/>
          <w:sz w:val="28"/>
          <w:szCs w:val="28"/>
        </w:rPr>
        <w:t>.</w:t>
      </w:r>
    </w:p>
    <w:p w:rsidR="00F1338F" w:rsidRPr="00F1338F" w:rsidRDefault="00F1338F" w:rsidP="00F1338F">
      <w:pPr>
        <w:spacing w:before="60" w:after="60" w:line="240" w:lineRule="auto"/>
        <w:ind w:firstLine="567"/>
        <w:jc w:val="both"/>
        <w:rPr>
          <w:rFonts w:ascii="Times New Roman" w:eastAsia="Times New Roman" w:hAnsi="Times New Roman" w:cs="Times New Roman"/>
          <w:b/>
          <w:bCs/>
          <w:iCs/>
          <w:sz w:val="28"/>
          <w:szCs w:val="28"/>
          <w:lang w:val="it-IT"/>
        </w:rPr>
      </w:pPr>
      <w:r w:rsidRPr="00F1338F">
        <w:rPr>
          <w:rFonts w:ascii="Times New Roman" w:eastAsia="Times New Roman" w:hAnsi="Times New Roman" w:cs="Times New Roman"/>
          <w:bCs/>
          <w:iCs/>
          <w:sz w:val="28"/>
          <w:szCs w:val="28"/>
          <w:lang w:val="it-IT"/>
        </w:rPr>
        <w:t xml:space="preserve">Quyết định số </w:t>
      </w:r>
      <w:r w:rsidRPr="00DF688D">
        <w:rPr>
          <w:rFonts w:ascii="Times New Roman" w:eastAsia="Times New Roman" w:hAnsi="Times New Roman" w:cs="Times New Roman"/>
          <w:bCs/>
          <w:iCs/>
          <w:sz w:val="28"/>
          <w:szCs w:val="28"/>
          <w:lang w:val="it-IT"/>
        </w:rPr>
        <w:t>130</w:t>
      </w:r>
      <w:r w:rsidRPr="00F1338F">
        <w:rPr>
          <w:rFonts w:ascii="Times New Roman" w:eastAsia="Times New Roman" w:hAnsi="Times New Roman" w:cs="Times New Roman"/>
          <w:bCs/>
          <w:iCs/>
          <w:sz w:val="28"/>
          <w:szCs w:val="28"/>
          <w:lang w:val="it-IT"/>
        </w:rPr>
        <w:t xml:space="preserve">/QĐ-PTC2 ngày </w:t>
      </w:r>
      <w:r w:rsidRPr="00DF688D">
        <w:rPr>
          <w:rFonts w:ascii="Times New Roman" w:eastAsia="Times New Roman" w:hAnsi="Times New Roman" w:cs="Times New Roman"/>
          <w:bCs/>
          <w:iCs/>
          <w:sz w:val="28"/>
          <w:szCs w:val="28"/>
          <w:lang w:val="it-IT"/>
        </w:rPr>
        <w:t>23</w:t>
      </w:r>
      <w:r w:rsidRPr="00F1338F">
        <w:rPr>
          <w:rFonts w:ascii="Times New Roman" w:eastAsia="Times New Roman" w:hAnsi="Times New Roman" w:cs="Times New Roman"/>
          <w:bCs/>
          <w:iCs/>
          <w:sz w:val="28"/>
          <w:szCs w:val="28"/>
          <w:lang w:val="it-IT"/>
        </w:rPr>
        <w:t xml:space="preserve">/01/2026 của Công ty Truyền tải điện 2 (PTC2) về việc phê duyệt dự toán gói thầu số </w:t>
      </w:r>
      <w:r w:rsidRPr="00DF688D">
        <w:rPr>
          <w:rFonts w:ascii="Times New Roman" w:eastAsia="Times New Roman" w:hAnsi="Times New Roman" w:cs="Times New Roman"/>
          <w:bCs/>
          <w:iCs/>
          <w:sz w:val="28"/>
          <w:szCs w:val="28"/>
          <w:lang w:val="it-IT"/>
        </w:rPr>
        <w:t>9</w:t>
      </w:r>
      <w:r w:rsidRPr="00F1338F">
        <w:rPr>
          <w:rFonts w:ascii="Times New Roman" w:eastAsia="Times New Roman" w:hAnsi="Times New Roman" w:cs="Times New Roman"/>
          <w:bCs/>
          <w:iCs/>
          <w:sz w:val="28"/>
          <w:szCs w:val="28"/>
          <w:lang w:val="it-IT"/>
        </w:rPr>
        <w:t xml:space="preserve">: Tư vấn kiểm toán công trình Dự án: </w:t>
      </w:r>
      <w:proofErr w:type="spellStart"/>
      <w:r w:rsidRPr="00DF688D">
        <w:rPr>
          <w:rFonts w:ascii="Times New Roman" w:eastAsia="Times New Roman" w:hAnsi="Times New Roman" w:cs="Times New Roman"/>
          <w:iCs/>
          <w:sz w:val="28"/>
          <w:szCs w:val="28"/>
        </w:rPr>
        <w:t>Nâng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cao</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khả</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năng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tải</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Đường</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dây</w:t>
      </w:r>
      <w:proofErr w:type="spellEnd"/>
      <w:r w:rsidRPr="00DF688D">
        <w:rPr>
          <w:rFonts w:ascii="Times New Roman" w:eastAsia="Times New Roman" w:hAnsi="Times New Roman" w:cs="Times New Roman"/>
          <w:iCs/>
          <w:sz w:val="28"/>
          <w:szCs w:val="28"/>
        </w:rPr>
        <w:t xml:space="preserve"> 220kV </w:t>
      </w:r>
      <w:proofErr w:type="spellStart"/>
      <w:r w:rsidRPr="00DF688D">
        <w:rPr>
          <w:rFonts w:ascii="Times New Roman" w:eastAsia="Times New Roman" w:hAnsi="Times New Roman" w:cs="Times New Roman"/>
          <w:iCs/>
          <w:sz w:val="28"/>
          <w:szCs w:val="28"/>
        </w:rPr>
        <w:t>Dốc</w:t>
      </w:r>
      <w:proofErr w:type="spellEnd"/>
      <w:r w:rsidRPr="00DF688D">
        <w:rPr>
          <w:rFonts w:ascii="Times New Roman" w:eastAsia="Times New Roman" w:hAnsi="Times New Roman" w:cs="Times New Roman"/>
          <w:iCs/>
          <w:sz w:val="28"/>
          <w:szCs w:val="28"/>
        </w:rPr>
        <w:t xml:space="preserve"> </w:t>
      </w:r>
      <w:proofErr w:type="spellStart"/>
      <w:r w:rsidRPr="00DF688D">
        <w:rPr>
          <w:rFonts w:ascii="Times New Roman" w:eastAsia="Times New Roman" w:hAnsi="Times New Roman" w:cs="Times New Roman"/>
          <w:iCs/>
          <w:sz w:val="28"/>
          <w:szCs w:val="28"/>
        </w:rPr>
        <w:t>Sỏi</w:t>
      </w:r>
      <w:proofErr w:type="spellEnd"/>
      <w:r w:rsidRPr="00DF688D">
        <w:rPr>
          <w:rFonts w:ascii="Times New Roman" w:eastAsia="Times New Roman" w:hAnsi="Times New Roman" w:cs="Times New Roman"/>
          <w:iCs/>
          <w:sz w:val="28"/>
          <w:szCs w:val="28"/>
        </w:rPr>
        <w:t xml:space="preserve">-Dung </w:t>
      </w:r>
      <w:proofErr w:type="spellStart"/>
      <w:r w:rsidRPr="00DF688D">
        <w:rPr>
          <w:rFonts w:ascii="Times New Roman" w:eastAsia="Times New Roman" w:hAnsi="Times New Roman" w:cs="Times New Roman"/>
          <w:iCs/>
          <w:sz w:val="28"/>
          <w:szCs w:val="28"/>
        </w:rPr>
        <w:t>Quất</w:t>
      </w:r>
      <w:proofErr w:type="spellEnd"/>
      <w:r w:rsidRPr="00F1338F">
        <w:rPr>
          <w:rFonts w:ascii="Times New Roman" w:eastAsia="Times New Roman" w:hAnsi="Times New Roman" w:cs="Times New Roman"/>
          <w:sz w:val="28"/>
          <w:szCs w:val="28"/>
          <w:lang w:eastAsia="x-none"/>
        </w:rPr>
        <w:t>;</w:t>
      </w:r>
    </w:p>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 xml:space="preserve">1.Tên dự án: </w:t>
      </w:r>
      <w:proofErr w:type="spellStart"/>
      <w:r w:rsidRPr="00DF688D">
        <w:rPr>
          <w:rFonts w:ascii="Times New Roman" w:eastAsia="Times New Roman" w:hAnsi="Times New Roman" w:cs="Times New Roman"/>
          <w:sz w:val="28"/>
          <w:szCs w:val="28"/>
        </w:rPr>
        <w:t>Nâng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khả</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năng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tải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đường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dây</w:t>
      </w:r>
      <w:proofErr w:type="spellEnd"/>
      <w:r w:rsidRPr="00DF688D">
        <w:rPr>
          <w:rFonts w:ascii="Times New Roman" w:eastAsia="Times New Roman" w:hAnsi="Times New Roman" w:cs="Times New Roman"/>
          <w:sz w:val="28"/>
          <w:szCs w:val="28"/>
        </w:rPr>
        <w:t xml:space="preserve"> 220kV </w:t>
      </w:r>
      <w:proofErr w:type="spellStart"/>
      <w:r w:rsidRPr="00DF688D">
        <w:rPr>
          <w:rFonts w:ascii="Times New Roman" w:eastAsia="Times New Roman" w:hAnsi="Times New Roman" w:cs="Times New Roman"/>
          <w:sz w:val="28"/>
          <w:szCs w:val="28"/>
        </w:rPr>
        <w:t>Dốc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Sỏi</w:t>
      </w:r>
      <w:proofErr w:type="spellEnd"/>
      <w:r w:rsidRPr="00DF688D">
        <w:rPr>
          <w:rFonts w:ascii="Times New Roman" w:eastAsia="Times New Roman" w:hAnsi="Times New Roman" w:cs="Times New Roman"/>
          <w:sz w:val="28"/>
          <w:szCs w:val="28"/>
        </w:rPr>
        <w:t xml:space="preserve"> – Dung </w:t>
      </w:r>
      <w:proofErr w:type="spellStart"/>
      <w:r w:rsidRPr="00DF688D">
        <w:rPr>
          <w:rFonts w:ascii="Times New Roman" w:eastAsia="Times New Roman" w:hAnsi="Times New Roman" w:cs="Times New Roman"/>
          <w:sz w:val="28"/>
          <w:szCs w:val="28"/>
        </w:rPr>
        <w:t>Quất</w:t>
      </w:r>
      <w:proofErr w:type="spellEnd"/>
      <w:r w:rsidRPr="00DF688D">
        <w:rPr>
          <w:rFonts w:ascii="Times New Roman" w:eastAsia="Times New Roman" w:hAnsi="Times New Roman" w:cs="Times New Roman"/>
          <w:sz w:val="28"/>
          <w:szCs w:val="28"/>
        </w:rPr>
        <w:t>.</w:t>
      </w:r>
    </w:p>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2. Địa điểm xây dựng; hướng tuyến công trình:</w:t>
      </w:r>
    </w:p>
    <w:p w:rsidR="00CF4325" w:rsidRPr="00DF688D" w:rsidRDefault="00CF4325" w:rsidP="00F1338F">
      <w:pPr>
        <w:spacing w:after="120" w:line="240" w:lineRule="auto"/>
        <w:ind w:firstLine="720"/>
        <w:jc w:val="both"/>
        <w:rPr>
          <w:rFonts w:ascii="Times New Roman" w:eastAsia="Times New Roman" w:hAnsi="Times New Roman" w:cs="Times New Roman"/>
          <w:sz w:val="28"/>
          <w:szCs w:val="28"/>
        </w:rPr>
      </w:pPr>
      <w:r w:rsidRPr="00DF688D">
        <w:rPr>
          <w:rFonts w:ascii="Times New Roman" w:eastAsia="Times New Roman" w:hAnsi="Times New Roman" w:cs="Times New Roman"/>
          <w:sz w:val="28"/>
          <w:szCs w:val="28"/>
          <w:lang w:val="it-IT"/>
        </w:rPr>
        <w:t>-</w:t>
      </w:r>
      <w:proofErr w:type="spellStart"/>
      <w:r w:rsidRPr="00DF688D">
        <w:rPr>
          <w:rFonts w:ascii="Times New Roman" w:eastAsia="Times New Roman" w:hAnsi="Times New Roman" w:cs="Times New Roman"/>
          <w:sz w:val="28"/>
          <w:szCs w:val="28"/>
          <w:lang w:val="fr-FR"/>
        </w:rPr>
        <w:t>Tuyến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rPr>
        <w:t>đường</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dây</w:t>
      </w:r>
      <w:proofErr w:type="spellEnd"/>
      <w:r w:rsidRPr="00DF688D">
        <w:rPr>
          <w:rFonts w:ascii="Times New Roman" w:eastAsia="Times New Roman" w:hAnsi="Times New Roman" w:cs="Times New Roman"/>
          <w:sz w:val="28"/>
          <w:szCs w:val="28"/>
          <w:lang w:val="fr-FR"/>
        </w:rPr>
        <w:t xml:space="preserve"> 220kV </w:t>
      </w:r>
      <w:proofErr w:type="spellStart"/>
      <w:r w:rsidRPr="00DF688D">
        <w:rPr>
          <w:rFonts w:ascii="Times New Roman" w:eastAsia="Times New Roman" w:hAnsi="Times New Roman" w:cs="Times New Roman"/>
          <w:sz w:val="28"/>
          <w:szCs w:val="28"/>
          <w:lang w:val="fr-FR"/>
        </w:rPr>
        <w:t>Dốc</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Sỏi</w:t>
      </w:r>
      <w:proofErr w:type="spellEnd"/>
      <w:r w:rsidRPr="00DF688D">
        <w:rPr>
          <w:rFonts w:ascii="Times New Roman" w:eastAsia="Times New Roman" w:hAnsi="Times New Roman" w:cs="Times New Roman"/>
          <w:sz w:val="28"/>
          <w:szCs w:val="28"/>
          <w:lang w:val="fr-FR"/>
        </w:rPr>
        <w:t xml:space="preserve"> – Dung </w:t>
      </w:r>
      <w:proofErr w:type="spellStart"/>
      <w:r w:rsidRPr="00DF688D">
        <w:rPr>
          <w:rFonts w:ascii="Times New Roman" w:eastAsia="Times New Roman" w:hAnsi="Times New Roman" w:cs="Times New Roman"/>
          <w:sz w:val="28"/>
          <w:szCs w:val="28"/>
          <w:lang w:val="fr-FR"/>
        </w:rPr>
        <w:t>Quất</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hiện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hữu</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xuất</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phát</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từ</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vị</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trí</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trụ</w:t>
      </w:r>
      <w:proofErr w:type="spellEnd"/>
      <w:r w:rsidRPr="00DF688D">
        <w:rPr>
          <w:rFonts w:ascii="Times New Roman" w:eastAsia="Times New Roman" w:hAnsi="Times New Roman" w:cs="Times New Roman"/>
          <w:sz w:val="28"/>
          <w:szCs w:val="28"/>
          <w:lang w:val="fr-FR"/>
        </w:rPr>
        <w:t xml:space="preserve"> T1 </w:t>
      </w:r>
      <w:proofErr w:type="spellStart"/>
      <w:r w:rsidRPr="00DF688D">
        <w:rPr>
          <w:rFonts w:ascii="Times New Roman" w:eastAsia="Times New Roman" w:hAnsi="Times New Roman" w:cs="Times New Roman"/>
          <w:sz w:val="28"/>
          <w:szCs w:val="28"/>
          <w:lang w:val="fr-FR"/>
        </w:rPr>
        <w:t>tại</w:t>
      </w:r>
      <w:proofErr w:type="spellEnd"/>
      <w:r w:rsidRPr="00DF688D">
        <w:rPr>
          <w:rFonts w:ascii="Times New Roman" w:eastAsia="Times New Roman" w:hAnsi="Times New Roman" w:cs="Times New Roman"/>
          <w:sz w:val="28"/>
          <w:szCs w:val="28"/>
          <w:lang w:val="fr-FR"/>
        </w:rPr>
        <w:t xml:space="preserve"> TBA 500kV </w:t>
      </w:r>
      <w:proofErr w:type="spellStart"/>
      <w:r w:rsidRPr="00DF688D">
        <w:rPr>
          <w:rFonts w:ascii="Times New Roman" w:eastAsia="Times New Roman" w:hAnsi="Times New Roman" w:cs="Times New Roman"/>
          <w:sz w:val="28"/>
          <w:szCs w:val="28"/>
          <w:lang w:val="fr-FR"/>
        </w:rPr>
        <w:t>Dốc</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Sỏi</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hiện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hữu</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và</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kết</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thúc</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tại</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vị</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trí</w:t>
      </w:r>
      <w:proofErr w:type="spellEnd"/>
      <w:r w:rsidRPr="00DF688D">
        <w:rPr>
          <w:rFonts w:ascii="Times New Roman" w:eastAsia="Times New Roman" w:hAnsi="Times New Roman" w:cs="Times New Roman"/>
          <w:sz w:val="28"/>
          <w:szCs w:val="28"/>
          <w:lang w:val="fr-FR"/>
        </w:rPr>
        <w:t xml:space="preserve"> T29 </w:t>
      </w:r>
      <w:proofErr w:type="spellStart"/>
      <w:r w:rsidRPr="00DF688D">
        <w:rPr>
          <w:rFonts w:ascii="Times New Roman" w:eastAsia="Times New Roman" w:hAnsi="Times New Roman" w:cs="Times New Roman"/>
          <w:sz w:val="28"/>
          <w:szCs w:val="28"/>
          <w:lang w:val="fr-FR"/>
        </w:rPr>
        <w:t>nằm</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trước</w:t>
      </w:r>
      <w:proofErr w:type="spellEnd"/>
      <w:r w:rsidRPr="00DF688D">
        <w:rPr>
          <w:rFonts w:ascii="Times New Roman" w:eastAsia="Times New Roman" w:hAnsi="Times New Roman" w:cs="Times New Roman"/>
          <w:sz w:val="28"/>
          <w:szCs w:val="28"/>
          <w:lang w:val="fr-FR"/>
        </w:rPr>
        <w:t xml:space="preserve"> TBA 220kV Dung </w:t>
      </w:r>
      <w:proofErr w:type="spellStart"/>
      <w:r w:rsidRPr="00DF688D">
        <w:rPr>
          <w:rFonts w:ascii="Times New Roman" w:eastAsia="Times New Roman" w:hAnsi="Times New Roman" w:cs="Times New Roman"/>
          <w:sz w:val="28"/>
          <w:szCs w:val="28"/>
          <w:lang w:val="fr-FR"/>
        </w:rPr>
        <w:t>Quất</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hiện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hữu</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Chiều</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dài</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tuyến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khoảng</w:t>
      </w:r>
      <w:proofErr w:type="spellEnd"/>
      <w:r w:rsidRPr="00DF688D">
        <w:rPr>
          <w:rFonts w:ascii="Times New Roman" w:eastAsia="Times New Roman" w:hAnsi="Times New Roman" w:cs="Times New Roman"/>
          <w:sz w:val="28"/>
          <w:szCs w:val="28"/>
          <w:lang w:val="fr-FR"/>
        </w:rPr>
        <w:t xml:space="preserve"> 8,8km. </w:t>
      </w:r>
      <w:proofErr w:type="spellStart"/>
      <w:r w:rsidRPr="00DF688D">
        <w:rPr>
          <w:rFonts w:ascii="Times New Roman" w:eastAsia="Times New Roman" w:hAnsi="Times New Roman" w:cs="Times New Roman"/>
          <w:sz w:val="28"/>
          <w:szCs w:val="28"/>
          <w:lang w:val="fr-FR"/>
        </w:rPr>
        <w:t>Tuyến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đi</w:t>
      </w:r>
      <w:proofErr w:type="spellEnd"/>
      <w:r w:rsidRPr="00DF688D">
        <w:rPr>
          <w:rFonts w:ascii="Times New Roman" w:eastAsia="Times New Roman" w:hAnsi="Times New Roman" w:cs="Times New Roman"/>
          <w:sz w:val="28"/>
          <w:szCs w:val="28"/>
          <w:lang w:val="fr-FR"/>
        </w:rPr>
        <w:t xml:space="preserve"> qua </w:t>
      </w:r>
      <w:proofErr w:type="spellStart"/>
      <w:r w:rsidRPr="00DF688D">
        <w:rPr>
          <w:rFonts w:ascii="Times New Roman" w:eastAsia="Times New Roman" w:hAnsi="Times New Roman" w:cs="Times New Roman"/>
          <w:sz w:val="28"/>
          <w:szCs w:val="28"/>
          <w:lang w:val="fr-FR"/>
        </w:rPr>
        <w:t>địa</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phận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xã</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Bình</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Sơn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và</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xã</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Vạn</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Tường</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tỉnh</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Quảng</w:t>
      </w:r>
      <w:proofErr w:type="spellEnd"/>
      <w:r w:rsidRPr="00DF688D">
        <w:rPr>
          <w:rFonts w:ascii="Times New Roman" w:eastAsia="Times New Roman" w:hAnsi="Times New Roman" w:cs="Times New Roman"/>
          <w:sz w:val="28"/>
          <w:szCs w:val="28"/>
          <w:lang w:val="fr-FR"/>
        </w:rPr>
        <w:t xml:space="preserve"> </w:t>
      </w:r>
      <w:proofErr w:type="spellStart"/>
      <w:r w:rsidRPr="00DF688D">
        <w:rPr>
          <w:rFonts w:ascii="Times New Roman" w:eastAsia="Times New Roman" w:hAnsi="Times New Roman" w:cs="Times New Roman"/>
          <w:sz w:val="28"/>
          <w:szCs w:val="28"/>
          <w:lang w:val="fr-FR"/>
        </w:rPr>
        <w:t>Ngãi</w:t>
      </w:r>
      <w:proofErr w:type="spellEnd"/>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3</w:t>
      </w:r>
      <w:r w:rsidR="00415657" w:rsidRPr="00DF688D">
        <w:rPr>
          <w:rFonts w:ascii="Times New Roman" w:eastAsia="Times New Roman" w:hAnsi="Times New Roman" w:cs="Times New Roman"/>
          <w:sz w:val="28"/>
          <w:szCs w:val="28"/>
          <w:lang w:val="it-IT"/>
        </w:rPr>
        <w:t>. Người quyết định đầu tư: Tổng công ty Truyền tải điện Quốc gia (EVNNPT).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4</w:t>
      </w:r>
      <w:r w:rsidR="00415657" w:rsidRPr="00DF688D">
        <w:rPr>
          <w:rFonts w:ascii="Times New Roman" w:eastAsia="Times New Roman" w:hAnsi="Times New Roman" w:cs="Times New Roman"/>
          <w:sz w:val="28"/>
          <w:szCs w:val="28"/>
          <w:lang w:val="it-IT"/>
        </w:rPr>
        <w:t>. Chủ đầu tư: Công ty Truyền tải điện 2 (PTC2).</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5</w:t>
      </w:r>
      <w:r w:rsidR="00415657" w:rsidRPr="00DF688D">
        <w:rPr>
          <w:rFonts w:ascii="Times New Roman" w:eastAsia="Times New Roman" w:hAnsi="Times New Roman" w:cs="Times New Roman"/>
          <w:sz w:val="28"/>
          <w:szCs w:val="28"/>
          <w:lang w:val="it-IT"/>
        </w:rPr>
        <w:t xml:space="preserve">. Tổ chức Tư vấn lập BCNCKT ĐTXD, Thiết kế cơ sở và khảo sát xây dựng: Công ty cổ phần Tư vấn xây dựng Điện 3 (PECC3). </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rPr>
      </w:pPr>
      <w:r w:rsidRPr="00DF688D">
        <w:rPr>
          <w:rFonts w:ascii="Times New Roman" w:eastAsia="Times New Roman" w:hAnsi="Times New Roman" w:cs="Times New Roman"/>
          <w:sz w:val="28"/>
          <w:szCs w:val="28"/>
          <w:lang w:val="it-IT"/>
        </w:rPr>
        <w:tab/>
        <w:t>6</w:t>
      </w:r>
      <w:r w:rsidR="00415657" w:rsidRPr="00DF688D">
        <w:rPr>
          <w:rFonts w:ascii="Times New Roman" w:eastAsia="Times New Roman" w:hAnsi="Times New Roman" w:cs="Times New Roman"/>
          <w:sz w:val="28"/>
          <w:szCs w:val="28"/>
          <w:lang w:val="it-IT"/>
        </w:rPr>
        <w:t>. Loại, nhóm dự án: Dự án đầu tư xây dựng công trình công nghiệp, nhóm C. Loại, cấp công trình Công trình công nghiệp Năng lượng, cấp I. Thời hạn sử dụng công trình chính theo thiết kế:  Thời gian sử dụng của công trình là 30 năm đối với ĐDK 220kV (theo Điều II.5.20 – Phần II: Hệ thống đường dẫn điện 11 TCN - 19 - 2006</w:t>
      </w:r>
      <w:r w:rsidR="00415657" w:rsidRPr="00DF688D">
        <w:rPr>
          <w:rFonts w:ascii="Times New Roman" w:eastAsia="Times New Roman" w:hAnsi="Times New Roman" w:cs="Times New Roman"/>
          <w:sz w:val="28"/>
          <w:szCs w:val="28"/>
        </w:rPr>
        <w: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 xml:space="preserve">7. </w:t>
      </w:r>
      <w:r w:rsidR="00415657" w:rsidRPr="00DF688D">
        <w:rPr>
          <w:rFonts w:ascii="Times New Roman" w:eastAsia="Times New Roman" w:hAnsi="Times New Roman" w:cs="Times New Roman"/>
          <w:sz w:val="28"/>
          <w:szCs w:val="28"/>
          <w:lang w:val="it-IT"/>
        </w:rPr>
        <w:t>Mục tiêu dự án</w:t>
      </w:r>
    </w:p>
    <w:p w:rsidR="00415657" w:rsidRPr="00DF688D" w:rsidRDefault="00415657" w:rsidP="00F1338F">
      <w:pPr>
        <w:numPr>
          <w:ilvl w:val="0"/>
          <w:numId w:val="4"/>
        </w:numPr>
        <w:spacing w:after="120" w:line="240" w:lineRule="auto"/>
        <w:jc w:val="both"/>
        <w:rPr>
          <w:rFonts w:ascii="Times New Roman" w:eastAsia="Times New Roman" w:hAnsi="Times New Roman" w:cs="Times New Roman"/>
          <w:sz w:val="28"/>
          <w:szCs w:val="28"/>
        </w:rPr>
      </w:pPr>
      <w:proofErr w:type="spellStart"/>
      <w:r w:rsidRPr="00DF688D">
        <w:rPr>
          <w:rFonts w:ascii="Times New Roman" w:eastAsia="Times New Roman" w:hAnsi="Times New Roman" w:cs="Times New Roman"/>
          <w:sz w:val="28"/>
          <w:szCs w:val="28"/>
        </w:rPr>
        <w:t>Tăng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cường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khả</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năng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truyền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tải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cho</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đường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dây</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hiện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hữu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đáp</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ứng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nhu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cầu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phụ</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tải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vực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nhằm</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phục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vụ</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phát</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triển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kinh</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tế</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xã</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hội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tỉnh</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Quảng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Ngãi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và</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vực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lân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cận</w:t>
      </w:r>
      <w:proofErr w:type="spellEnd"/>
      <w:r w:rsidRPr="00DF688D">
        <w:rPr>
          <w:rFonts w:ascii="Times New Roman" w:eastAsia="Times New Roman" w:hAnsi="Times New Roman" w:cs="Times New Roman"/>
          <w:sz w:val="28"/>
          <w:szCs w:val="28"/>
        </w:rPr>
        <w:t>;</w:t>
      </w:r>
    </w:p>
    <w:p w:rsidR="00415657" w:rsidRPr="00DF688D" w:rsidRDefault="00415657" w:rsidP="00F1338F">
      <w:pPr>
        <w:numPr>
          <w:ilvl w:val="0"/>
          <w:numId w:val="4"/>
        </w:numPr>
        <w:spacing w:after="120" w:line="240" w:lineRule="auto"/>
        <w:jc w:val="both"/>
        <w:rPr>
          <w:rFonts w:ascii="Times New Roman" w:eastAsia="Times New Roman" w:hAnsi="Times New Roman" w:cs="Times New Roman"/>
          <w:sz w:val="28"/>
          <w:szCs w:val="28"/>
        </w:rPr>
      </w:pPr>
      <w:proofErr w:type="spellStart"/>
      <w:r w:rsidRPr="00DF688D">
        <w:rPr>
          <w:rFonts w:ascii="Times New Roman" w:eastAsia="Times New Roman" w:hAnsi="Times New Roman" w:cs="Times New Roman"/>
          <w:sz w:val="28"/>
          <w:szCs w:val="28"/>
        </w:rPr>
        <w:t>Góp</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phần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giải</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tỏa</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công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suất</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nhà</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máy</w:t>
      </w:r>
      <w:proofErr w:type="spellEnd"/>
      <w:r w:rsidRPr="00DF688D">
        <w:rPr>
          <w:rFonts w:ascii="Times New Roman" w:eastAsia="Times New Roman" w:hAnsi="Times New Roman" w:cs="Times New Roman"/>
          <w:sz w:val="28"/>
          <w:szCs w:val="28"/>
        </w:rPr>
        <w:t xml:space="preserve"> TBKHH Dung </w:t>
      </w:r>
      <w:proofErr w:type="spellStart"/>
      <w:r w:rsidRPr="00DF688D">
        <w:rPr>
          <w:rFonts w:ascii="Times New Roman" w:eastAsia="Times New Roman" w:hAnsi="Times New Roman" w:cs="Times New Roman"/>
          <w:sz w:val="28"/>
          <w:szCs w:val="28"/>
        </w:rPr>
        <w:t>Quất</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vào</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hệ</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thống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điện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quốc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gia</w:t>
      </w:r>
      <w:proofErr w:type="spellEnd"/>
      <w:r w:rsidRPr="00DF688D">
        <w:rPr>
          <w:rFonts w:ascii="Times New Roman" w:eastAsia="Times New Roman" w:hAnsi="Times New Roman" w:cs="Times New Roman"/>
          <w:sz w:val="28"/>
          <w:szCs w:val="28"/>
        </w:rPr>
        <w:t>;</w:t>
      </w:r>
    </w:p>
    <w:p w:rsidR="00415657" w:rsidRPr="00DF688D" w:rsidRDefault="00415657" w:rsidP="00F1338F">
      <w:pPr>
        <w:numPr>
          <w:ilvl w:val="0"/>
          <w:numId w:val="4"/>
        </w:numPr>
        <w:spacing w:after="120" w:line="240" w:lineRule="auto"/>
        <w:jc w:val="both"/>
        <w:rPr>
          <w:rFonts w:ascii="Times New Roman" w:eastAsia="Times New Roman" w:hAnsi="Times New Roman" w:cs="Times New Roman"/>
          <w:sz w:val="28"/>
          <w:szCs w:val="28"/>
        </w:rPr>
      </w:pPr>
      <w:proofErr w:type="spellStart"/>
      <w:r w:rsidRPr="00DF688D">
        <w:rPr>
          <w:rFonts w:ascii="Times New Roman" w:eastAsia="Times New Roman" w:hAnsi="Times New Roman" w:cs="Times New Roman"/>
          <w:sz w:val="28"/>
          <w:szCs w:val="28"/>
        </w:rPr>
        <w:t>Tăng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cường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tính</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ổn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định</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cho</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hệ</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thống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điện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vực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đảm</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bảo</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hệ</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thống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điện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khu</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vực</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vận</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hành</w:t>
      </w:r>
      <w:proofErr w:type="spellEnd"/>
      <w:r w:rsidRPr="00DF688D">
        <w:rPr>
          <w:rFonts w:ascii="Times New Roman" w:eastAsia="Times New Roman" w:hAnsi="Times New Roman" w:cs="Times New Roman"/>
          <w:sz w:val="28"/>
          <w:szCs w:val="28"/>
        </w:rPr>
        <w:t xml:space="preserve"> an </w:t>
      </w:r>
      <w:proofErr w:type="spellStart"/>
      <w:r w:rsidRPr="00DF688D">
        <w:rPr>
          <w:rFonts w:ascii="Times New Roman" w:eastAsia="Times New Roman" w:hAnsi="Times New Roman" w:cs="Times New Roman"/>
          <w:sz w:val="28"/>
          <w:szCs w:val="28"/>
        </w:rPr>
        <w:t>toàn</w:t>
      </w:r>
      <w:proofErr w:type="spellEnd"/>
      <w:r w:rsidRPr="00DF688D">
        <w:rPr>
          <w:rFonts w:ascii="Times New Roman" w:eastAsia="Times New Roman" w:hAnsi="Times New Roman" w:cs="Times New Roman"/>
          <w:sz w:val="28"/>
          <w:szCs w:val="28"/>
        </w:rPr>
        <w:t xml:space="preserve">, tin </w:t>
      </w:r>
      <w:proofErr w:type="spellStart"/>
      <w:r w:rsidRPr="00DF688D">
        <w:rPr>
          <w:rFonts w:ascii="Times New Roman" w:eastAsia="Times New Roman" w:hAnsi="Times New Roman" w:cs="Times New Roman"/>
          <w:sz w:val="28"/>
          <w:szCs w:val="28"/>
        </w:rPr>
        <w:t>cậy</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trong</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chế</w:t>
      </w:r>
      <w:proofErr w:type="spellEnd"/>
      <w:r w:rsidRPr="00DF688D">
        <w:rPr>
          <w:rFonts w:ascii="Times New Roman" w:eastAsia="Times New Roman" w:hAnsi="Times New Roman" w:cs="Times New Roman"/>
          <w:sz w:val="28"/>
          <w:szCs w:val="28"/>
        </w:rPr>
        <w:t xml:space="preserve"> </w:t>
      </w:r>
      <w:proofErr w:type="spellStart"/>
      <w:r w:rsidRPr="00DF688D">
        <w:rPr>
          <w:rFonts w:ascii="Times New Roman" w:eastAsia="Times New Roman" w:hAnsi="Times New Roman" w:cs="Times New Roman"/>
          <w:sz w:val="28"/>
          <w:szCs w:val="28"/>
        </w:rPr>
        <w:t>độ</w:t>
      </w:r>
      <w:proofErr w:type="spellEnd"/>
      <w:r w:rsidRPr="00DF688D">
        <w:rPr>
          <w:rFonts w:ascii="Times New Roman" w:eastAsia="Times New Roman" w:hAnsi="Times New Roman" w:cs="Times New Roman"/>
          <w:sz w:val="28"/>
          <w:szCs w:val="28"/>
        </w:rPr>
        <w:t xml:space="preserve"> N-1.</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8. Q</w:t>
      </w:r>
      <w:r w:rsidR="00415657" w:rsidRPr="00DF688D">
        <w:rPr>
          <w:rFonts w:ascii="Times New Roman" w:eastAsia="Times New Roman" w:hAnsi="Times New Roman" w:cs="Times New Roman"/>
          <w:sz w:val="28"/>
          <w:szCs w:val="28"/>
          <w:lang w:val="it-IT"/>
        </w:rPr>
        <w:t>uy mô đầu tư xây dựng</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bookmarkStart w:id="0" w:name="_Hlk201759144"/>
      <w:r w:rsidRPr="00DF688D">
        <w:rPr>
          <w:rFonts w:ascii="Times New Roman" w:eastAsia="Times New Roman" w:hAnsi="Times New Roman" w:cs="Times New Roman"/>
          <w:sz w:val="28"/>
          <w:szCs w:val="28"/>
          <w:lang w:val="it-IT"/>
        </w:rPr>
        <w:lastRenderedPageBreak/>
        <w:tab/>
        <w:t>a.</w:t>
      </w:r>
      <w:r w:rsidR="00415657" w:rsidRPr="00DF688D">
        <w:rPr>
          <w:rFonts w:ascii="Times New Roman" w:eastAsia="Times New Roman" w:hAnsi="Times New Roman" w:cs="Times New Roman"/>
          <w:sz w:val="28"/>
          <w:szCs w:val="28"/>
          <w:lang w:val="it-IT"/>
        </w:rPr>
        <w:t>Phần đường dây</w:t>
      </w:r>
      <w:bookmarkEnd w:id="0"/>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bookmarkStart w:id="1" w:name="_Hlk201759125"/>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Cấp điện áp</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220kV.</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Số mạch</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02 mạch;</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Điểm đầu</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cột cổng 220kV TBA 500kV Dốc Sỏi;</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Điểm cuối</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cột cổng 220kV TBA 220kV Dung Quất;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Chiều dài</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khoảng 8,85km;</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Dây dẫn</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Thay dây dẫn điện ACSR-400/51 hiện hữu thành dây dẫn nhiệt độ cao lõi tổng hợp sợi carbon, tiết diện phần nhôm khoảng 400 mm2.</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Dây chống sét</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sẽ thay thế dây chống sét TK-70 hiện hữu thành dây Pastel 147,1 (đáp ứng dòng ngắn mạch đến năm 2035).</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Dây cáp quang</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Sử dụng lại dây chống sét kết hợp cáp quang OPGW-70 trên tuyến hiện có.</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Cách điện</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Sử dụng cách điện hiện hữu, một số vị trí giao chéo vượt đường hoặc đi qua khu dân cư sẽ được thay thế bằng cách điện kép với lực phá hủy 70kN dành cho chuỗi đỡ và 160kN dành cho chuỗi néo, tất cả được chế tạo theo tiêu chuẩn IEC hiện hành.</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Phụ kiện</w:t>
      </w:r>
      <w:r w:rsidR="00415657" w:rsidRPr="00DF688D">
        <w:rPr>
          <w:rFonts w:ascii="Times New Roman" w:eastAsia="Times New Roman" w:hAnsi="Times New Roman" w:cs="Times New Roman"/>
          <w:sz w:val="28"/>
          <w:szCs w:val="28"/>
          <w:lang w:val="it-IT"/>
        </w:rPr>
        <w:tab/>
        <w:t xml:space="preserve">: </w:t>
      </w:r>
      <w:r w:rsidR="00415657" w:rsidRPr="00DF688D">
        <w:rPr>
          <w:rFonts w:ascii="Times New Roman" w:eastAsia="Times New Roman" w:hAnsi="Times New Roman" w:cs="Times New Roman"/>
          <w:sz w:val="28"/>
          <w:szCs w:val="28"/>
          <w:lang w:val="it-IT"/>
        </w:rPr>
        <w:tab/>
        <w:t>Thay thế toàn bộ phần phụ kiện hiện hữu bằng phần phụ kiện mới cho đồng bộ với việc thay thế dây dẫn siêu nhiệt.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Cột</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Sử dụng cột hiện hữu.</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Móng</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Sử dụng móng hiện hữu.</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Nối đất</w:t>
      </w:r>
      <w:r w:rsidR="00415657" w:rsidRPr="00DF688D">
        <w:rPr>
          <w:rFonts w:ascii="Times New Roman" w:eastAsia="Times New Roman" w:hAnsi="Times New Roman" w:cs="Times New Roman"/>
          <w:sz w:val="28"/>
          <w:szCs w:val="28"/>
          <w:lang w:val="it-IT"/>
        </w:rPr>
        <w:tab/>
        <w:t>:</w:t>
      </w:r>
      <w:r w:rsidR="00415657" w:rsidRPr="00DF688D">
        <w:rPr>
          <w:rFonts w:ascii="Times New Roman" w:eastAsia="Times New Roman" w:hAnsi="Times New Roman" w:cs="Times New Roman"/>
          <w:sz w:val="28"/>
          <w:szCs w:val="28"/>
          <w:lang w:val="it-IT"/>
        </w:rPr>
        <w:tab/>
        <w:t>đa phần sẽ sử dụng lại hình thức nối đất chân cột hiện có. Một số vị trí đề xuất cải tạo thay mới VT 2, 3, 4, 5, 6, 7, 8, 9, 10, 15, 16, 17, 19, 21, 28 do trong quá trình quản lý vận hành đã ghi nhận các dấu hiệu ăn mòn đối với tiếp địa các vị trí này.</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Giao chéo của tuyến đường dây:</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Tổng số trụ: 31 trụ (tính luôn trụ đầu tại TBA 500kV Dốc Sỏi và trụ cuối tại TBA 220kV Dung Quất).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Khoảng trụ dài nhất: T15-T16 dài 458,69m</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Khoảng trụ ngắn nhất: T1-T2 dài 67,71m</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Góc lái lớn nhất: T13 có góc lái P60º48' 38"</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Góc lái nhỏ nhất: T24 có góc lái T0º0' 34"</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xml:space="preserve">+ Giao chéo với các tuyến đường dây điện: </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Giao chéo đường dây cao thế: 2 đường dây 110kV hiện hữu và 1 đường dây 500kV dự kiến</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Giao chéo đường dây trung thế: 5 lần</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Giao chéo đường dây hạ thế, thông tin: 11 lần</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Trụ đèn đường nằm trong hành lang tuyến: 7 trụ</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Giao chéo đường giao thông:</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Giao chéo đường nhựa: 5 lần</w:t>
      </w:r>
    </w:p>
    <w:p w:rsidR="00415657" w:rsidRPr="00DF688D" w:rsidRDefault="00CF4325" w:rsidP="00F1338F">
      <w:pPr>
        <w:tabs>
          <w:tab w:val="left" w:pos="720"/>
          <w:tab w:val="num" w:pos="21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lastRenderedPageBreak/>
        <w:tab/>
      </w:r>
      <w:r w:rsidR="00415657" w:rsidRPr="00DF688D">
        <w:rPr>
          <w:rFonts w:ascii="Times New Roman" w:eastAsia="Times New Roman" w:hAnsi="Times New Roman" w:cs="Times New Roman"/>
          <w:sz w:val="28"/>
          <w:szCs w:val="28"/>
          <w:lang w:val="it-IT"/>
        </w:rPr>
        <w:t>Giao chéo đường bê tông, đường đất: 37 lần</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Giao chéo sông suối, ao hồ, kênh mương: 26 lần (trong đó có 3 lần cắt qua sông Trà Bồng)</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Nhà/công trình kiến trúc bị ảnh hưởng trong hành lang tuyến: 59 nhà/công trình kiến trúc.</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b/>
          <w:sz w:val="28"/>
          <w:szCs w:val="28"/>
          <w:lang w:val="it-IT"/>
        </w:rPr>
      </w:pPr>
      <w:r w:rsidRPr="00DF688D">
        <w:rPr>
          <w:rFonts w:ascii="Times New Roman" w:eastAsia="Times New Roman" w:hAnsi="Times New Roman" w:cs="Times New Roman"/>
          <w:sz w:val="28"/>
          <w:szCs w:val="28"/>
          <w:lang w:val="it-IT"/>
        </w:rPr>
        <w:tab/>
      </w:r>
      <w:r w:rsidRPr="00DF688D">
        <w:rPr>
          <w:rFonts w:ascii="Times New Roman" w:eastAsia="Times New Roman" w:hAnsi="Times New Roman" w:cs="Times New Roman"/>
          <w:b/>
          <w:sz w:val="28"/>
          <w:szCs w:val="28"/>
          <w:lang w:val="it-IT"/>
        </w:rPr>
        <w:t>b.</w:t>
      </w:r>
      <w:r w:rsidR="00415657" w:rsidRPr="00DF688D">
        <w:rPr>
          <w:rFonts w:ascii="Times New Roman" w:eastAsia="Times New Roman" w:hAnsi="Times New Roman" w:cs="Times New Roman"/>
          <w:b/>
          <w:sz w:val="28"/>
          <w:szCs w:val="28"/>
          <w:lang w:val="it-IT"/>
        </w:rPr>
        <w:t>Phần ngăn lộ 220kV</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xml:space="preserve">Cấp điện áp </w:t>
      </w:r>
      <w:r w:rsidR="00415657"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ab/>
        <w:t>: 220kV.</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D5AFD" w:rsidRPr="00DF688D">
        <w:rPr>
          <w:rFonts w:ascii="Times New Roman" w:eastAsia="Times New Roman" w:hAnsi="Times New Roman" w:cs="Times New Roman"/>
          <w:sz w:val="28"/>
          <w:szCs w:val="28"/>
          <w:lang w:val="it-IT"/>
        </w:rPr>
        <w:t>Vị trí thực hiện</w:t>
      </w:r>
      <w:r w:rsidR="004D5AFD"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 02 ngăn lộ đường dây 220kV tại TBA 500kV Dốc Sỏi.</w:t>
      </w:r>
    </w:p>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02 ngăn lộ đường dây 220kV tại TBA 220kV Dung Quất</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Dây dẫn</w:t>
      </w:r>
      <w:r w:rsidR="00415657"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ab/>
        <w:t>: Tại TBA 220kV Dung Quất, tiến hành thay mới dây dẫn (và kẹp cực tương ứng) trong các ngăn lộ từ dây ACSR450/31 thành dây 2xAAC630.</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Tại TBA 500kV Dốc Sỏi, tiến hành thanh mới dây dẫn (và kẹp cực tương ứng) trong các ngăn lộ từ dây 1xAAC885 thành dây 2xAAC630.</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Ngăn lộ</w:t>
      </w:r>
      <w:r w:rsidR="00415657"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ab/>
        <w:t>: Tại TBA 220kV Dung Quất: thay thế thiết bị ngăn lộ hiện hữu bao gồm: Thay 02 DCL -9, bằng loại có dòng ngắn mạch 50kA/1s (hiện hữu có 31,5kA/3s).</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Tại TBA 500kV Dốc Sỏi: thay thế thiết bị ngăn lộ hiện hữu bao gồm: 6 T</w:t>
      </w:r>
      <w:r w:rsidRPr="00DF688D">
        <w:rPr>
          <w:rFonts w:ascii="Times New Roman" w:eastAsia="Times New Roman" w:hAnsi="Times New Roman" w:cs="Times New Roman"/>
          <w:sz w:val="28"/>
          <w:szCs w:val="28"/>
          <w:lang w:val="it-IT"/>
        </w:rPr>
        <w:t>I (2000A, 50kA/1S), DCL 12 bộ (</w:t>
      </w:r>
      <w:r w:rsidR="00415657" w:rsidRPr="00DF688D">
        <w:rPr>
          <w:rFonts w:ascii="Times New Roman" w:eastAsia="Times New Roman" w:hAnsi="Times New Roman" w:cs="Times New Roman"/>
          <w:sz w:val="28"/>
          <w:szCs w:val="28"/>
          <w:lang w:val="it-IT"/>
        </w:rPr>
        <w:t>2000-3150A, 50kA/s), MC 2 bộ (3150A, 50kA/1s)(thiết bị hiện hữu là 31,5kA/3s);</w:t>
      </w:r>
      <w:bookmarkEnd w:id="1"/>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9.</w:t>
      </w:r>
      <w:r w:rsidR="00415657" w:rsidRPr="00DF688D">
        <w:rPr>
          <w:rFonts w:ascii="Times New Roman" w:eastAsia="Times New Roman" w:hAnsi="Times New Roman" w:cs="Times New Roman"/>
          <w:sz w:val="28"/>
          <w:szCs w:val="28"/>
          <w:lang w:val="it-IT"/>
        </w:rPr>
        <w:t>Cấp công trình: Công trình năng lượng cấp I, nhóm C.</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10.</w:t>
      </w:r>
      <w:r w:rsidR="00415657" w:rsidRPr="00DF688D">
        <w:rPr>
          <w:rFonts w:ascii="Times New Roman" w:eastAsia="Times New Roman" w:hAnsi="Times New Roman" w:cs="Times New Roman"/>
          <w:sz w:val="28"/>
          <w:szCs w:val="28"/>
          <w:lang w:val="it-IT"/>
        </w:rPr>
        <w:t xml:space="preserve">Tổng mức đầu tư Dự án: </w:t>
      </w:r>
    </w:p>
    <w:p w:rsidR="00415657" w:rsidRPr="00DF688D" w:rsidRDefault="00415657" w:rsidP="00F1338F">
      <w:pPr>
        <w:tabs>
          <w:tab w:val="left" w:pos="720"/>
          <w:tab w:val="num" w:pos="144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Tổng mức đầu tư xây dựng công trình 84.759.000.000 đồng (theo Quyết định phê duyệt số 1109/QĐ-EVNNPT ngày 25/06/2025 của Tổng công ty Truyền tải điện Quốc gia về việc phê duyệt Dự án Nâng khả năng tải đường dây 220kV Dốc Sỏi – Dung Quất. Trong đó:</w:t>
      </w:r>
    </w:p>
    <w:tbl>
      <w:tblPr>
        <w:tblW w:w="7935" w:type="dxa"/>
        <w:tblInd w:w="675" w:type="dxa"/>
        <w:tblLayout w:type="fixed"/>
        <w:tblLook w:val="04A0" w:firstRow="1" w:lastRow="0" w:firstColumn="1" w:lastColumn="0" w:noHBand="0" w:noVBand="1"/>
      </w:tblPr>
      <w:tblGrid>
        <w:gridCol w:w="4393"/>
        <w:gridCol w:w="3542"/>
      </w:tblGrid>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BT hỗ trợ và TĐC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419.000.000 đồng.</w:t>
            </w:r>
          </w:p>
        </w:tc>
      </w:tr>
      <w:tr w:rsidR="00DF688D" w:rsidRPr="00DF688D" w:rsidTr="00C83DB4">
        <w:trPr>
          <w:trHeight w:val="405"/>
        </w:trPr>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xây dựng: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52.642.000.000 đồng.</w:t>
            </w:r>
          </w:p>
        </w:tc>
      </w:tr>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thiết bị: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9.751.000.000 đồng.</w:t>
            </w:r>
          </w:p>
        </w:tc>
      </w:tr>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quản lý dự án: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1.185.000.000 đồng.</w:t>
            </w:r>
          </w:p>
        </w:tc>
      </w:tr>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tư vấn ĐTXD: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5.376.000.000 đồng.</w:t>
            </w:r>
          </w:p>
        </w:tc>
      </w:tr>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khác: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4.223.000.000 đồng.</w:t>
            </w:r>
          </w:p>
        </w:tc>
      </w:tr>
      <w:tr w:rsidR="00DF688D" w:rsidRPr="00DF688D" w:rsidTr="00C83DB4">
        <w:tc>
          <w:tcPr>
            <w:tcW w:w="4393"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Chi phí dự phòng: </w:t>
            </w:r>
          </w:p>
        </w:tc>
        <w:tc>
          <w:tcPr>
            <w:tcW w:w="3542" w:type="dxa"/>
            <w:vAlign w:val="center"/>
            <w:hideMark/>
          </w:tcPr>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11.162.000.000 đồng.</w:t>
            </w:r>
          </w:p>
        </w:tc>
      </w:tr>
    </w:tbl>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415657" w:rsidRPr="00DF688D">
        <w:rPr>
          <w:rFonts w:ascii="Times New Roman" w:eastAsia="Times New Roman" w:hAnsi="Times New Roman" w:cs="Times New Roman"/>
          <w:sz w:val="28"/>
          <w:szCs w:val="28"/>
          <w:lang w:val="it-IT"/>
        </w:rPr>
        <w:t>Nguồn vốn đầu tư: Vốn đầu tư xây dựng do Tổng công ty Truyền tải điện Quốc gia huy động, phân bổ theo kế hoạch</w:t>
      </w:r>
    </w:p>
    <w:p w:rsidR="00415657" w:rsidRPr="00DF688D" w:rsidRDefault="00415657"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Quản lý dự án</w:t>
      </w:r>
    </w:p>
    <w:p w:rsidR="00415657" w:rsidRPr="00DF688D" w:rsidRDefault="00CF4325" w:rsidP="00F1338F">
      <w:pPr>
        <w:tabs>
          <w:tab w:val="left" w:pos="720"/>
        </w:tabs>
        <w:spacing w:before="60" w:after="60" w:line="240" w:lineRule="auto"/>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r>
      <w:r w:rsidR="00203CE3" w:rsidRPr="00DF688D">
        <w:rPr>
          <w:rFonts w:ascii="Times New Roman" w:eastAsia="Times New Roman" w:hAnsi="Times New Roman" w:cs="Times New Roman"/>
          <w:sz w:val="28"/>
          <w:szCs w:val="28"/>
          <w:lang w:val="it-IT"/>
        </w:rPr>
        <w:t xml:space="preserve">11. </w:t>
      </w:r>
      <w:r w:rsidR="00415657" w:rsidRPr="00DF688D">
        <w:rPr>
          <w:rFonts w:ascii="Times New Roman" w:eastAsia="Times New Roman" w:hAnsi="Times New Roman" w:cs="Times New Roman"/>
          <w:sz w:val="28"/>
          <w:szCs w:val="28"/>
          <w:lang w:val="it-IT"/>
        </w:rPr>
        <w:t>Chủ đầu tư: Công ty Truyền tải điện 2- CN Tổng Công ty truyền tải điện Quốc gia</w:t>
      </w:r>
    </w:p>
    <w:p w:rsidR="00415657" w:rsidRPr="00DF688D" w:rsidRDefault="00F1338F" w:rsidP="00F1338F">
      <w:pPr>
        <w:spacing w:before="60" w:after="60" w:line="240" w:lineRule="auto"/>
        <w:ind w:firstLine="720"/>
        <w:jc w:val="both"/>
        <w:rPr>
          <w:rFonts w:ascii="Times New Roman" w:eastAsia="Times New Roman" w:hAnsi="Times New Roman" w:cs="Times New Roman"/>
          <w:b/>
          <w:bCs/>
          <w:sz w:val="28"/>
          <w:szCs w:val="28"/>
          <w:lang w:val="it-IT"/>
        </w:rPr>
      </w:pPr>
      <w:r w:rsidRPr="00DF688D">
        <w:rPr>
          <w:rFonts w:ascii="Times New Roman" w:eastAsia="Times New Roman" w:hAnsi="Times New Roman" w:cs="Times New Roman"/>
          <w:b/>
          <w:bCs/>
          <w:sz w:val="28"/>
          <w:szCs w:val="28"/>
          <w:lang w:val="it-IT"/>
        </w:rPr>
        <w:t xml:space="preserve">B. </w:t>
      </w:r>
      <w:r w:rsidR="00415657" w:rsidRPr="00DF688D">
        <w:rPr>
          <w:rFonts w:ascii="Times New Roman" w:eastAsia="Times New Roman" w:hAnsi="Times New Roman" w:cs="Times New Roman"/>
          <w:b/>
          <w:bCs/>
          <w:sz w:val="28"/>
          <w:szCs w:val="28"/>
          <w:lang w:val="it-IT"/>
        </w:rPr>
        <w:t>Mô tả mục đích tuyển chọn nhà thầu.</w:t>
      </w:r>
    </w:p>
    <w:p w:rsidR="00CD6808" w:rsidRPr="00DF688D" w:rsidRDefault="00CD6808" w:rsidP="00F1338F">
      <w:pPr>
        <w:tabs>
          <w:tab w:val="left" w:pos="720"/>
        </w:tabs>
        <w:spacing w:before="60" w:after="60"/>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lastRenderedPageBreak/>
        <w:tab/>
      </w:r>
      <w:r w:rsidR="00F1338F" w:rsidRPr="00DF688D">
        <w:rPr>
          <w:rFonts w:ascii="Times New Roman" w:hAnsi="Times New Roman" w:cs="Times New Roman"/>
          <w:iCs/>
          <w:sz w:val="28"/>
          <w:szCs w:val="28"/>
          <w:lang w:val="it-IT"/>
        </w:rPr>
        <w:t>1.</w:t>
      </w:r>
      <w:r w:rsidRPr="00DF688D">
        <w:rPr>
          <w:rFonts w:ascii="Times New Roman" w:hAnsi="Times New Roman" w:cs="Times New Roman"/>
          <w:iCs/>
          <w:sz w:val="28"/>
          <w:szCs w:val="28"/>
          <w:lang w:val="it-IT"/>
        </w:rPr>
        <w:t>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Việt Nam số 1000 Kiểm toán báo cáo quyết toán dự án hoàn thành ban hành kèm theo thông tư số 67/2015/TT-BTC ngày 08/05/2015 của Bộ Tài chính.</w:t>
      </w:r>
    </w:p>
    <w:p w:rsidR="00415657" w:rsidRPr="00DF688D" w:rsidRDefault="00F1338F" w:rsidP="00F1338F">
      <w:pPr>
        <w:tabs>
          <w:tab w:val="left" w:pos="720"/>
        </w:tabs>
        <w:spacing w:before="60" w:after="60" w:line="360" w:lineRule="exact"/>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 xml:space="preserve">2. </w:t>
      </w:r>
      <w:r w:rsidR="00415657" w:rsidRPr="00DF688D">
        <w:rPr>
          <w:rFonts w:ascii="Times New Roman" w:eastAsia="Times New Roman" w:hAnsi="Times New Roman" w:cs="Times New Roman"/>
          <w:sz w:val="28"/>
          <w:szCs w:val="28"/>
          <w:lang w:val="it-IT"/>
        </w:rPr>
        <w:t>Kiểm toán Dự án theo các hướng dẫn hiện hành của các cơ quan có thẩm quyền và  các quy định của Nhà nước.</w:t>
      </w:r>
    </w:p>
    <w:p w:rsidR="00CD6808" w:rsidRPr="00DF688D" w:rsidRDefault="00CD6808" w:rsidP="00F1338F">
      <w:pPr>
        <w:spacing w:before="60" w:after="60"/>
        <w:ind w:left="568" w:hanging="284"/>
        <w:jc w:val="both"/>
        <w:rPr>
          <w:rFonts w:ascii="Times New Roman" w:hAnsi="Times New Roman" w:cs="Times New Roman"/>
          <w:b/>
          <w:bCs/>
          <w:iCs/>
          <w:sz w:val="28"/>
          <w:szCs w:val="28"/>
          <w:lang w:val="it-IT"/>
        </w:rPr>
      </w:pPr>
      <w:r w:rsidRPr="00DF688D">
        <w:rPr>
          <w:rFonts w:ascii="Times New Roman" w:hAnsi="Times New Roman" w:cs="Times New Roman"/>
          <w:b/>
          <w:bCs/>
          <w:iCs/>
          <w:sz w:val="28"/>
          <w:szCs w:val="28"/>
          <w:lang w:val="it-IT"/>
        </w:rPr>
        <w:t>C. Thông tin về gói thầu</w:t>
      </w:r>
    </w:p>
    <w:p w:rsidR="00CD6808" w:rsidRPr="00DF688D" w:rsidRDefault="00CD6808" w:rsidP="00F1338F">
      <w:pPr>
        <w:spacing w:before="60" w:after="60"/>
        <w:ind w:firstLine="720"/>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Theo Quyết định số 2969/QĐ-PTC2 ngày 19/11/2025 của Công ty Truyền tải điện 2 Về việc phê duyệt kế hoạch lựa chọn nhà thầu (đợt 2) dự án: Trang bị chống sét van các ngăn xuất tuyến cấp điện áp 110kV trở xuống tại các TBA 220kV, 500kV do Công ty Truyền tải điện 2 quản lý, các thông tin chính về gói thầu như sau:</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 xml:space="preserve">Tên gói thầu: Gói thầu số </w:t>
      </w:r>
      <w:r w:rsidR="00F1338F" w:rsidRPr="00DF688D">
        <w:rPr>
          <w:rFonts w:ascii="Times New Roman" w:hAnsi="Times New Roman" w:cs="Times New Roman"/>
          <w:iCs/>
          <w:sz w:val="28"/>
          <w:szCs w:val="28"/>
          <w:lang w:val="it-IT"/>
        </w:rPr>
        <w:t>9</w:t>
      </w:r>
      <w:r w:rsidRPr="00DF688D">
        <w:rPr>
          <w:rFonts w:ascii="Times New Roman" w:hAnsi="Times New Roman" w:cs="Times New Roman"/>
          <w:iCs/>
          <w:sz w:val="28"/>
          <w:szCs w:val="28"/>
          <w:lang w:val="it-IT"/>
        </w:rPr>
        <w:t>: Tư vấn kiểm toán công trình.</w:t>
      </w:r>
    </w:p>
    <w:p w:rsidR="00CD6808" w:rsidRPr="00DF688D" w:rsidRDefault="00CD6808" w:rsidP="00F1338F">
      <w:pPr>
        <w:pStyle w:val="ListParagraph"/>
        <w:numPr>
          <w:ilvl w:val="0"/>
          <w:numId w:val="9"/>
        </w:numPr>
        <w:spacing w:before="240" w:after="240" w:line="240" w:lineRule="auto"/>
        <w:ind w:left="850" w:hanging="288"/>
        <w:jc w:val="both"/>
        <w:rPr>
          <w:rFonts w:ascii="Times New Roman" w:eastAsia="Times New Roman" w:hAnsi="Times New Roman" w:cs="Times New Roman"/>
          <w:iCs/>
          <w:sz w:val="28"/>
          <w:szCs w:val="28"/>
          <w:lang w:val="it-IT"/>
        </w:rPr>
      </w:pPr>
      <w:r w:rsidRPr="00DF688D">
        <w:rPr>
          <w:rFonts w:ascii="Times New Roman" w:hAnsi="Times New Roman" w:cs="Times New Roman"/>
          <w:iCs/>
          <w:sz w:val="28"/>
          <w:szCs w:val="28"/>
          <w:lang w:val="it-IT"/>
        </w:rPr>
        <w:t xml:space="preserve">Giá dự toán gói thầu: </w:t>
      </w:r>
      <w:r w:rsidR="00F1338F" w:rsidRPr="00DF688D">
        <w:rPr>
          <w:rFonts w:ascii="Times New Roman" w:hAnsi="Times New Roman" w:cs="Times New Roman"/>
          <w:iCs/>
          <w:sz w:val="28"/>
          <w:szCs w:val="28"/>
          <w:lang w:val="it-IT"/>
        </w:rPr>
        <w:t>346.418.309</w:t>
      </w:r>
      <w:r w:rsidRPr="00DF688D">
        <w:rPr>
          <w:rFonts w:ascii="Times New Roman" w:hAnsi="Times New Roman" w:cs="Times New Roman"/>
          <w:iCs/>
          <w:sz w:val="28"/>
          <w:szCs w:val="28"/>
          <w:lang w:val="it-IT"/>
        </w:rPr>
        <w:t xml:space="preserve"> đồng (bao gồm thuế VAT).</w:t>
      </w:r>
      <w:r w:rsidR="00F1338F" w:rsidRPr="00DF688D">
        <w:rPr>
          <w:rFonts w:ascii="Times New Roman" w:eastAsia="Times New Roman" w:hAnsi="Times New Roman" w:cs="Times New Roman"/>
          <w:iCs/>
          <w:sz w:val="28"/>
          <w:szCs w:val="28"/>
          <w:lang w:val="it-IT"/>
        </w:rPr>
        <w:t xml:space="preserve"> </w:t>
      </w:r>
      <w:r w:rsidR="00F1338F" w:rsidRPr="00DF688D">
        <w:rPr>
          <w:rFonts w:ascii="Times New Roman" w:eastAsia="Times New Roman" w:hAnsi="Times New Roman" w:cs="Times New Roman"/>
          <w:iCs/>
          <w:sz w:val="28"/>
          <w:szCs w:val="28"/>
          <w:lang w:val="it-IT"/>
        </w:rPr>
        <w:t>(theo QĐ 1</w:t>
      </w:r>
      <w:r w:rsidR="00F1338F" w:rsidRPr="00DF688D">
        <w:rPr>
          <w:rFonts w:ascii="Times New Roman" w:eastAsia="Times New Roman" w:hAnsi="Times New Roman" w:cs="Times New Roman"/>
          <w:iCs/>
          <w:sz w:val="28"/>
          <w:szCs w:val="28"/>
          <w:lang w:val="it-IT"/>
        </w:rPr>
        <w:t>30</w:t>
      </w:r>
      <w:r w:rsidR="00F1338F" w:rsidRPr="00DF688D">
        <w:rPr>
          <w:rFonts w:ascii="Times New Roman" w:eastAsia="Times New Roman" w:hAnsi="Times New Roman" w:cs="Times New Roman"/>
          <w:iCs/>
          <w:sz w:val="28"/>
          <w:szCs w:val="28"/>
          <w:lang w:val="it-IT"/>
        </w:rPr>
        <w:t xml:space="preserve">/QĐ-PTC2 ngày </w:t>
      </w:r>
      <w:r w:rsidR="00F1338F" w:rsidRPr="00DF688D">
        <w:rPr>
          <w:rFonts w:ascii="Times New Roman" w:eastAsia="Times New Roman" w:hAnsi="Times New Roman" w:cs="Times New Roman"/>
          <w:iCs/>
          <w:sz w:val="28"/>
          <w:szCs w:val="28"/>
          <w:lang w:val="it-IT"/>
        </w:rPr>
        <w:t>23</w:t>
      </w:r>
      <w:r w:rsidR="00F1338F" w:rsidRPr="00DF688D">
        <w:rPr>
          <w:rFonts w:ascii="Times New Roman" w:eastAsia="Times New Roman" w:hAnsi="Times New Roman" w:cs="Times New Roman"/>
          <w:iCs/>
          <w:sz w:val="28"/>
          <w:szCs w:val="28"/>
          <w:lang w:val="it-IT"/>
        </w:rPr>
        <w:t>/01/2026</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Hình thức lựa chọn nhà thầu: đấu thầu rộng rãi trong nước (qua mạng)</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Phương thức đấu thầu: 01 giai đoạn 02 túi hồ sơ.</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Thời gian hiệu lực của E-HSDT: 120 ngày</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Thời gian thực hiện gói thầu: 30 ngày (phù hợp tiến độ dự án)</w:t>
      </w:r>
    </w:p>
    <w:p w:rsidR="00CD6808" w:rsidRPr="00DF688D" w:rsidRDefault="00CD6808" w:rsidP="00F1338F">
      <w:pPr>
        <w:pStyle w:val="ListParagraph"/>
        <w:numPr>
          <w:ilvl w:val="0"/>
          <w:numId w:val="9"/>
        </w:numPr>
        <w:spacing w:before="120" w:after="120" w:line="240" w:lineRule="auto"/>
        <w:ind w:left="851" w:hanging="284"/>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Loại hợp đồng: Trọn gói</w:t>
      </w:r>
    </w:p>
    <w:p w:rsidR="00CD6808" w:rsidRPr="00DF688D" w:rsidRDefault="00CD6808" w:rsidP="00F1338F">
      <w:pPr>
        <w:tabs>
          <w:tab w:val="left" w:pos="720"/>
        </w:tabs>
        <w:spacing w:before="60" w:after="60" w:line="360" w:lineRule="exact"/>
        <w:jc w:val="both"/>
        <w:rPr>
          <w:rFonts w:ascii="Times New Roman" w:eastAsia="Times New Roman" w:hAnsi="Times New Roman" w:cs="Times New Roman"/>
          <w:sz w:val="28"/>
          <w:szCs w:val="28"/>
          <w:lang w:val="it-IT"/>
        </w:rPr>
      </w:pPr>
    </w:p>
    <w:p w:rsidR="00415657" w:rsidRPr="00DF688D" w:rsidRDefault="00415657" w:rsidP="00F1338F">
      <w:pPr>
        <w:spacing w:before="60" w:after="60" w:line="240" w:lineRule="auto"/>
        <w:jc w:val="both"/>
        <w:rPr>
          <w:rFonts w:ascii="Times New Roman" w:eastAsia="Times New Roman" w:hAnsi="Times New Roman" w:cs="Times New Roman"/>
          <w:b/>
          <w:sz w:val="28"/>
          <w:szCs w:val="28"/>
          <w:lang w:val="it-IT"/>
        </w:rPr>
      </w:pPr>
      <w:r w:rsidRPr="00DF688D">
        <w:rPr>
          <w:rFonts w:ascii="Times New Roman" w:eastAsia="Times New Roman" w:hAnsi="Times New Roman" w:cs="Times New Roman"/>
          <w:b/>
          <w:sz w:val="28"/>
          <w:szCs w:val="28"/>
          <w:lang w:val="it-IT"/>
        </w:rPr>
        <w:t>II. Phạm vi công việc:</w:t>
      </w:r>
    </w:p>
    <w:p w:rsidR="00CD6808" w:rsidRPr="00DF688D" w:rsidRDefault="00CD6808" w:rsidP="00F1338F">
      <w:pPr>
        <w:tabs>
          <w:tab w:val="left" w:pos="720"/>
        </w:tabs>
        <w:spacing w:before="60" w:after="60" w:line="240" w:lineRule="auto"/>
        <w:jc w:val="both"/>
        <w:rPr>
          <w:rFonts w:ascii="Times New Roman" w:eastAsia="Times New Roman" w:hAnsi="Times New Roman" w:cs="Times New Roman"/>
          <w:b/>
          <w:sz w:val="28"/>
          <w:szCs w:val="28"/>
          <w:lang w:val="it-IT"/>
        </w:rPr>
      </w:pPr>
      <w:r w:rsidRPr="00DF688D">
        <w:rPr>
          <w:rFonts w:ascii="Times New Roman" w:hAnsi="Times New Roman" w:cs="Times New Roman"/>
          <w:iCs/>
          <w:sz w:val="28"/>
          <w:szCs w:val="28"/>
          <w:lang w:val="it-IT"/>
        </w:rPr>
        <w:tab/>
        <w:t>Việc kiểm toán báo cáo quyết toán vốn đầu tư dự án hoàn thành được thực hiện theo quy định của Thông tư số 99/2021/NĐ-CP ngày 11/11/2021 của Bộ Tài Chính về việc hướng dẫn Quyết toán dự án hoàn thành thuộc nguồn vốn Nhà nước; và Văn bản số 1197/EVNNPT-TCKT+PC+ĐT ngày 07/04/2022 của EVNNPT về việc công tác kiểm toán, thẩm tra phê duyệt quyết toán dự án ĐTXD hoàn thành.</w:t>
      </w:r>
    </w:p>
    <w:p w:rsidR="00415657" w:rsidRPr="00DF688D" w:rsidRDefault="00415657" w:rsidP="00F1338F">
      <w:pPr>
        <w:pStyle w:val="ListParagraph"/>
        <w:numPr>
          <w:ilvl w:val="0"/>
          <w:numId w:val="8"/>
        </w:numPr>
        <w:spacing w:before="60" w:after="60" w:line="360" w:lineRule="exact"/>
        <w:ind w:left="0" w:hanging="28"/>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Nội dung công việc cụ thể bao gồm:</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tra hồ sơ pháp lý;</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toán nguồn vốn đầu tư của dự án, gồm: Kế hoạch Nguồn vốn của Dự án, số vốn Bên A đã nhận được đến ngày lập quyết toán, Nguồn vốn đầu tư thực hiện dự án đến ngày lập quyết toán.</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tra chi phí đầu tư;</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tra chi phí đầu tư không tính vào tài sản bàn giao;</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tra tài sản hoàn thành qua bàn giao;</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Kiểm tra tình hình công nợ và vật tư, thiết bị tồn đọng sau quyết toán;</w:t>
      </w:r>
    </w:p>
    <w:p w:rsidR="00587006" w:rsidRPr="00DF688D" w:rsidRDefault="00587006"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hAnsi="Times New Roman" w:cs="Times New Roman"/>
          <w:iCs/>
          <w:sz w:val="28"/>
          <w:szCs w:val="28"/>
          <w:lang w:val="vi-VN"/>
        </w:rPr>
        <w:lastRenderedPageBreak/>
        <w:t>Kiểm tra việc duyệt TMĐT, dự toán các gói thầu,</w:t>
      </w:r>
    </w:p>
    <w:p w:rsidR="00587006" w:rsidRPr="00DF688D" w:rsidRDefault="00587006"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TMĐT </w:t>
      </w:r>
      <w:proofErr w:type="spellStart"/>
      <w:r w:rsidRPr="00DF688D">
        <w:rPr>
          <w:rFonts w:ascii="Times New Roman" w:hAnsi="Times New Roman" w:cs="Times New Roman"/>
          <w:iCs/>
          <w:sz w:val="28"/>
          <w:szCs w:val="28"/>
          <w:lang w:val="fr-FR"/>
        </w:rPr>
        <w:t>dự</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Dự</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dự</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và</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dự</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các</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gói</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thầu</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được</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duyệt</w:t>
      </w:r>
      <w:proofErr w:type="spellEnd"/>
      <w:r w:rsidRPr="00DF688D">
        <w:rPr>
          <w:rFonts w:ascii="Times New Roman" w:hAnsi="Times New Roman" w:cs="Times New Roman"/>
          <w:iCs/>
          <w:sz w:val="28"/>
          <w:szCs w:val="28"/>
          <w:lang w:val="fr-FR"/>
        </w:rPr>
        <w:t> ;</w:t>
      </w:r>
    </w:p>
    <w:p w:rsidR="00415657" w:rsidRPr="00DF688D" w:rsidRDefault="00587006"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tra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việc</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chấp</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hành</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của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chủ</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đầu</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tư</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và</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các</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đơn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vị</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có</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liên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quan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đối</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với</w:t>
      </w:r>
      <w:proofErr w:type="spellEnd"/>
      <w:r w:rsidRPr="00DF688D">
        <w:rPr>
          <w:rFonts w:ascii="Times New Roman" w:hAnsi="Times New Roman" w:cs="Times New Roman"/>
          <w:iCs/>
          <w:sz w:val="28"/>
          <w:szCs w:val="28"/>
          <w:lang w:val="fr-FR"/>
        </w:rPr>
        <w:t xml:space="preserve"> ý </w:t>
      </w:r>
      <w:proofErr w:type="spellStart"/>
      <w:r w:rsidRPr="00DF688D">
        <w:rPr>
          <w:rFonts w:ascii="Times New Roman" w:hAnsi="Times New Roman" w:cs="Times New Roman"/>
          <w:iCs/>
          <w:sz w:val="28"/>
          <w:szCs w:val="28"/>
          <w:lang w:val="fr-FR"/>
        </w:rPr>
        <w:t>kiến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kết</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luận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của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cơ</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quan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thanh</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tra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tra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kiểm</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toán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nhà</w:t>
      </w:r>
      <w:proofErr w:type="spellEnd"/>
      <w:r w:rsidRPr="00DF688D">
        <w:rPr>
          <w:rFonts w:ascii="Times New Roman" w:hAnsi="Times New Roman" w:cs="Times New Roman"/>
          <w:iCs/>
          <w:sz w:val="28"/>
          <w:szCs w:val="28"/>
          <w:lang w:val="fr-FR"/>
        </w:rPr>
        <w:t xml:space="preserve"> </w:t>
      </w:r>
      <w:proofErr w:type="spellStart"/>
      <w:proofErr w:type="gramStart"/>
      <w:r w:rsidRPr="00DF688D">
        <w:rPr>
          <w:rFonts w:ascii="Times New Roman" w:hAnsi="Times New Roman" w:cs="Times New Roman"/>
          <w:iCs/>
          <w:sz w:val="28"/>
          <w:szCs w:val="28"/>
          <w:lang w:val="fr-FR"/>
        </w:rPr>
        <w:t>nước</w:t>
      </w:r>
      <w:proofErr w:type="spellEnd"/>
      <w:r w:rsidRPr="00DF688D">
        <w:rPr>
          <w:rFonts w:ascii="Times New Roman" w:hAnsi="Times New Roman" w:cs="Times New Roman"/>
          <w:iCs/>
          <w:sz w:val="28"/>
          <w:szCs w:val="28"/>
          <w:lang w:val="fr-FR"/>
        </w:rPr>
        <w:t>;</w:t>
      </w:r>
      <w:proofErr w:type="gram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kết</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quả</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điều</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tra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của</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các</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cơ</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quan</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pháp</w:t>
      </w:r>
      <w:proofErr w:type="spellEnd"/>
      <w:r w:rsidRPr="00DF688D">
        <w:rPr>
          <w:rFonts w:ascii="Times New Roman" w:hAnsi="Times New Roman" w:cs="Times New Roman"/>
          <w:iCs/>
          <w:sz w:val="28"/>
          <w:szCs w:val="28"/>
          <w:lang w:val="fr-FR"/>
        </w:rPr>
        <w:t xml:space="preserve"> </w:t>
      </w:r>
      <w:proofErr w:type="spellStart"/>
      <w:r w:rsidRPr="00DF688D">
        <w:rPr>
          <w:rFonts w:ascii="Times New Roman" w:hAnsi="Times New Roman" w:cs="Times New Roman"/>
          <w:iCs/>
          <w:sz w:val="28"/>
          <w:szCs w:val="28"/>
          <w:lang w:val="fr-FR"/>
        </w:rPr>
        <w:t>luật</w:t>
      </w:r>
      <w:proofErr w:type="spellEnd"/>
      <w:r w:rsidRPr="00DF688D">
        <w:rPr>
          <w:rFonts w:ascii="Times New Roman" w:hAnsi="Times New Roman" w:cs="Times New Roman"/>
          <w:iCs/>
          <w:sz w:val="28"/>
          <w:szCs w:val="28"/>
          <w:lang w:val="fr-FR"/>
        </w:rPr>
        <w:t xml:space="preserve"> </w:t>
      </w:r>
      <w:r w:rsidR="00415657" w:rsidRPr="00DF688D">
        <w:rPr>
          <w:rFonts w:ascii="Times New Roman" w:eastAsia="Times New Roman" w:hAnsi="Times New Roman" w:cs="Times New Roman"/>
          <w:sz w:val="28"/>
          <w:szCs w:val="28"/>
          <w:lang w:val="it-IT"/>
        </w:rPr>
        <w:t>(nếu có);</w:t>
      </w:r>
    </w:p>
    <w:p w:rsidR="00587006" w:rsidRPr="00DF688D" w:rsidRDefault="00587006" w:rsidP="00F1338F">
      <w:pPr>
        <w:tabs>
          <w:tab w:val="left" w:pos="993"/>
        </w:tabs>
        <w:suppressAutoHyphens/>
        <w:spacing w:before="120" w:after="120"/>
        <w:ind w:right="176" w:firstLine="567"/>
        <w:jc w:val="both"/>
        <w:rPr>
          <w:rFonts w:ascii="Times New Roman" w:hAnsi="Times New Roman" w:cs="Times New Roman"/>
          <w:iCs/>
          <w:sz w:val="28"/>
          <w:szCs w:val="28"/>
          <w:lang w:val="it-IT"/>
        </w:rPr>
      </w:pPr>
      <w:r w:rsidRPr="00DF688D">
        <w:rPr>
          <w:rFonts w:ascii="Times New Roman" w:hAnsi="Times New Roman" w:cs="Times New Roman"/>
          <w:iCs/>
          <w:sz w:val="28"/>
          <w:szCs w:val="28"/>
        </w:rPr>
        <w:t xml:space="preserve">+ </w:t>
      </w:r>
      <w:r w:rsidRPr="00DF688D">
        <w:rPr>
          <w:rFonts w:ascii="Times New Roman" w:hAnsi="Times New Roman" w:cs="Times New Roman"/>
          <w:iCs/>
          <w:sz w:val="28"/>
          <w:szCs w:val="28"/>
          <w:lang w:val="vi-VN"/>
        </w:rPr>
        <w:t>Kiểm toán độc lập phải thực hiện kiểm toán Dự toán tất cả các gói thầu Xây dựng, Mua sắm VTTB. Kiểm toán việc ký kết, nghiệm thu, thanh quyết toán với nhà thầu toàn bộ các hợp đồng: mua sắm thiết bị, hợp đồng xây dựng, hợp đồng tư vấn khảo sát và chi phí bồi thường, hỗ trợ và tái định cư.</w:t>
      </w:r>
    </w:p>
    <w:p w:rsidR="00415657" w:rsidRPr="00DF688D" w:rsidRDefault="00415657" w:rsidP="00F1338F">
      <w:pPr>
        <w:numPr>
          <w:ilvl w:val="2"/>
          <w:numId w:val="6"/>
        </w:numPr>
        <w:tabs>
          <w:tab w:val="left" w:pos="851"/>
        </w:tabs>
        <w:spacing w:beforeLines="60" w:before="144" w:afterLines="60" w:after="144" w:line="240" w:lineRule="auto"/>
        <w:ind w:left="851" w:hanging="283"/>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Xem xét các kiến nghị của Bên A (nếu có).</w:t>
      </w:r>
    </w:p>
    <w:p w:rsidR="00587006" w:rsidRPr="00DF688D" w:rsidRDefault="00587006" w:rsidP="00F1338F">
      <w:pPr>
        <w:spacing w:beforeLines="60" w:before="144" w:afterLines="60" w:after="144" w:line="240" w:lineRule="auto"/>
        <w:ind w:firstLine="568"/>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Cá</w:t>
      </w:r>
      <w:r w:rsidR="004D5AFD" w:rsidRPr="00DF688D">
        <w:rPr>
          <w:rFonts w:ascii="Times New Roman" w:eastAsia="Times New Roman" w:hAnsi="Times New Roman" w:cs="Times New Roman"/>
          <w:sz w:val="28"/>
          <w:szCs w:val="28"/>
          <w:lang w:val="it-IT"/>
        </w:rPr>
        <w:t>c nội dung khác theo quy định tạ</w:t>
      </w:r>
      <w:r w:rsidRPr="00DF688D">
        <w:rPr>
          <w:rFonts w:ascii="Times New Roman" w:eastAsia="Times New Roman" w:hAnsi="Times New Roman" w:cs="Times New Roman"/>
          <w:sz w:val="28"/>
          <w:szCs w:val="28"/>
          <w:lang w:val="it-IT"/>
        </w:rPr>
        <w:t>i các Thông tư hiện hành có liên quan của Bộ Tài chính.</w:t>
      </w:r>
    </w:p>
    <w:p w:rsidR="004D5AFD" w:rsidRPr="00DF688D" w:rsidRDefault="004D5AFD" w:rsidP="00F1338F">
      <w:pPr>
        <w:spacing w:before="120" w:after="120"/>
        <w:ind w:firstLine="567"/>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it-IT"/>
        </w:rPr>
        <w:t>b.</w:t>
      </w:r>
      <w:r w:rsidRPr="00DF688D">
        <w:rPr>
          <w:rFonts w:ascii="Times New Roman" w:eastAsia="Times New Roman" w:hAnsi="Times New Roman" w:cs="Times New Roman"/>
          <w:sz w:val="28"/>
          <w:szCs w:val="28"/>
          <w:lang w:val="nl-NL"/>
        </w:rPr>
        <w:t xml:space="preserve"> b. Nhà thầu kiểm toán khi thực hiện kiểm toán quyết toán dự án trong gói thầu này phải tuân thủ các quy định, nguyên tắc sau:</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xml:space="preserve">+ </w:t>
      </w:r>
      <w:r w:rsidRPr="00DF688D">
        <w:rPr>
          <w:rFonts w:ascii="Times New Roman" w:eastAsia="Times New Roman" w:hAnsi="Times New Roman" w:cs="Times New Roman"/>
          <w:sz w:val="28"/>
          <w:szCs w:val="28"/>
          <w:lang w:val="nl-NL"/>
        </w:rPr>
        <w:tab/>
        <w:t xml:space="preserve">Chuẩn mực kiểm toán Việt Nam số 1000 về “Kiểm toán báo cáo quyết toán dự án hoàn thành, ban hành kèm theo Thông tư số 67/2015/TT-BTC ngày 08/05/2015 của Bộ Tài chính; </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xml:space="preserve">+ </w:t>
      </w:r>
      <w:r w:rsidRPr="00DF688D">
        <w:rPr>
          <w:rFonts w:ascii="Times New Roman" w:eastAsia="Times New Roman" w:hAnsi="Times New Roman" w:cs="Times New Roman"/>
          <w:sz w:val="28"/>
          <w:szCs w:val="28"/>
          <w:lang w:val="nl-NL"/>
        </w:rPr>
        <w:tab/>
        <w:t>Nghị định số 99/2021/NĐ-CP ngày 11/11/2021 của Chính phủ quy định về quản lý, thanh toán, quyết toán dự án sử dụng vốn đầu tư công;</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Thông tư số 27/2025/TT-BTC ngày 22/5/2025 của Bộ Tài chính Quy định về quyết toán vốn đầu tư hoàn thành sử dụng vốn nhà nước ngoài vốn đầu tư công;</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Quyết định 789 /QĐ-EVN ngày 10/06/2025 của Tập đoàn Điện lực Việt Nam về việc ban hành Quy chế về công tác đầu tư xây dựng áp dụng trong Tập đoàn Điện lực Việt Nam;</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Quyết định số 772/QĐ-EVN ngày 06/06/2025 của Tập đoàn Điện lực Việt Nam về việc ban hành Quy định quản lý tài sản, nguồn vốn và huy động vốn trong Tập đoàn Điện lực Việt Nam</w:t>
      </w:r>
    </w:p>
    <w:p w:rsidR="004D5AFD" w:rsidRPr="00DF688D" w:rsidRDefault="004D5AFD" w:rsidP="00F1338F">
      <w:pPr>
        <w:spacing w:before="120" w:after="120" w:line="240" w:lineRule="auto"/>
        <w:ind w:left="567" w:hanging="425"/>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  Quyết định số 1589/QĐ- EVNNPT ngày 12/08/2025 của Tổng công ty Truyền tải điện Quốc gia về việc Ban hành Quy định quản lý tài sản, nguồn vốn trong Tổng công ty Truyền tải điện Quốc gia.</w:t>
      </w:r>
    </w:p>
    <w:p w:rsidR="004D5AFD" w:rsidRPr="00DF688D" w:rsidRDefault="004D5AFD" w:rsidP="00F1338F">
      <w:pPr>
        <w:spacing w:before="120" w:after="120" w:line="240" w:lineRule="auto"/>
        <w:ind w:firstLine="567"/>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Nhà thầu kiểm toán chịu trách nhiệm về nội dung và giá trị kiểm toán của dự án do mình thực hiện.</w:t>
      </w:r>
    </w:p>
    <w:p w:rsidR="004D5AFD" w:rsidRPr="00DF688D" w:rsidRDefault="004D5AFD" w:rsidP="00F1338F">
      <w:pPr>
        <w:tabs>
          <w:tab w:val="left" w:pos="567"/>
        </w:tabs>
        <w:spacing w:before="120" w:after="120" w:line="240" w:lineRule="auto"/>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ab/>
        <w:t>Xây dựng và thống nhất với Bên A nội dung, chương trình kiểm toán, thực hiện đúng chương trình kiểm toán theo nguyên tắc độc lập, khách quan, trung thực và bí mật số liệu;</w:t>
      </w:r>
    </w:p>
    <w:p w:rsidR="004D5AFD" w:rsidRPr="00DF688D" w:rsidRDefault="004D5AFD" w:rsidP="00F1338F">
      <w:pPr>
        <w:tabs>
          <w:tab w:val="left" w:pos="567"/>
        </w:tabs>
        <w:spacing w:before="120" w:after="120" w:line="240" w:lineRule="auto"/>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lastRenderedPageBreak/>
        <w:tab/>
        <w:t>Thường xuyên trao đổi, bàn bạc với Bên A để giải quyết các vướng mắc trong quá trình kiểm toán, đáp ứng tiến độ và chất lượng công việc mà hai bên đã thống nhất;</w:t>
      </w:r>
    </w:p>
    <w:p w:rsidR="004D5AFD" w:rsidRPr="00DF688D" w:rsidRDefault="004D5AFD" w:rsidP="00F1338F">
      <w:pPr>
        <w:tabs>
          <w:tab w:val="left" w:pos="567"/>
        </w:tabs>
        <w:spacing w:before="120" w:after="120" w:line="240" w:lineRule="auto"/>
        <w:jc w:val="both"/>
        <w:rPr>
          <w:rFonts w:ascii="Times New Roman" w:eastAsia="Times New Roman" w:hAnsi="Times New Roman" w:cs="Times New Roman"/>
          <w:sz w:val="28"/>
          <w:szCs w:val="28"/>
          <w:lang w:val="nl-NL"/>
        </w:rPr>
      </w:pPr>
      <w:r w:rsidRPr="00DF688D">
        <w:rPr>
          <w:rFonts w:ascii="Times New Roman" w:eastAsia="Times New Roman" w:hAnsi="Times New Roman" w:cs="Times New Roman"/>
          <w:sz w:val="28"/>
          <w:szCs w:val="28"/>
          <w:lang w:val="nl-NL"/>
        </w:rPr>
        <w:tab/>
        <w:t>Nộp báo cáo kiểm toán cho Bên A đúng thời hạn quy định và chịu trách nhiệm về tính trung thực, khách quan, hợp lý của thông tin đưa ra trong Báo cáo kiểm toán;</w:t>
      </w:r>
    </w:p>
    <w:p w:rsidR="004D5AFD" w:rsidRPr="00DF688D" w:rsidRDefault="004D5AFD" w:rsidP="00F1338F">
      <w:pPr>
        <w:spacing w:before="120" w:after="120" w:line="240" w:lineRule="auto"/>
        <w:ind w:firstLine="567"/>
        <w:jc w:val="both"/>
        <w:rPr>
          <w:rFonts w:ascii="Times New Roman" w:eastAsia="Times New Roman" w:hAnsi="Times New Roman" w:cs="Times New Roman"/>
          <w:bCs/>
          <w:sz w:val="28"/>
          <w:szCs w:val="28"/>
          <w:lang w:val="it-IT"/>
        </w:rPr>
      </w:pPr>
      <w:r w:rsidRPr="00DF688D">
        <w:rPr>
          <w:rFonts w:ascii="Times New Roman" w:eastAsia="Times New Roman" w:hAnsi="Times New Roman" w:cs="Times New Roman"/>
          <w:sz w:val="28"/>
          <w:szCs w:val="28"/>
          <w:lang w:val="nl-NL"/>
        </w:rPr>
        <w:t>c. Dự kiến thời gian nhà thầu bắt đầu thực hiện dịch vụ kiểm toán: Sẽ thống nhất trong quá trình thương thảo Hợp đồng sau này.</w:t>
      </w:r>
    </w:p>
    <w:p w:rsidR="00415657" w:rsidRPr="00DF688D" w:rsidRDefault="00415657" w:rsidP="00F1338F">
      <w:pPr>
        <w:spacing w:before="60" w:after="60" w:line="240" w:lineRule="auto"/>
        <w:jc w:val="both"/>
        <w:rPr>
          <w:rFonts w:ascii="Times New Roman" w:eastAsia="Times New Roman" w:hAnsi="Times New Roman" w:cs="Times New Roman"/>
          <w:b/>
          <w:sz w:val="28"/>
          <w:szCs w:val="28"/>
          <w:lang w:val="it-IT"/>
        </w:rPr>
      </w:pPr>
      <w:r w:rsidRPr="00DF688D">
        <w:rPr>
          <w:rFonts w:ascii="Times New Roman" w:eastAsia="Times New Roman" w:hAnsi="Times New Roman" w:cs="Times New Roman"/>
          <w:b/>
          <w:sz w:val="28"/>
          <w:szCs w:val="28"/>
          <w:lang w:val="it-IT"/>
        </w:rPr>
        <w:t>III. Báo cáo và thời gian thực hiện:</w:t>
      </w:r>
    </w:p>
    <w:p w:rsidR="00415657" w:rsidRPr="00DF688D" w:rsidRDefault="00415657" w:rsidP="00F1338F">
      <w:pPr>
        <w:numPr>
          <w:ilvl w:val="0"/>
          <w:numId w:val="2"/>
        </w:numPr>
        <w:tabs>
          <w:tab w:val="clear" w:pos="1440"/>
          <w:tab w:val="left" w:pos="720"/>
        </w:tabs>
        <w:spacing w:before="60" w:after="60" w:line="360" w:lineRule="exact"/>
        <w:ind w:left="0" w:firstLine="0"/>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Nhà thầu phải nộp các báo cáo Kiểm toán đã thực hiện hằng tuần cho Bên mời thầu. Thời gian nộp báo cáo là thứ sáu hàng tuần. Ngoài ra, tùy theo tình hình công việc đột xuất liên quan đến kiểm toán, Bên mời thầu có quyền yêu cầu nhà thầu báo cáo các công việc liên quan mà không đòi hỏi bất kỳ quyền lợi nào.</w:t>
      </w:r>
    </w:p>
    <w:p w:rsidR="00415657" w:rsidRPr="00DF688D" w:rsidRDefault="00415657" w:rsidP="00F1338F">
      <w:pPr>
        <w:numPr>
          <w:ilvl w:val="0"/>
          <w:numId w:val="2"/>
        </w:numPr>
        <w:tabs>
          <w:tab w:val="clear" w:pos="1440"/>
          <w:tab w:val="left" w:pos="720"/>
        </w:tabs>
        <w:spacing w:before="60" w:after="60" w:line="360" w:lineRule="exact"/>
        <w:ind w:left="0" w:firstLine="0"/>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Số lượng báo cáo kiểm toán cần nộp: 06 bộ báo cáo kiểm toán trong đó bên A giữ 05 bộ, bên B giữ 01 bộ.</w:t>
      </w:r>
    </w:p>
    <w:p w:rsidR="00415657" w:rsidRPr="00DF688D" w:rsidRDefault="00415657" w:rsidP="00F1338F">
      <w:pPr>
        <w:numPr>
          <w:ilvl w:val="0"/>
          <w:numId w:val="2"/>
        </w:numPr>
        <w:tabs>
          <w:tab w:val="clear" w:pos="1440"/>
          <w:tab w:val="left" w:pos="720"/>
        </w:tabs>
        <w:spacing w:before="60" w:after="60" w:line="360" w:lineRule="exact"/>
        <w:ind w:left="0" w:firstLine="0"/>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Thời gian thực hiện hợp đồng: 30 ngày.</w:t>
      </w:r>
    </w:p>
    <w:p w:rsidR="00415657" w:rsidRPr="00DF688D" w:rsidRDefault="00415657" w:rsidP="00F1338F">
      <w:pPr>
        <w:spacing w:before="60" w:after="60" w:line="240" w:lineRule="auto"/>
        <w:jc w:val="both"/>
        <w:rPr>
          <w:rFonts w:ascii="Times New Roman" w:eastAsia="Times New Roman" w:hAnsi="Times New Roman" w:cs="Times New Roman"/>
          <w:b/>
          <w:sz w:val="28"/>
          <w:szCs w:val="28"/>
          <w:lang w:val="it-IT"/>
        </w:rPr>
      </w:pPr>
      <w:r w:rsidRPr="00DF688D">
        <w:rPr>
          <w:rFonts w:ascii="Times New Roman" w:eastAsia="Times New Roman" w:hAnsi="Times New Roman" w:cs="Times New Roman"/>
          <w:b/>
          <w:sz w:val="28"/>
          <w:szCs w:val="28"/>
          <w:lang w:val="it-IT"/>
        </w:rPr>
        <w:t>IV. Kinh nghiệm và nhân sự của nhà thầu:</w:t>
      </w:r>
    </w:p>
    <w:p w:rsidR="00CD6808" w:rsidRPr="00DF688D" w:rsidRDefault="00CD6808" w:rsidP="00F1338F">
      <w:pPr>
        <w:pStyle w:val="ListParagraph"/>
        <w:numPr>
          <w:ilvl w:val="0"/>
          <w:numId w:val="9"/>
        </w:numPr>
        <w:spacing w:before="120" w:after="120" w:line="240" w:lineRule="auto"/>
        <w:ind w:left="0" w:firstLine="0"/>
        <w:jc w:val="both"/>
        <w:rPr>
          <w:rFonts w:ascii="Times New Roman" w:hAnsi="Times New Roman" w:cs="Times New Roman"/>
          <w:iCs/>
          <w:sz w:val="28"/>
          <w:szCs w:val="28"/>
          <w:lang w:val="it-IT"/>
        </w:rPr>
      </w:pPr>
      <w:r w:rsidRPr="00DF688D">
        <w:rPr>
          <w:rFonts w:ascii="Times New Roman" w:hAnsi="Times New Roman" w:cs="Times New Roman"/>
          <w:iCs/>
          <w:sz w:val="28"/>
          <w:szCs w:val="28"/>
          <w:lang w:val="it-IT"/>
        </w:rPr>
        <w:t>Đáp ứng yêu cầu tại Chương II: Bảng dữ liệu đấu thầu và Chương III: Tiêu chuẩn đánh giá E-HSDT.</w:t>
      </w:r>
    </w:p>
    <w:p w:rsidR="00415657" w:rsidRPr="00DF688D" w:rsidRDefault="00415657" w:rsidP="00F1338F">
      <w:pPr>
        <w:numPr>
          <w:ilvl w:val="0"/>
          <w:numId w:val="2"/>
        </w:numPr>
        <w:tabs>
          <w:tab w:val="clear" w:pos="1440"/>
          <w:tab w:val="left" w:pos="720"/>
        </w:tabs>
        <w:spacing w:before="60" w:after="60" w:line="360" w:lineRule="exact"/>
        <w:ind w:left="0" w:firstLine="0"/>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Nêu rõ tất cả các thành viên tham gia dự án kể cả các thành viên thực hiện kiểm tra, soát xét. Năng lực các Nhân sự tham gia phải đảm bảo yêu cầu trong hồ sơ mời thầu và Hồ sơ dự thầu.</w:t>
      </w:r>
    </w:p>
    <w:p w:rsidR="00415657" w:rsidRPr="00DF688D" w:rsidRDefault="00415657" w:rsidP="00F1338F">
      <w:pPr>
        <w:numPr>
          <w:ilvl w:val="0"/>
          <w:numId w:val="2"/>
        </w:numPr>
        <w:tabs>
          <w:tab w:val="clear" w:pos="1440"/>
          <w:tab w:val="left" w:pos="720"/>
        </w:tabs>
        <w:spacing w:before="60" w:after="60" w:line="360" w:lineRule="exact"/>
        <w:ind w:left="0" w:firstLine="0"/>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bookmarkStart w:id="2" w:name="_GoBack"/>
      <w:bookmarkEnd w:id="2"/>
    </w:p>
    <w:p w:rsidR="00415657" w:rsidRPr="00DF688D" w:rsidRDefault="00415657" w:rsidP="00F1338F">
      <w:pPr>
        <w:spacing w:before="60" w:after="60" w:line="240" w:lineRule="auto"/>
        <w:jc w:val="both"/>
        <w:rPr>
          <w:rFonts w:ascii="Times New Roman" w:eastAsia="Times New Roman" w:hAnsi="Times New Roman" w:cs="Times New Roman"/>
          <w:b/>
          <w:sz w:val="28"/>
          <w:szCs w:val="28"/>
          <w:lang w:val="it-IT"/>
        </w:rPr>
      </w:pPr>
      <w:r w:rsidRPr="00DF688D">
        <w:rPr>
          <w:rFonts w:ascii="Times New Roman" w:eastAsia="Times New Roman" w:hAnsi="Times New Roman" w:cs="Times New Roman"/>
          <w:b/>
          <w:sz w:val="28"/>
          <w:szCs w:val="28"/>
          <w:lang w:val="it-IT"/>
        </w:rPr>
        <w:t>V. Trách nhiệm của chủ đầu tư:</w:t>
      </w:r>
    </w:p>
    <w:p w:rsidR="00587006"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Bảo đảm cung cấp kịp thời cho Bên B toàn bộ hồ sơ, tài liệu cần thiết có liên quan đến cuộc kiểm toán báo cáo quyết toán vốn đầu tư theo quy định hiện hành, bao gồm: Tờ trình đề nghị phê duyệt quyết toán vốn đầu tư; Báo cáo quyết toán vốn đầu tư; Các văn bản pháp lý có liên quan; Các hợp đồng kinh tế và biên bản thanh lý hợp đồng; Các biên bản nghiệm thu giai đoạn, biên bản tổng nghiệm thu khối lượng xây lắp hoàn thành; Hồ sơ hoàn công, nhật ký thi công, hồ sơ đấu thầu, dự toán thiết kế... và các hồ sơ, tài liệu khác có liên quan đến dự án và chịu trách nhiệm pháp lý đối với các hồ sơ tài liệu cung cấp cho kiểm toán;</w:t>
      </w:r>
    </w:p>
    <w:p w:rsidR="00587006"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Cử cán bộ chuyên môn cùng tham gia với Bên B để thuyết minh, xác định chính xác các nội dung công việc khi có yêu cầu của Bên B;</w:t>
      </w:r>
    </w:p>
    <w:p w:rsidR="00587006"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Báo cáo quyết toán vốn đầu tư hoàn thành dùng để kiểm toán phải được Bên A ký và đóng dấu chính thức trước khi cung cấp cho Bên B. Việc lập báo cáo quyết toán vốn đầu tư hoàn thành trung thực, hợp lý và công bố các thông tin khác là trách nhiệm </w:t>
      </w:r>
      <w:r w:rsidRPr="00DF688D">
        <w:rPr>
          <w:rFonts w:ascii="Times New Roman" w:eastAsia="Times New Roman" w:hAnsi="Times New Roman" w:cs="Times New Roman"/>
          <w:sz w:val="28"/>
          <w:szCs w:val="28"/>
          <w:lang w:val="it-IT"/>
        </w:rPr>
        <w:lastRenderedPageBreak/>
        <w:t xml:space="preserve">của Bên A. Trách nhiệm này đòi hỏi hệ thống kế toán và hệ thống kiểm soát nội bộ phải thích đáng, sự lựa chọn và áp dụng đúng đắn các chính sách kế toán và việc đảm bảo an toàn cho các tài sản của đơn vị; </w:t>
      </w:r>
    </w:p>
    <w:p w:rsidR="00587006"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Bên B có thể yêu cầu Bên A xác nhận bằng văn bản sự đảm bảo về các thông tin và tài liệu liên quan đến cuộc kiểm toán đã cung cấp cho Bên B (Trong trường hợp cần thiết);</w:t>
      </w:r>
    </w:p>
    <w:p w:rsidR="00587006"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 xml:space="preserve">- Cử nhân viên của Bên A tham gia, phối hợp với Bên B và tạo điều kiện thuận lợi để Bên B có thể xem xét tất cả chứng từ, sổ kế toán và các thông tin khác cần thiết cho cuộc kiểm toán; </w:t>
      </w:r>
    </w:p>
    <w:p w:rsidR="00CD6808" w:rsidRPr="00DF688D" w:rsidRDefault="00587006" w:rsidP="00F1338F">
      <w:pPr>
        <w:spacing w:before="120" w:after="120" w:line="240" w:lineRule="auto"/>
        <w:ind w:firstLine="567"/>
        <w:jc w:val="both"/>
        <w:rPr>
          <w:rFonts w:ascii="Times New Roman" w:eastAsia="Times New Roman" w:hAnsi="Times New Roman" w:cs="Times New Roman"/>
          <w:sz w:val="28"/>
          <w:szCs w:val="28"/>
          <w:lang w:val="it-IT"/>
        </w:rPr>
      </w:pPr>
      <w:r w:rsidRPr="00DF688D">
        <w:rPr>
          <w:rFonts w:ascii="Times New Roman" w:eastAsia="Times New Roman" w:hAnsi="Times New Roman" w:cs="Times New Roman"/>
          <w:sz w:val="28"/>
          <w:szCs w:val="28"/>
          <w:lang w:val="it-IT"/>
        </w:rPr>
        <w:tab/>
        <w:t>- Tạo điều kiện cho Bên B khảo sát, kiểm tra hiện trường khi có yêu cầu của Bên B.</w:t>
      </w:r>
    </w:p>
    <w:p w:rsidR="00CD6808" w:rsidRPr="00DF688D" w:rsidRDefault="00CD6808" w:rsidP="00F1338F">
      <w:pPr>
        <w:spacing w:before="60" w:after="60" w:line="240" w:lineRule="auto"/>
        <w:ind w:firstLine="284"/>
        <w:jc w:val="both"/>
        <w:rPr>
          <w:rFonts w:ascii="Times New Roman" w:eastAsia="Times New Roman" w:hAnsi="Times New Roman" w:cs="Times New Roman"/>
          <w:b/>
          <w:bCs/>
          <w:iCs/>
          <w:sz w:val="28"/>
          <w:szCs w:val="28"/>
          <w:lang w:val="it-IT"/>
        </w:rPr>
      </w:pPr>
      <w:r w:rsidRPr="00DF688D">
        <w:rPr>
          <w:rFonts w:ascii="Times New Roman" w:eastAsia="Times New Roman" w:hAnsi="Times New Roman" w:cs="Times New Roman"/>
          <w:b/>
          <w:bCs/>
          <w:iCs/>
          <w:sz w:val="28"/>
          <w:szCs w:val="28"/>
          <w:lang w:val="it-IT"/>
        </w:rPr>
        <w:t>VI. Trách nhiệm của nhà thầu kiểm toán:</w:t>
      </w:r>
    </w:p>
    <w:p w:rsidR="00CD6808" w:rsidRPr="00DF688D" w:rsidRDefault="00CD6808" w:rsidP="00F1338F">
      <w:pPr>
        <w:numPr>
          <w:ilvl w:val="0"/>
          <w:numId w:val="9"/>
        </w:numPr>
        <w:spacing w:before="120" w:after="120" w:line="240" w:lineRule="auto"/>
        <w:ind w:left="851" w:hanging="284"/>
        <w:contextualSpacing/>
        <w:jc w:val="both"/>
        <w:rPr>
          <w:rFonts w:ascii="Times New Roman" w:eastAsia="Times New Roman" w:hAnsi="Times New Roman" w:cs="Times New Roman"/>
          <w:iCs/>
          <w:sz w:val="28"/>
          <w:szCs w:val="28"/>
          <w:lang w:val="it-IT"/>
        </w:rPr>
      </w:pPr>
      <w:r w:rsidRPr="00DF688D">
        <w:rPr>
          <w:rFonts w:ascii="Times New Roman" w:eastAsia="Times New Roman" w:hAnsi="Times New Roman" w:cs="Times New Roman"/>
          <w:iCs/>
          <w:sz w:val="28"/>
          <w:szCs w:val="28"/>
          <w:lang w:val="it-IT"/>
        </w:rPr>
        <w:t>Bảo đảm tuân thủ các chuẩn mực kiểm toán hiện hành.</w:t>
      </w:r>
    </w:p>
    <w:p w:rsidR="00CD6808" w:rsidRPr="00DF688D" w:rsidRDefault="00CD6808" w:rsidP="00F1338F">
      <w:pPr>
        <w:numPr>
          <w:ilvl w:val="0"/>
          <w:numId w:val="9"/>
        </w:numPr>
        <w:spacing w:before="120" w:after="120" w:line="240" w:lineRule="auto"/>
        <w:ind w:left="851" w:hanging="284"/>
        <w:contextualSpacing/>
        <w:jc w:val="both"/>
        <w:rPr>
          <w:rFonts w:ascii="Times New Roman" w:eastAsia="Times New Roman" w:hAnsi="Times New Roman" w:cs="Times New Roman"/>
          <w:iCs/>
          <w:sz w:val="28"/>
          <w:szCs w:val="28"/>
          <w:lang w:val="it-IT"/>
        </w:rPr>
      </w:pPr>
      <w:r w:rsidRPr="00DF688D">
        <w:rPr>
          <w:rFonts w:ascii="Times New Roman" w:eastAsia="Times New Roman" w:hAnsi="Times New Roman" w:cs="Times New Roman"/>
          <w:iCs/>
          <w:sz w:val="28"/>
          <w:szCs w:val="28"/>
          <w:lang w:val="it-IT"/>
        </w:rPr>
        <w:t>Chịu trách nhiệm trước pháp luật và chủ đầu tư về nội dung và tính đúng đắn của số liệu trong báo cáo kiểm toán trên cơ sở hồ sơ quyết toán do chủ đầu tư cung cấp.</w:t>
      </w:r>
    </w:p>
    <w:p w:rsidR="00CD6808" w:rsidRPr="00DF688D" w:rsidRDefault="00CD6808" w:rsidP="00F1338F">
      <w:pPr>
        <w:numPr>
          <w:ilvl w:val="0"/>
          <w:numId w:val="9"/>
        </w:numPr>
        <w:spacing w:before="120" w:after="120" w:line="240" w:lineRule="auto"/>
        <w:ind w:left="851" w:hanging="284"/>
        <w:contextualSpacing/>
        <w:jc w:val="both"/>
        <w:rPr>
          <w:rFonts w:ascii="Times New Roman" w:eastAsia="Times New Roman" w:hAnsi="Times New Roman" w:cs="Times New Roman"/>
          <w:iCs/>
          <w:sz w:val="28"/>
          <w:szCs w:val="28"/>
          <w:lang w:val="it-IT"/>
        </w:rPr>
      </w:pPr>
      <w:r w:rsidRPr="00DF688D">
        <w:rPr>
          <w:rFonts w:ascii="Times New Roman" w:eastAsia="Times New Roman" w:hAnsi="Times New Roman" w:cs="Times New Roman"/>
          <w:iCs/>
          <w:sz w:val="28"/>
          <w:szCs w:val="28"/>
          <w:lang w:val="it-IT"/>
        </w:rPr>
        <w:t>Cùng bên mời thầu làm việc với các bên hữu quan, với cơ quan thẩm tra phê duyệt báo cáo quyết toán (khi có yêu cầu của bên mời thầu) và đề xuất các giải pháp liên quan đến kết quả của cuộc kiểm toán.</w:t>
      </w:r>
    </w:p>
    <w:p w:rsidR="00CD6808" w:rsidRPr="00DF688D" w:rsidRDefault="00CD6808" w:rsidP="00F1338F">
      <w:pPr>
        <w:spacing w:after="0" w:line="240" w:lineRule="auto"/>
        <w:jc w:val="both"/>
        <w:rPr>
          <w:rFonts w:ascii="Times New Roman" w:eastAsia="Times New Roman" w:hAnsi="Times New Roman" w:cs="Times New Roman"/>
          <w:sz w:val="24"/>
          <w:szCs w:val="20"/>
        </w:rPr>
      </w:pPr>
    </w:p>
    <w:p w:rsidR="00587006" w:rsidRPr="00DF688D" w:rsidRDefault="00587006" w:rsidP="00F1338F">
      <w:pPr>
        <w:spacing w:before="120" w:after="120" w:line="240" w:lineRule="auto"/>
        <w:jc w:val="both"/>
        <w:rPr>
          <w:rFonts w:ascii="Times New Roman" w:eastAsia="Times New Roman" w:hAnsi="Times New Roman" w:cs="Times New Roman"/>
          <w:sz w:val="24"/>
          <w:szCs w:val="20"/>
        </w:rPr>
      </w:pPr>
    </w:p>
    <w:p w:rsidR="003E3877" w:rsidRPr="00DF688D" w:rsidRDefault="003E3877" w:rsidP="00F1338F">
      <w:pPr>
        <w:numPr>
          <w:ilvl w:val="0"/>
          <w:numId w:val="2"/>
        </w:numPr>
        <w:tabs>
          <w:tab w:val="left" w:pos="567"/>
        </w:tabs>
        <w:spacing w:before="60" w:after="60" w:line="360" w:lineRule="exact"/>
        <w:ind w:firstLine="284"/>
        <w:jc w:val="both"/>
        <w:rPr>
          <w:rFonts w:ascii="Times New Roman" w:hAnsi="Times New Roman" w:cs="Times New Roman"/>
        </w:rPr>
      </w:pPr>
    </w:p>
    <w:sectPr w:rsidR="003E3877" w:rsidRPr="00DF688D" w:rsidSect="00C67F2F">
      <w:pgSz w:w="12240" w:h="15840" w:code="1"/>
      <w:pgMar w:top="907" w:right="116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849"/>
      </v:shape>
    </w:pict>
  </w:numPicBullet>
  <w:abstractNum w:abstractNumId="0" w15:restartNumberingAfterBreak="0">
    <w:nsid w:val="056179B8"/>
    <w:multiLevelType w:val="hybridMultilevel"/>
    <w:tmpl w:val="93105F90"/>
    <w:lvl w:ilvl="0" w:tplc="97FE7928">
      <w:start w:val="1"/>
      <w:numFmt w:val="lowerLetter"/>
      <w:lvlText w:val="%1."/>
      <w:lvlJc w:val="left"/>
      <w:pPr>
        <w:ind w:left="2367" w:hanging="360"/>
      </w:pPr>
      <w:rPr>
        <w:rFonts w:ascii="Calibri Light" w:hAnsi="Calibri Light" w:cs="Calibri Light"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 w15:restartNumberingAfterBreak="0">
    <w:nsid w:val="0DF53502"/>
    <w:multiLevelType w:val="hybridMultilevel"/>
    <w:tmpl w:val="9508BC44"/>
    <w:lvl w:ilvl="0" w:tplc="7E8671E6">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F823EE"/>
    <w:multiLevelType w:val="hybridMultilevel"/>
    <w:tmpl w:val="6102DEB8"/>
    <w:lvl w:ilvl="0" w:tplc="C59ED0C0">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8EB375F"/>
    <w:multiLevelType w:val="hybridMultilevel"/>
    <w:tmpl w:val="53B01B28"/>
    <w:lvl w:ilvl="0" w:tplc="64E061FA">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15:restartNumberingAfterBreak="0">
    <w:nsid w:val="325637EF"/>
    <w:multiLevelType w:val="hybridMultilevel"/>
    <w:tmpl w:val="8DD806E6"/>
    <w:lvl w:ilvl="0" w:tplc="5DFCE346">
      <w:start w:val="8"/>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cs="Times New Roman" w:hint="default"/>
        <w:b w:val="0"/>
        <w:i w:val="0"/>
        <w:strike w:val="0"/>
        <w:dstrike w:val="0"/>
        <w:color w:val="auto"/>
        <w:sz w:val="26"/>
        <w:szCs w:val="26"/>
        <w:u w:val="none"/>
        <w:effect w:val="none"/>
      </w:rPr>
    </w:lvl>
    <w:lvl w:ilvl="1" w:tplc="FFFFFFFF">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cs="Times New Roman" w:hint="default"/>
        <w:b w:val="0"/>
        <w:i w:val="0"/>
        <w:strike w:val="0"/>
        <w:dstrike w:val="0"/>
        <w:color w:val="auto"/>
        <w:sz w:val="26"/>
        <w:szCs w:val="26"/>
        <w:u w:val="none"/>
        <w:effect w:val="none"/>
      </w:rPr>
    </w:lvl>
    <w:lvl w:ilvl="3" w:tplc="FFFFFFFF">
      <w:start w:val="1"/>
      <w:numFmt w:val="bullet"/>
      <w:lvlText w:val=""/>
      <w:lvlJc w:val="left"/>
      <w:pPr>
        <w:tabs>
          <w:tab w:val="num" w:pos="4815"/>
        </w:tabs>
        <w:ind w:left="4815" w:hanging="360"/>
      </w:pPr>
      <w:rPr>
        <w:rFonts w:ascii="Symbol" w:hAnsi="Symbol" w:hint="default"/>
      </w:rPr>
    </w:lvl>
    <w:lvl w:ilvl="4" w:tplc="FFFFFFFF">
      <w:start w:val="1"/>
      <w:numFmt w:val="bullet"/>
      <w:lvlText w:val="o"/>
      <w:lvlJc w:val="left"/>
      <w:pPr>
        <w:tabs>
          <w:tab w:val="num" w:pos="5535"/>
        </w:tabs>
        <w:ind w:left="5535" w:hanging="360"/>
      </w:pPr>
      <w:rPr>
        <w:rFonts w:ascii="Courier New" w:hAnsi="Courier New" w:cs="Courier New" w:hint="default"/>
      </w:rPr>
    </w:lvl>
    <w:lvl w:ilvl="5" w:tplc="FFFFFFFF">
      <w:start w:val="1"/>
      <w:numFmt w:val="bullet"/>
      <w:lvlText w:val=""/>
      <w:lvlJc w:val="left"/>
      <w:pPr>
        <w:tabs>
          <w:tab w:val="num" w:pos="6255"/>
        </w:tabs>
        <w:ind w:left="6255" w:hanging="360"/>
      </w:pPr>
      <w:rPr>
        <w:rFonts w:ascii="Wingdings" w:hAnsi="Wingdings" w:hint="default"/>
      </w:rPr>
    </w:lvl>
    <w:lvl w:ilvl="6" w:tplc="FFFFFFFF">
      <w:start w:val="1"/>
      <w:numFmt w:val="bullet"/>
      <w:lvlText w:val=""/>
      <w:lvlJc w:val="left"/>
      <w:pPr>
        <w:tabs>
          <w:tab w:val="num" w:pos="6975"/>
        </w:tabs>
        <w:ind w:left="6975" w:hanging="360"/>
      </w:pPr>
      <w:rPr>
        <w:rFonts w:ascii="Symbol" w:hAnsi="Symbol" w:hint="default"/>
      </w:rPr>
    </w:lvl>
    <w:lvl w:ilvl="7" w:tplc="FFFFFFFF">
      <w:start w:val="1"/>
      <w:numFmt w:val="bullet"/>
      <w:lvlText w:val="o"/>
      <w:lvlJc w:val="left"/>
      <w:pPr>
        <w:tabs>
          <w:tab w:val="num" w:pos="7695"/>
        </w:tabs>
        <w:ind w:left="7695" w:hanging="360"/>
      </w:pPr>
      <w:rPr>
        <w:rFonts w:ascii="Courier New" w:hAnsi="Courier New" w:cs="Courier New" w:hint="default"/>
      </w:rPr>
    </w:lvl>
    <w:lvl w:ilvl="8" w:tplc="FFFFFFFF">
      <w:start w:val="1"/>
      <w:numFmt w:val="bullet"/>
      <w:lvlText w:val=""/>
      <w:lvlJc w:val="left"/>
      <w:pPr>
        <w:tabs>
          <w:tab w:val="num" w:pos="8415"/>
        </w:tabs>
        <w:ind w:left="8415" w:hanging="360"/>
      </w:pPr>
      <w:rPr>
        <w:rFonts w:ascii="Wingdings" w:hAnsi="Wingdings" w:hint="default"/>
      </w:rPr>
    </w:lvl>
  </w:abstractNum>
  <w:abstractNum w:abstractNumId="6"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49767DE7"/>
    <w:multiLevelType w:val="hybridMultilevel"/>
    <w:tmpl w:val="BA0CD868"/>
    <w:lvl w:ilvl="0" w:tplc="91225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65791"/>
    <w:multiLevelType w:val="hybridMultilevel"/>
    <w:tmpl w:val="1A9ADD44"/>
    <w:lvl w:ilvl="0" w:tplc="FFFFFFFF">
      <w:numFmt w:val="bullet"/>
      <w:pStyle w:val="BodyTextlist1"/>
      <w:lvlText w:val="-"/>
      <w:lvlJc w:val="left"/>
      <w:pPr>
        <w:tabs>
          <w:tab w:val="num" w:pos="1134"/>
        </w:tabs>
        <w:ind w:left="1134" w:hanging="454"/>
      </w:pPr>
      <w:rPr>
        <w:rFonts w:ascii="Times New Roman" w:hAnsi="Times New Roman" w:cs="Times New Roman" w:hint="default"/>
        <w:color w:val="auto"/>
      </w:rPr>
    </w:lvl>
    <w:lvl w:ilvl="1" w:tplc="FFFFFFFF">
      <w:start w:val="1"/>
      <w:numFmt w:val="bullet"/>
      <w:lvlText w:val=""/>
      <w:lvlPicBulletId w:val="0"/>
      <w:lvlJc w:val="left"/>
      <w:pPr>
        <w:tabs>
          <w:tab w:val="num" w:pos="2120"/>
        </w:tabs>
        <w:ind w:left="2120" w:hanging="360"/>
      </w:pPr>
      <w:rPr>
        <w:rFonts w:ascii="Symbol" w:hAnsi="Symbol" w:hint="default"/>
        <w:color w:val="auto"/>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0"/>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89"/>
    <w:rsid w:val="0016673B"/>
    <w:rsid w:val="001A4689"/>
    <w:rsid w:val="00203CE3"/>
    <w:rsid w:val="003E3877"/>
    <w:rsid w:val="00415657"/>
    <w:rsid w:val="004D5AFD"/>
    <w:rsid w:val="00587006"/>
    <w:rsid w:val="00595572"/>
    <w:rsid w:val="00AA2438"/>
    <w:rsid w:val="00C67F2F"/>
    <w:rsid w:val="00CD6808"/>
    <w:rsid w:val="00CF4325"/>
    <w:rsid w:val="00DF688D"/>
    <w:rsid w:val="00EE3209"/>
    <w:rsid w:val="00F1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090E"/>
  <w15:chartTrackingRefBased/>
  <w15:docId w15:val="{CB3639D3-3AF1-4C03-A927-B1D50AB4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1">
    <w:name w:val="Body Text list 1"/>
    <w:qFormat/>
    <w:rsid w:val="00415657"/>
    <w:pPr>
      <w:numPr>
        <w:numId w:val="3"/>
      </w:numPr>
      <w:spacing w:before="120" w:after="120" w:line="288" w:lineRule="auto"/>
    </w:pPr>
    <w:rPr>
      <w:rFonts w:ascii="Times New Roman" w:eastAsia="Times New Roman" w:hAnsi="Times New Roman" w:cs="Times New Roman"/>
      <w:sz w:val="26"/>
      <w:szCs w:val="26"/>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F4325"/>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CD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8</cp:revision>
  <dcterms:created xsi:type="dcterms:W3CDTF">2026-01-27T08:16:00Z</dcterms:created>
  <dcterms:modified xsi:type="dcterms:W3CDTF">2026-01-28T10:00:00Z</dcterms:modified>
</cp:coreProperties>
</file>