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30FF" w14:textId="77777777" w:rsidR="00F81A75" w:rsidRPr="00766EE4" w:rsidRDefault="00F81A75" w:rsidP="00766EE4">
      <w:pPr>
        <w:spacing w:before="120" w:after="120" w:line="276" w:lineRule="auto"/>
        <w:jc w:val="center"/>
        <w:outlineLvl w:val="0"/>
        <w:rPr>
          <w:b/>
          <w:sz w:val="26"/>
          <w:szCs w:val="26"/>
          <w:lang w:val="nl-NL"/>
        </w:rPr>
      </w:pPr>
      <w:r w:rsidRPr="00766EE4">
        <w:rPr>
          <w:b/>
          <w:sz w:val="26"/>
          <w:szCs w:val="26"/>
          <w:lang w:val="nl-NL"/>
        </w:rPr>
        <w:t>Phần 2. YÊU CẦU VỀ KỸ THUẬT</w:t>
      </w:r>
    </w:p>
    <w:p w14:paraId="761D7B3A" w14:textId="77777777" w:rsidR="00F81A75" w:rsidRPr="00766EE4" w:rsidRDefault="00F81A75" w:rsidP="00766EE4">
      <w:pPr>
        <w:widowControl w:val="0"/>
        <w:spacing w:before="120" w:after="120" w:line="276" w:lineRule="auto"/>
        <w:jc w:val="center"/>
        <w:outlineLvl w:val="1"/>
        <w:rPr>
          <w:sz w:val="26"/>
          <w:szCs w:val="26"/>
          <w:lang w:val="nl-NL"/>
        </w:rPr>
      </w:pPr>
      <w:r w:rsidRPr="00766EE4">
        <w:rPr>
          <w:b/>
          <w:sz w:val="26"/>
          <w:szCs w:val="26"/>
          <w:lang w:val="nl-NL"/>
        </w:rPr>
        <w:t>Chương V. YÊU CẦU VỀ KỸ THUẬT</w:t>
      </w:r>
    </w:p>
    <w:p w14:paraId="640D630B" w14:textId="77777777" w:rsidR="00F81A75" w:rsidRPr="00766EE4" w:rsidRDefault="00F81A75" w:rsidP="00766EE4">
      <w:pPr>
        <w:pStyle w:val="SectionVIHeader"/>
        <w:widowControl w:val="0"/>
        <w:spacing w:after="120" w:line="276" w:lineRule="auto"/>
        <w:ind w:firstLine="567"/>
        <w:jc w:val="both"/>
        <w:rPr>
          <w:sz w:val="26"/>
          <w:szCs w:val="26"/>
          <w:lang w:val="nl-NL"/>
        </w:rPr>
      </w:pPr>
      <w:r w:rsidRPr="00766EE4">
        <w:rPr>
          <w:sz w:val="26"/>
          <w:szCs w:val="26"/>
          <w:lang w:val="nl-NL"/>
        </w:rPr>
        <w:t>Mục 1. Yêu cầu về kỹ thuật</w:t>
      </w:r>
    </w:p>
    <w:p w14:paraId="709D8A50" w14:textId="77777777" w:rsidR="00F81A75" w:rsidRPr="00766EE4" w:rsidRDefault="00F81A75" w:rsidP="00766EE4">
      <w:pPr>
        <w:widowControl w:val="0"/>
        <w:spacing w:before="120" w:after="120" w:line="276" w:lineRule="auto"/>
        <w:ind w:firstLine="567"/>
        <w:rPr>
          <w:b/>
          <w:sz w:val="26"/>
          <w:szCs w:val="26"/>
          <w:lang w:val="nl-NL"/>
        </w:rPr>
      </w:pPr>
      <w:r w:rsidRPr="00766EE4">
        <w:rPr>
          <w:b/>
          <w:sz w:val="26"/>
          <w:szCs w:val="26"/>
          <w:lang w:val="nl-NL"/>
        </w:rPr>
        <w:t>1.1. Giới thiệu chung về dự án/</w:t>
      </w:r>
      <w:r w:rsidRPr="00766EE4">
        <w:rPr>
          <w:b/>
          <w:sz w:val="26"/>
          <w:szCs w:val="26"/>
        </w:rPr>
        <w:t>dự toán mua sắm</w:t>
      </w:r>
      <w:r w:rsidRPr="00766EE4">
        <w:rPr>
          <w:b/>
          <w:sz w:val="26"/>
          <w:szCs w:val="26"/>
          <w:lang w:val="nl-NL"/>
        </w:rPr>
        <w:t>, gói thầu</w:t>
      </w:r>
    </w:p>
    <w:p w14:paraId="66D01FCA" w14:textId="77777777" w:rsidR="00F81A75" w:rsidRPr="00766EE4" w:rsidRDefault="00F81A75" w:rsidP="00766EE4">
      <w:pPr>
        <w:widowControl w:val="0"/>
        <w:spacing w:before="120" w:after="120" w:line="276" w:lineRule="auto"/>
        <w:ind w:firstLine="567"/>
        <w:rPr>
          <w:sz w:val="26"/>
          <w:szCs w:val="26"/>
          <w:lang w:val="nl-NL"/>
        </w:rPr>
      </w:pPr>
      <w:r w:rsidRPr="00766EE4">
        <w:rPr>
          <w:sz w:val="26"/>
          <w:szCs w:val="26"/>
          <w:lang w:val="nl-NL"/>
        </w:rPr>
        <w:t xml:space="preserve">- Tên dự toán: </w:t>
      </w:r>
      <w:r w:rsidR="003C5C5A" w:rsidRPr="00766EE4">
        <w:rPr>
          <w:sz w:val="26"/>
          <w:szCs w:val="26"/>
          <w:lang w:val="nl-NL"/>
        </w:rPr>
        <w:t>Mua phân bón phục vụ trồng chuối cấy mô tại Chi nhánh Đầu tư Phát triển Nông nghiệp UDCNC (đợt 1) năm 2026</w:t>
      </w:r>
    </w:p>
    <w:p w14:paraId="5960649E" w14:textId="77777777" w:rsidR="00F81A75" w:rsidRPr="00766EE4" w:rsidRDefault="00F81A75" w:rsidP="00766EE4">
      <w:pPr>
        <w:widowControl w:val="0"/>
        <w:spacing w:before="120" w:after="120" w:line="276" w:lineRule="auto"/>
        <w:ind w:firstLine="567"/>
        <w:rPr>
          <w:sz w:val="26"/>
          <w:szCs w:val="26"/>
          <w:lang w:val="nl-NL"/>
        </w:rPr>
      </w:pPr>
      <w:r w:rsidRPr="00766EE4">
        <w:rPr>
          <w:sz w:val="26"/>
          <w:szCs w:val="26"/>
          <w:lang w:val="nl-NL"/>
        </w:rPr>
        <w:t xml:space="preserve">- Tên gói thầu: </w:t>
      </w:r>
      <w:r w:rsidR="003C5C5A" w:rsidRPr="00766EE4">
        <w:rPr>
          <w:sz w:val="26"/>
          <w:szCs w:val="26"/>
          <w:lang w:val="nl-NL"/>
        </w:rPr>
        <w:t>Mua phân bón phục vụ trồng chuối cấy mô tại Chi nhánh Đầu tư Phát triển Nông nghiệp UDCNC (đợt 1) năm 2026</w:t>
      </w:r>
    </w:p>
    <w:p w14:paraId="6200F23D" w14:textId="77777777" w:rsidR="00F81A75" w:rsidRPr="00766EE4" w:rsidRDefault="003C5C5A" w:rsidP="00766EE4">
      <w:pPr>
        <w:widowControl w:val="0"/>
        <w:spacing w:before="120" w:after="120" w:line="276" w:lineRule="auto"/>
        <w:ind w:firstLine="567"/>
        <w:rPr>
          <w:sz w:val="26"/>
          <w:szCs w:val="26"/>
          <w:lang w:val="nl-NL"/>
        </w:rPr>
      </w:pPr>
      <w:r w:rsidRPr="00766EE4">
        <w:rPr>
          <w:sz w:val="26"/>
          <w:szCs w:val="26"/>
          <w:lang w:val="nl-NL"/>
        </w:rPr>
        <w:t>- Nguồn vốn: Vốn SXKD năm 2026</w:t>
      </w:r>
    </w:p>
    <w:p w14:paraId="5959FD21" w14:textId="77777777" w:rsidR="00F81A75" w:rsidRPr="00766EE4" w:rsidRDefault="00F81A75" w:rsidP="00766EE4">
      <w:pPr>
        <w:widowControl w:val="0"/>
        <w:spacing w:before="120" w:after="120" w:line="276" w:lineRule="auto"/>
        <w:ind w:firstLine="567"/>
        <w:rPr>
          <w:sz w:val="26"/>
          <w:szCs w:val="26"/>
          <w:lang w:val="nl-NL"/>
        </w:rPr>
      </w:pPr>
      <w:r w:rsidRPr="00766EE4">
        <w:rPr>
          <w:sz w:val="26"/>
          <w:szCs w:val="26"/>
          <w:lang w:val="nl-NL"/>
        </w:rPr>
        <w:t>- Thời g</w:t>
      </w:r>
      <w:r w:rsidR="003C5C5A" w:rsidRPr="00766EE4">
        <w:rPr>
          <w:sz w:val="26"/>
          <w:szCs w:val="26"/>
          <w:lang w:val="nl-NL"/>
        </w:rPr>
        <w:t>ian thực hiện hợp đồng: 15 ngày</w:t>
      </w:r>
    </w:p>
    <w:p w14:paraId="6C50B533" w14:textId="77777777" w:rsidR="00F81A75" w:rsidRPr="00766EE4" w:rsidRDefault="00F81A75" w:rsidP="00766EE4">
      <w:pPr>
        <w:widowControl w:val="0"/>
        <w:spacing w:before="120" w:after="120" w:line="276" w:lineRule="auto"/>
        <w:ind w:firstLine="567"/>
        <w:rPr>
          <w:sz w:val="26"/>
          <w:szCs w:val="26"/>
          <w:lang w:val="nl-NL"/>
        </w:rPr>
      </w:pPr>
      <w:r w:rsidRPr="00766EE4">
        <w:rPr>
          <w:sz w:val="26"/>
          <w:szCs w:val="26"/>
          <w:lang w:val="nl-NL"/>
        </w:rPr>
        <w:t xml:space="preserve">- Địa điểm cung cấp: </w:t>
      </w:r>
      <w:r w:rsidR="00FE1F8A" w:rsidRPr="00766EE4">
        <w:rPr>
          <w:sz w:val="26"/>
          <w:szCs w:val="26"/>
          <w:lang w:val="nl-NL"/>
        </w:rPr>
        <w:t xml:space="preserve">Tại </w:t>
      </w:r>
      <w:r w:rsidR="003C5C5A" w:rsidRPr="00766EE4">
        <w:rPr>
          <w:sz w:val="26"/>
          <w:szCs w:val="26"/>
          <w:lang w:val="nl-NL"/>
        </w:rPr>
        <w:t>Chi nhánh Đầu tư Phát triển Nông nghiệp UDCNC (xã Đakia, tỉnh Đồng Nai) của Công ty TNHH MTV Cao su Phú Riềng</w:t>
      </w:r>
      <w:r w:rsidR="00091471" w:rsidRPr="00766EE4">
        <w:rPr>
          <w:sz w:val="26"/>
          <w:szCs w:val="26"/>
          <w:lang w:val="nl-NL"/>
        </w:rPr>
        <w:t>.</w:t>
      </w:r>
    </w:p>
    <w:p w14:paraId="6F445A0A" w14:textId="77777777" w:rsidR="00F81A75" w:rsidRPr="00766EE4" w:rsidRDefault="00F81A75" w:rsidP="00766EE4">
      <w:pPr>
        <w:widowControl w:val="0"/>
        <w:spacing w:before="120" w:after="120" w:line="276" w:lineRule="auto"/>
        <w:ind w:firstLine="567"/>
        <w:rPr>
          <w:b/>
          <w:sz w:val="26"/>
          <w:szCs w:val="26"/>
          <w:lang w:val="nl-NL"/>
        </w:rPr>
      </w:pPr>
      <w:r w:rsidRPr="00766EE4">
        <w:rPr>
          <w:b/>
          <w:sz w:val="26"/>
          <w:szCs w:val="26"/>
          <w:lang w:val="nl-NL"/>
        </w:rPr>
        <w:t>1.2. Yêu cầu về kỹ thuật</w:t>
      </w:r>
    </w:p>
    <w:p w14:paraId="2C3F1CDB" w14:textId="77777777" w:rsidR="0040208F" w:rsidRPr="00766EE4" w:rsidRDefault="0040208F" w:rsidP="00766EE4">
      <w:pPr>
        <w:widowControl w:val="0"/>
        <w:spacing w:before="120" w:after="120" w:line="276" w:lineRule="auto"/>
        <w:ind w:firstLine="567"/>
        <w:rPr>
          <w:b/>
          <w:sz w:val="26"/>
          <w:szCs w:val="26"/>
          <w:lang w:val="nl-NL"/>
        </w:rPr>
      </w:pPr>
      <w:r w:rsidRPr="00766EE4">
        <w:rPr>
          <w:b/>
          <w:sz w:val="26"/>
          <w:szCs w:val="26"/>
          <w:lang w:val="nl-NL"/>
        </w:rPr>
        <w:t>1.2.1. Yêu cầu về kỹ thuật chung</w:t>
      </w:r>
    </w:p>
    <w:p w14:paraId="0C42D4B4" w14:textId="77777777" w:rsidR="0040208F" w:rsidRPr="00766EE4" w:rsidRDefault="0040208F" w:rsidP="00766EE4">
      <w:pPr>
        <w:widowControl w:val="0"/>
        <w:spacing w:before="120" w:after="120" w:line="276" w:lineRule="auto"/>
        <w:ind w:firstLine="567"/>
        <w:rPr>
          <w:b/>
          <w:sz w:val="26"/>
          <w:szCs w:val="26"/>
          <w:lang w:val="nl-NL"/>
        </w:rPr>
      </w:pPr>
      <w:bookmarkStart w:id="0" w:name="_Hlk165492239"/>
      <w:r w:rsidRPr="00766EE4">
        <w:rPr>
          <w:b/>
          <w:sz w:val="26"/>
          <w:szCs w:val="26"/>
          <w:lang w:val="nl-NL"/>
        </w:rPr>
        <w:t>a) Phạm vi công việc</w:t>
      </w:r>
    </w:p>
    <w:p w14:paraId="7AE6BA61"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Phạm vi công việc của nhà thầu gồm (nhưng không hạn chế) các nội dung sau:</w:t>
      </w:r>
    </w:p>
    <w:p w14:paraId="008915E6"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Cung cấp, vận chuyển hàng hóa tới địa điểm theo yêu cầu</w:t>
      </w:r>
      <w:r w:rsidR="008F74A7" w:rsidRPr="00766EE4">
        <w:rPr>
          <w:sz w:val="26"/>
          <w:szCs w:val="26"/>
          <w:lang w:val="nl-NL"/>
        </w:rPr>
        <w:t xml:space="preserve"> của Chủ đầu tư</w:t>
      </w:r>
      <w:r w:rsidRPr="00766EE4">
        <w:rPr>
          <w:sz w:val="26"/>
          <w:szCs w:val="26"/>
          <w:lang w:val="nl-NL"/>
        </w:rPr>
        <w:t>;</w:t>
      </w:r>
    </w:p>
    <w:p w14:paraId="2619D95F"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Bảo quản, nghiệm thu, bàn giao hàng hóa;</w:t>
      </w:r>
    </w:p>
    <w:p w14:paraId="48B4C98F"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 xml:space="preserve">Bàn giao hàng hóa phải thỏa mãn các yêu cầu của E-HSMT. </w:t>
      </w:r>
      <w:r w:rsidR="008F74A7" w:rsidRPr="00766EE4">
        <w:rPr>
          <w:sz w:val="26"/>
          <w:szCs w:val="26"/>
          <w:lang w:val="nl-NL"/>
        </w:rPr>
        <w:t>Nhà thầu c</w:t>
      </w:r>
      <w:r w:rsidRPr="00766EE4">
        <w:rPr>
          <w:sz w:val="26"/>
          <w:szCs w:val="26"/>
          <w:lang w:val="nl-NL"/>
        </w:rPr>
        <w:t>hịu mọi chi phí nghiệm thu, kiểm nghiệm và vận chuyển hàng hóa;</w:t>
      </w:r>
    </w:p>
    <w:p w14:paraId="5AA55331"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Bảo hành hàng hóa theo hợp đồng.</w:t>
      </w:r>
    </w:p>
    <w:p w14:paraId="1375780A" w14:textId="77777777" w:rsidR="0040208F" w:rsidRPr="00766EE4" w:rsidRDefault="0040208F" w:rsidP="00766EE4">
      <w:pPr>
        <w:widowControl w:val="0"/>
        <w:spacing w:before="120" w:after="120" w:line="276" w:lineRule="auto"/>
        <w:ind w:firstLine="567"/>
        <w:rPr>
          <w:b/>
          <w:sz w:val="26"/>
          <w:szCs w:val="26"/>
          <w:lang w:val="nl-NL"/>
        </w:rPr>
      </w:pPr>
      <w:r w:rsidRPr="00766EE4">
        <w:rPr>
          <w:b/>
          <w:sz w:val="26"/>
          <w:szCs w:val="26"/>
          <w:lang w:val="nl-NL"/>
        </w:rPr>
        <w:t>b) Các yêu cầu chung về hàng hóa cung cấp</w:t>
      </w:r>
    </w:p>
    <w:p w14:paraId="1C8AC711"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 Nhà thầu tham gia dự thầu phải chào đúng và đủ chủng loại, khối lượng hàng hoá nêu tại Bảng Phạm vi cung cấp hàng hóa thuộc Mẫu số 01A chương IV của E-HSMT;</w:t>
      </w:r>
    </w:p>
    <w:p w14:paraId="130389D5" w14:textId="086E3865"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 xml:space="preserve">- </w:t>
      </w:r>
      <w:r w:rsidR="00766EE4" w:rsidRPr="00766EE4">
        <w:rPr>
          <w:sz w:val="26"/>
          <w:szCs w:val="26"/>
          <w:lang w:val="nl-NL"/>
        </w:rPr>
        <w:t>Nhà thầu phải cung cấp các tài liệu cần thiết đối với hàng hóa và dịch vụ cung cấp như: Nguồn gốc xuất xứ rõ ràng (mã hiệu, hãng, nước, năm sản xuất), các thông số kỹ thuật,...; Hàng hóa mới 100%, được sản xuất từ năm 2025 trở về sau, hạn sử dụng tối thiểu 12 tháng kể từ ngày giao hàng.</w:t>
      </w:r>
    </w:p>
    <w:p w14:paraId="09CB5BC4"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 Tài liệu kỹ thuật trong E-HSDT: Nhà thầu phải cung cấp tài liệu kỹ thuật do hãng sản xuất</w:t>
      </w:r>
      <w:r w:rsidR="008F74A7" w:rsidRPr="00766EE4">
        <w:rPr>
          <w:sz w:val="26"/>
          <w:szCs w:val="26"/>
          <w:lang w:val="nl-NL"/>
        </w:rPr>
        <w:t xml:space="preserve"> (nhà sản xuất)</w:t>
      </w:r>
      <w:r w:rsidRPr="00766EE4">
        <w:rPr>
          <w:sz w:val="26"/>
          <w:szCs w:val="26"/>
          <w:lang w:val="nl-NL"/>
        </w:rPr>
        <w:t xml:space="preserve"> phát hành có đầy đủ nội dung chứng minh các đặc tính, thông số kỹ thuật chào thầu, nếu là ngôn ngữ không phải </w:t>
      </w:r>
      <w:r w:rsidR="002C52DC" w:rsidRPr="00766EE4">
        <w:rPr>
          <w:sz w:val="26"/>
          <w:szCs w:val="26"/>
          <w:lang w:val="nl-NL"/>
        </w:rPr>
        <w:t xml:space="preserve">là </w:t>
      </w:r>
      <w:r w:rsidR="008F74A7" w:rsidRPr="00766EE4">
        <w:rPr>
          <w:sz w:val="26"/>
          <w:szCs w:val="26"/>
          <w:lang w:val="nl-NL"/>
        </w:rPr>
        <w:t>Tiếng Việt</w:t>
      </w:r>
      <w:r w:rsidRPr="00766EE4">
        <w:rPr>
          <w:sz w:val="26"/>
          <w:szCs w:val="26"/>
          <w:lang w:val="nl-NL"/>
        </w:rPr>
        <w:t xml:space="preserve"> thì phải có bản dịch sang </w:t>
      </w:r>
      <w:r w:rsidR="008F74A7" w:rsidRPr="00766EE4">
        <w:rPr>
          <w:sz w:val="26"/>
          <w:szCs w:val="26"/>
          <w:lang w:val="nl-NL"/>
        </w:rPr>
        <w:t>T</w:t>
      </w:r>
      <w:r w:rsidRPr="00766EE4">
        <w:rPr>
          <w:sz w:val="26"/>
          <w:szCs w:val="26"/>
          <w:lang w:val="nl-NL"/>
        </w:rPr>
        <w:t>iếng Việt (nhà thầu chịu trách nhiệm về tính chính xác giữa bản gốc và bản dịch);</w:t>
      </w:r>
    </w:p>
    <w:p w14:paraId="598C2832" w14:textId="77777777" w:rsidR="003C5C5A" w:rsidRPr="00766EE4" w:rsidRDefault="003C5C5A" w:rsidP="00766EE4">
      <w:pPr>
        <w:widowControl w:val="0"/>
        <w:spacing w:before="120" w:after="120" w:line="276" w:lineRule="auto"/>
        <w:ind w:firstLine="567"/>
        <w:rPr>
          <w:sz w:val="26"/>
          <w:szCs w:val="26"/>
          <w:lang w:val="nl-NL"/>
        </w:rPr>
      </w:pPr>
      <w:r w:rsidRPr="00766EE4">
        <w:rPr>
          <w:sz w:val="26"/>
          <w:szCs w:val="26"/>
          <w:lang w:val="nl-NL"/>
        </w:rPr>
        <w:t xml:space="preserve">- Yêu cầu biện pháp, quy trình thực hiện: Nhà thầu thuyết minh biện pháp kiểm soát nội bộ trong từng công đoạn vận chuyển, bàn giao, nghiệm thu hàng hóa. Tại các </w:t>
      </w:r>
      <w:r w:rsidRPr="00766EE4">
        <w:rPr>
          <w:sz w:val="26"/>
          <w:szCs w:val="26"/>
          <w:lang w:val="nl-NL"/>
        </w:rPr>
        <w:lastRenderedPageBreak/>
        <w:t>khâu trong quy trình thực hiện nghiệp vụ phải có bộ phận kiểm tra (KCS) của nhà thầu kiểm tra tại từng công đoạn nêu trên.</w:t>
      </w:r>
    </w:p>
    <w:p w14:paraId="70EEF6A1" w14:textId="77777777" w:rsidR="0040208F" w:rsidRPr="00766EE4" w:rsidRDefault="0040208F" w:rsidP="00766EE4">
      <w:pPr>
        <w:widowControl w:val="0"/>
        <w:spacing w:before="120" w:after="120" w:line="276" w:lineRule="auto"/>
        <w:ind w:firstLine="567"/>
        <w:rPr>
          <w:b/>
          <w:sz w:val="26"/>
          <w:szCs w:val="26"/>
          <w:lang w:val="nl-NL"/>
        </w:rPr>
      </w:pPr>
      <w:r w:rsidRPr="00766EE4">
        <w:rPr>
          <w:b/>
          <w:sz w:val="26"/>
          <w:szCs w:val="26"/>
          <w:lang w:val="nl-NL"/>
        </w:rPr>
        <w:t>c) Nghiệm thu bàn giao</w:t>
      </w:r>
    </w:p>
    <w:p w14:paraId="1A7870FB"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Công việc chỉ được coi là hoàn thành khi hai bên ký biên bản nghiệm thu bàn giao đưa vào sử dụng.</w:t>
      </w:r>
    </w:p>
    <w:p w14:paraId="199315A4" w14:textId="77777777" w:rsidR="0040208F" w:rsidRPr="00766EE4" w:rsidRDefault="0040208F" w:rsidP="00766EE4">
      <w:pPr>
        <w:widowControl w:val="0"/>
        <w:spacing w:before="120" w:after="120" w:line="276" w:lineRule="auto"/>
        <w:ind w:firstLine="567"/>
        <w:rPr>
          <w:sz w:val="26"/>
          <w:szCs w:val="26"/>
          <w:lang w:val="nl-NL"/>
        </w:rPr>
      </w:pPr>
      <w:r w:rsidRPr="00766EE4">
        <w:rPr>
          <w:sz w:val="26"/>
          <w:szCs w:val="26"/>
          <w:lang w:val="nl-NL"/>
        </w:rPr>
        <w:t>-</w:t>
      </w:r>
      <w:r w:rsidRPr="00766EE4">
        <w:rPr>
          <w:sz w:val="26"/>
          <w:szCs w:val="26"/>
          <w:lang w:val="nl-NL"/>
        </w:rPr>
        <w:tab/>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bookmarkEnd w:id="0"/>
    <w:p w14:paraId="3AB200DB" w14:textId="77777777" w:rsidR="0040208F" w:rsidRPr="00766EE4" w:rsidRDefault="0040208F" w:rsidP="00766EE4">
      <w:pPr>
        <w:widowControl w:val="0"/>
        <w:spacing w:before="120" w:after="120" w:line="276" w:lineRule="auto"/>
        <w:ind w:firstLine="567"/>
        <w:rPr>
          <w:b/>
          <w:sz w:val="26"/>
          <w:szCs w:val="26"/>
          <w:lang w:val="nl-NL"/>
        </w:rPr>
      </w:pPr>
      <w:r w:rsidRPr="00766EE4">
        <w:rPr>
          <w:b/>
          <w:sz w:val="26"/>
          <w:szCs w:val="26"/>
          <w:lang w:val="nl-NL"/>
        </w:rPr>
        <w:t>1.2.2. Yêu cầu về kỹ thuật cụ thể</w:t>
      </w:r>
    </w:p>
    <w:p w14:paraId="59D7A7F3" w14:textId="77777777" w:rsidR="00F81A75" w:rsidRPr="00766EE4" w:rsidRDefault="00F81A75" w:rsidP="00766EE4">
      <w:pPr>
        <w:widowControl w:val="0"/>
        <w:spacing w:before="120" w:after="120" w:line="276" w:lineRule="auto"/>
        <w:ind w:firstLine="567"/>
        <w:rPr>
          <w:b/>
          <w:sz w:val="26"/>
          <w:szCs w:val="26"/>
          <w:lang w:val="nl-NL"/>
        </w:rPr>
      </w:pPr>
      <w:r w:rsidRPr="00766EE4">
        <w:rPr>
          <w:b/>
          <w:sz w:val="26"/>
          <w:szCs w:val="26"/>
          <w:lang w:val="nl-NL"/>
        </w:rPr>
        <w:t>a) Đặc tính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6372"/>
      </w:tblGrid>
      <w:tr w:rsidR="00766EE4" w:rsidRPr="00766EE4" w14:paraId="3E3693FF" w14:textId="77777777" w:rsidTr="00E742C8">
        <w:trPr>
          <w:trHeight w:val="899"/>
          <w:jc w:val="center"/>
        </w:trPr>
        <w:tc>
          <w:tcPr>
            <w:tcW w:w="562" w:type="dxa"/>
            <w:shd w:val="clear" w:color="auto" w:fill="E2EFD9" w:themeFill="accent6" w:themeFillTint="33"/>
            <w:vAlign w:val="center"/>
          </w:tcPr>
          <w:p w14:paraId="4152FFAD" w14:textId="77777777" w:rsidR="00F81A75" w:rsidRPr="00766EE4" w:rsidRDefault="00F81A75" w:rsidP="00766EE4">
            <w:pPr>
              <w:spacing w:before="120" w:after="120" w:line="276" w:lineRule="auto"/>
              <w:jc w:val="center"/>
              <w:rPr>
                <w:b/>
                <w:iCs/>
                <w:spacing w:val="-2"/>
                <w:sz w:val="26"/>
                <w:szCs w:val="26"/>
              </w:rPr>
            </w:pPr>
            <w:r w:rsidRPr="00766EE4">
              <w:rPr>
                <w:b/>
                <w:iCs/>
                <w:spacing w:val="-2"/>
                <w:sz w:val="26"/>
                <w:szCs w:val="26"/>
              </w:rPr>
              <w:t>S</w:t>
            </w:r>
            <w:r w:rsidR="00E742C8" w:rsidRPr="00766EE4">
              <w:rPr>
                <w:b/>
                <w:iCs/>
                <w:spacing w:val="-2"/>
                <w:sz w:val="26"/>
                <w:szCs w:val="26"/>
              </w:rPr>
              <w:t>tt</w:t>
            </w:r>
          </w:p>
        </w:tc>
        <w:tc>
          <w:tcPr>
            <w:tcW w:w="2127" w:type="dxa"/>
            <w:shd w:val="clear" w:color="auto" w:fill="E2EFD9" w:themeFill="accent6" w:themeFillTint="33"/>
            <w:vAlign w:val="center"/>
          </w:tcPr>
          <w:p w14:paraId="282766FE" w14:textId="77777777" w:rsidR="00F81A75" w:rsidRPr="00766EE4" w:rsidRDefault="00F81A75" w:rsidP="00766EE4">
            <w:pPr>
              <w:spacing w:before="120" w:after="120" w:line="276" w:lineRule="auto"/>
              <w:jc w:val="center"/>
              <w:rPr>
                <w:b/>
                <w:iCs/>
                <w:spacing w:val="-2"/>
                <w:sz w:val="26"/>
                <w:szCs w:val="26"/>
              </w:rPr>
            </w:pPr>
            <w:r w:rsidRPr="00766EE4">
              <w:rPr>
                <w:b/>
                <w:iCs/>
                <w:spacing w:val="-2"/>
                <w:sz w:val="26"/>
                <w:szCs w:val="26"/>
              </w:rPr>
              <w:t>Tên hàng hóa</w:t>
            </w:r>
          </w:p>
        </w:tc>
        <w:tc>
          <w:tcPr>
            <w:tcW w:w="6372" w:type="dxa"/>
            <w:shd w:val="clear" w:color="auto" w:fill="E2EFD9" w:themeFill="accent6" w:themeFillTint="33"/>
            <w:vAlign w:val="center"/>
          </w:tcPr>
          <w:p w14:paraId="0AA6DB45" w14:textId="77777777" w:rsidR="00F81A75" w:rsidRPr="00766EE4" w:rsidRDefault="00F81A75" w:rsidP="00766EE4">
            <w:pPr>
              <w:spacing w:before="120" w:after="120" w:line="276" w:lineRule="auto"/>
              <w:jc w:val="center"/>
              <w:rPr>
                <w:b/>
                <w:iCs/>
                <w:spacing w:val="-2"/>
                <w:sz w:val="26"/>
                <w:szCs w:val="26"/>
              </w:rPr>
            </w:pPr>
            <w:r w:rsidRPr="00766EE4">
              <w:rPr>
                <w:b/>
                <w:iCs/>
                <w:spacing w:val="-2"/>
                <w:sz w:val="26"/>
                <w:szCs w:val="26"/>
              </w:rPr>
              <w:t>Thông số kỹ thuật và các tiêu chuẩn</w:t>
            </w:r>
          </w:p>
        </w:tc>
      </w:tr>
      <w:tr w:rsidR="00766EE4" w:rsidRPr="00766EE4" w14:paraId="4894D79D" w14:textId="77777777" w:rsidTr="00E742C8">
        <w:trPr>
          <w:trHeight w:val="918"/>
          <w:jc w:val="center"/>
        </w:trPr>
        <w:tc>
          <w:tcPr>
            <w:tcW w:w="562" w:type="dxa"/>
            <w:vAlign w:val="center"/>
          </w:tcPr>
          <w:p w14:paraId="4ED884BD" w14:textId="77777777" w:rsidR="003C5C5A" w:rsidRPr="00766EE4" w:rsidRDefault="003C5C5A" w:rsidP="00766EE4">
            <w:pPr>
              <w:widowControl w:val="0"/>
              <w:spacing w:before="120" w:after="120" w:line="276" w:lineRule="auto"/>
              <w:jc w:val="center"/>
              <w:rPr>
                <w:bCs/>
                <w:spacing w:val="-2"/>
                <w:sz w:val="26"/>
                <w:szCs w:val="26"/>
              </w:rPr>
            </w:pPr>
            <w:r w:rsidRPr="00766EE4">
              <w:rPr>
                <w:bCs/>
                <w:spacing w:val="-2"/>
                <w:sz w:val="26"/>
                <w:szCs w:val="26"/>
              </w:rPr>
              <w:t>1</w:t>
            </w:r>
          </w:p>
        </w:tc>
        <w:tc>
          <w:tcPr>
            <w:tcW w:w="2127" w:type="dxa"/>
            <w:vAlign w:val="center"/>
          </w:tcPr>
          <w:p w14:paraId="63691E1A" w14:textId="77777777" w:rsidR="003C5C5A" w:rsidRPr="00766EE4" w:rsidRDefault="003C5C5A" w:rsidP="00766EE4">
            <w:pPr>
              <w:widowControl w:val="0"/>
              <w:spacing w:before="120" w:after="120" w:line="276" w:lineRule="auto"/>
              <w:jc w:val="center"/>
              <w:rPr>
                <w:bCs/>
                <w:spacing w:val="-2"/>
                <w:sz w:val="26"/>
                <w:szCs w:val="26"/>
              </w:rPr>
            </w:pPr>
            <w:r w:rsidRPr="00766EE4">
              <w:rPr>
                <w:bCs/>
                <w:spacing w:val="-2"/>
                <w:sz w:val="26"/>
                <w:szCs w:val="26"/>
              </w:rPr>
              <w:t>Phân Supe Lân</w:t>
            </w:r>
          </w:p>
        </w:tc>
        <w:tc>
          <w:tcPr>
            <w:tcW w:w="6372" w:type="dxa"/>
          </w:tcPr>
          <w:p w14:paraId="52B4A44F" w14:textId="77777777" w:rsidR="003C5C5A" w:rsidRPr="00766EE4" w:rsidRDefault="003C5C5A" w:rsidP="00766EE4">
            <w:pPr>
              <w:widowControl w:val="0"/>
              <w:spacing w:before="120" w:after="120" w:line="276" w:lineRule="auto"/>
              <w:rPr>
                <w:bCs/>
                <w:spacing w:val="-2"/>
                <w:sz w:val="26"/>
                <w:szCs w:val="26"/>
              </w:rPr>
            </w:pPr>
            <w:r w:rsidRPr="00766EE4">
              <w:rPr>
                <w:bCs/>
                <w:spacing w:val="-2"/>
                <w:sz w:val="26"/>
                <w:szCs w:val="26"/>
              </w:rPr>
              <w:t>- P</w:t>
            </w:r>
            <w:r w:rsidRPr="00766EE4">
              <w:rPr>
                <w:bCs/>
                <w:spacing w:val="-2"/>
                <w:sz w:val="26"/>
                <w:szCs w:val="26"/>
                <w:vertAlign w:val="subscript"/>
              </w:rPr>
              <w:t>2</w:t>
            </w:r>
            <w:r w:rsidRPr="00766EE4">
              <w:rPr>
                <w:bCs/>
                <w:spacing w:val="-2"/>
                <w:sz w:val="26"/>
                <w:szCs w:val="26"/>
              </w:rPr>
              <w:t>O</w:t>
            </w:r>
            <w:r w:rsidRPr="00766EE4">
              <w:rPr>
                <w:bCs/>
                <w:spacing w:val="-2"/>
                <w:sz w:val="26"/>
                <w:szCs w:val="26"/>
                <w:vertAlign w:val="subscript"/>
              </w:rPr>
              <w:t>5 hh</w:t>
            </w:r>
            <w:r w:rsidRPr="00766EE4">
              <w:rPr>
                <w:bCs/>
                <w:spacing w:val="-2"/>
                <w:sz w:val="26"/>
                <w:szCs w:val="26"/>
              </w:rPr>
              <w:t>: ≥16%</w:t>
            </w:r>
          </w:p>
          <w:p w14:paraId="771054DF" w14:textId="77777777" w:rsidR="003C5C5A" w:rsidRPr="00766EE4" w:rsidRDefault="003C5C5A" w:rsidP="00766EE4">
            <w:pPr>
              <w:widowControl w:val="0"/>
              <w:spacing w:before="120" w:after="120" w:line="276" w:lineRule="auto"/>
              <w:rPr>
                <w:bCs/>
                <w:spacing w:val="-2"/>
                <w:sz w:val="26"/>
                <w:szCs w:val="26"/>
              </w:rPr>
            </w:pPr>
            <w:r w:rsidRPr="00766EE4">
              <w:rPr>
                <w:bCs/>
                <w:spacing w:val="-2"/>
                <w:sz w:val="26"/>
                <w:szCs w:val="26"/>
              </w:rPr>
              <w:t>- Độ ẩm: ≤12%</w:t>
            </w:r>
          </w:p>
        </w:tc>
      </w:tr>
      <w:tr w:rsidR="00766EE4" w:rsidRPr="00766EE4" w14:paraId="38B78C90" w14:textId="77777777" w:rsidTr="00E742C8">
        <w:trPr>
          <w:trHeight w:val="918"/>
          <w:jc w:val="center"/>
        </w:trPr>
        <w:tc>
          <w:tcPr>
            <w:tcW w:w="562" w:type="dxa"/>
            <w:vAlign w:val="center"/>
          </w:tcPr>
          <w:p w14:paraId="11206B65" w14:textId="77777777" w:rsidR="003C5C5A" w:rsidRPr="00766EE4" w:rsidRDefault="003C5C5A" w:rsidP="00766EE4">
            <w:pPr>
              <w:widowControl w:val="0"/>
              <w:spacing w:before="120" w:after="120" w:line="276" w:lineRule="auto"/>
              <w:jc w:val="center"/>
              <w:rPr>
                <w:bCs/>
                <w:spacing w:val="-2"/>
                <w:sz w:val="26"/>
                <w:szCs w:val="26"/>
              </w:rPr>
            </w:pPr>
            <w:r w:rsidRPr="00766EE4">
              <w:rPr>
                <w:bCs/>
                <w:spacing w:val="-2"/>
                <w:sz w:val="26"/>
                <w:szCs w:val="26"/>
              </w:rPr>
              <w:t>2</w:t>
            </w:r>
          </w:p>
        </w:tc>
        <w:tc>
          <w:tcPr>
            <w:tcW w:w="2127" w:type="dxa"/>
            <w:vAlign w:val="center"/>
          </w:tcPr>
          <w:p w14:paraId="23C4AE80" w14:textId="77777777" w:rsidR="003C5C5A" w:rsidRPr="00766EE4" w:rsidRDefault="003C5C5A" w:rsidP="00766EE4">
            <w:pPr>
              <w:widowControl w:val="0"/>
              <w:spacing w:before="120" w:after="120" w:line="276" w:lineRule="auto"/>
              <w:jc w:val="center"/>
              <w:rPr>
                <w:bCs/>
                <w:spacing w:val="-2"/>
                <w:sz w:val="26"/>
                <w:szCs w:val="26"/>
              </w:rPr>
            </w:pPr>
            <w:r w:rsidRPr="00766EE4">
              <w:rPr>
                <w:bCs/>
                <w:spacing w:val="-2"/>
                <w:sz w:val="26"/>
                <w:szCs w:val="26"/>
              </w:rPr>
              <w:t xml:space="preserve">Phân hữu cơ </w:t>
            </w:r>
            <w:r w:rsidR="00354B23" w:rsidRPr="00766EE4">
              <w:rPr>
                <w:bCs/>
                <w:spacing w:val="-2"/>
                <w:sz w:val="26"/>
                <w:szCs w:val="26"/>
              </w:rPr>
              <w:t xml:space="preserve">      </w:t>
            </w:r>
            <w:r w:rsidRPr="00766EE4">
              <w:rPr>
                <w:bCs/>
                <w:spacing w:val="-2"/>
                <w:sz w:val="26"/>
                <w:szCs w:val="26"/>
              </w:rPr>
              <w:t>vi sinh</w:t>
            </w:r>
          </w:p>
        </w:tc>
        <w:tc>
          <w:tcPr>
            <w:tcW w:w="6372" w:type="dxa"/>
          </w:tcPr>
          <w:p w14:paraId="4B672FCD"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Hàm lượng chất hữu cơ: ≥ 17 %</w:t>
            </w:r>
          </w:p>
          <w:p w14:paraId="50A1BA5E" w14:textId="6E312BD0" w:rsidR="003C5C5A" w:rsidRPr="00766EE4" w:rsidRDefault="002F37B8" w:rsidP="00766EE4">
            <w:pPr>
              <w:widowControl w:val="0"/>
              <w:spacing w:before="120" w:after="120" w:line="276" w:lineRule="auto"/>
              <w:rPr>
                <w:bCs/>
                <w:spacing w:val="-2"/>
                <w:sz w:val="26"/>
                <w:szCs w:val="26"/>
                <w:lang w:val="nb-NO"/>
              </w:rPr>
            </w:pPr>
            <w:r>
              <w:rPr>
                <w:bCs/>
                <w:spacing w:val="-2"/>
                <w:sz w:val="26"/>
                <w:szCs w:val="26"/>
                <w:lang w:val="nb-NO"/>
              </w:rPr>
              <w:t xml:space="preserve">- Hàm lượng </w:t>
            </w:r>
            <w:bookmarkStart w:id="1" w:name="_GoBack"/>
            <w:bookmarkEnd w:id="1"/>
            <w:r w:rsidR="003C5C5A" w:rsidRPr="00766EE4">
              <w:rPr>
                <w:bCs/>
                <w:spacing w:val="-2"/>
                <w:sz w:val="26"/>
                <w:szCs w:val="26"/>
                <w:lang w:val="nb-NO"/>
              </w:rPr>
              <w:t>Acid Humic (C): ≥ 2 %</w:t>
            </w:r>
          </w:p>
          <w:p w14:paraId="67777B64" w14:textId="099233A6" w:rsidR="003C5C5A" w:rsidRPr="00766EE4" w:rsidRDefault="00766EE4" w:rsidP="00766EE4">
            <w:pPr>
              <w:widowControl w:val="0"/>
              <w:spacing w:before="120" w:after="120" w:line="276" w:lineRule="auto"/>
              <w:rPr>
                <w:bCs/>
                <w:spacing w:val="-2"/>
                <w:sz w:val="26"/>
                <w:szCs w:val="26"/>
                <w:lang w:val="nb-NO"/>
              </w:rPr>
            </w:pPr>
            <w:r w:rsidRPr="00766EE4">
              <w:rPr>
                <w:bCs/>
                <w:spacing w:val="-2"/>
                <w:sz w:val="26"/>
                <w:szCs w:val="26"/>
                <w:lang w:val="nb-NO"/>
              </w:rPr>
              <w:t xml:space="preserve">- Hàm lượng P2O5 hữu hiệu: </w:t>
            </w:r>
            <w:r w:rsidR="003C5C5A" w:rsidRPr="00766EE4">
              <w:rPr>
                <w:bCs/>
                <w:spacing w:val="-2"/>
                <w:sz w:val="26"/>
                <w:szCs w:val="26"/>
                <w:lang w:val="nb-NO"/>
              </w:rPr>
              <w:t xml:space="preserve">≥ </w:t>
            </w:r>
            <w:r w:rsidR="00695F4C" w:rsidRPr="00766EE4">
              <w:rPr>
                <w:bCs/>
                <w:spacing w:val="-2"/>
                <w:sz w:val="26"/>
                <w:szCs w:val="26"/>
                <w:lang w:val="nb-NO"/>
              </w:rPr>
              <w:t>1</w:t>
            </w:r>
            <w:r w:rsidR="003C5C5A" w:rsidRPr="00766EE4">
              <w:rPr>
                <w:bCs/>
                <w:spacing w:val="-2"/>
                <w:sz w:val="26"/>
                <w:szCs w:val="26"/>
                <w:lang w:val="nb-NO"/>
              </w:rPr>
              <w:t xml:space="preserve"> %</w:t>
            </w:r>
          </w:p>
          <w:p w14:paraId="6DC5A3F6"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Độ ẩm: ≤ 30 %</w:t>
            </w:r>
          </w:p>
          <w:p w14:paraId="522FFF24"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xml:space="preserve">- PH </w:t>
            </w:r>
            <w:r w:rsidR="00E742C8" w:rsidRPr="00766EE4">
              <w:rPr>
                <w:bCs/>
                <w:spacing w:val="-2"/>
                <w:sz w:val="26"/>
                <w:szCs w:val="26"/>
                <w:lang w:val="nb-NO"/>
              </w:rPr>
              <w:t>H2O</w:t>
            </w:r>
            <w:r w:rsidRPr="00766EE4">
              <w:rPr>
                <w:bCs/>
                <w:spacing w:val="-2"/>
                <w:sz w:val="26"/>
                <w:szCs w:val="26"/>
                <w:lang w:val="nb-NO"/>
              </w:rPr>
              <w:t>: ≥5</w:t>
            </w:r>
          </w:p>
          <w:p w14:paraId="165BDBC7"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xml:space="preserve">- Vi sinh vật phân giải lân:   </w:t>
            </w:r>
            <w:r w:rsidRPr="00766EE4">
              <w:rPr>
                <w:bCs/>
                <w:spacing w:val="-2"/>
                <w:sz w:val="26"/>
                <w:szCs w:val="26"/>
              </w:rPr>
              <w:t>≥ 1x10</w:t>
            </w:r>
            <w:r w:rsidRPr="00766EE4">
              <w:rPr>
                <w:bCs/>
                <w:spacing w:val="-2"/>
                <w:sz w:val="26"/>
                <w:szCs w:val="26"/>
                <w:vertAlign w:val="superscript"/>
              </w:rPr>
              <w:t xml:space="preserve">6 </w:t>
            </w:r>
            <w:r w:rsidRPr="00766EE4">
              <w:rPr>
                <w:bCs/>
                <w:spacing w:val="-2"/>
                <w:sz w:val="26"/>
                <w:szCs w:val="26"/>
              </w:rPr>
              <w:t xml:space="preserve">CFU/g </w:t>
            </w:r>
            <w:r w:rsidRPr="00766EE4">
              <w:rPr>
                <w:bCs/>
                <w:spacing w:val="-2"/>
                <w:sz w:val="26"/>
                <w:szCs w:val="26"/>
                <w:lang w:val="nb-NO"/>
              </w:rPr>
              <w:t>(Tế bào/g)</w:t>
            </w:r>
          </w:p>
          <w:p w14:paraId="5D0B10A5"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xml:space="preserve">- Vi sinh vật cố định đạm: </w:t>
            </w:r>
            <w:r w:rsidRPr="00766EE4">
              <w:rPr>
                <w:bCs/>
                <w:spacing w:val="-2"/>
                <w:sz w:val="26"/>
                <w:szCs w:val="26"/>
              </w:rPr>
              <w:t>≥ 1x10</w:t>
            </w:r>
            <w:r w:rsidRPr="00766EE4">
              <w:rPr>
                <w:bCs/>
                <w:spacing w:val="-2"/>
                <w:sz w:val="26"/>
                <w:szCs w:val="26"/>
                <w:vertAlign w:val="superscript"/>
              </w:rPr>
              <w:t xml:space="preserve">6 </w:t>
            </w:r>
            <w:r w:rsidRPr="00766EE4">
              <w:rPr>
                <w:bCs/>
                <w:spacing w:val="-2"/>
                <w:sz w:val="26"/>
                <w:szCs w:val="26"/>
              </w:rPr>
              <w:t xml:space="preserve">CFU/g </w:t>
            </w:r>
            <w:r w:rsidRPr="00766EE4">
              <w:rPr>
                <w:bCs/>
                <w:spacing w:val="-2"/>
                <w:sz w:val="26"/>
                <w:szCs w:val="26"/>
                <w:lang w:val="nb-NO"/>
              </w:rPr>
              <w:t>(Tế bào/g)</w:t>
            </w:r>
          </w:p>
          <w:p w14:paraId="0C8A825B" w14:textId="77777777" w:rsidR="003C5C5A" w:rsidRPr="00766EE4" w:rsidRDefault="003C5C5A" w:rsidP="00766EE4">
            <w:pPr>
              <w:widowControl w:val="0"/>
              <w:spacing w:before="120" w:after="120" w:line="276" w:lineRule="auto"/>
              <w:rPr>
                <w:bCs/>
                <w:spacing w:val="-2"/>
                <w:sz w:val="26"/>
                <w:szCs w:val="26"/>
                <w:lang w:val="nb-NO"/>
              </w:rPr>
            </w:pPr>
            <w:r w:rsidRPr="00766EE4">
              <w:rPr>
                <w:bCs/>
                <w:spacing w:val="-2"/>
                <w:sz w:val="26"/>
                <w:szCs w:val="26"/>
                <w:lang w:val="nb-NO"/>
              </w:rPr>
              <w:t xml:space="preserve">- Vi sinh vật phân giải Cellulose:   </w:t>
            </w:r>
            <w:r w:rsidRPr="00766EE4">
              <w:rPr>
                <w:bCs/>
                <w:spacing w:val="-2"/>
                <w:sz w:val="26"/>
                <w:szCs w:val="26"/>
              </w:rPr>
              <w:t>≥ 1x10</w:t>
            </w:r>
            <w:r w:rsidRPr="00766EE4">
              <w:rPr>
                <w:bCs/>
                <w:spacing w:val="-2"/>
                <w:sz w:val="26"/>
                <w:szCs w:val="26"/>
                <w:vertAlign w:val="superscript"/>
              </w:rPr>
              <w:t xml:space="preserve">6 </w:t>
            </w:r>
            <w:r w:rsidRPr="00766EE4">
              <w:rPr>
                <w:bCs/>
                <w:spacing w:val="-2"/>
                <w:sz w:val="26"/>
                <w:szCs w:val="26"/>
              </w:rPr>
              <w:t xml:space="preserve">CFU/g </w:t>
            </w:r>
            <w:r w:rsidRPr="00766EE4">
              <w:rPr>
                <w:bCs/>
                <w:spacing w:val="-2"/>
                <w:sz w:val="26"/>
                <w:szCs w:val="26"/>
                <w:lang w:val="nb-NO"/>
              </w:rPr>
              <w:t xml:space="preserve">(Tế bào/g) </w:t>
            </w:r>
          </w:p>
        </w:tc>
      </w:tr>
    </w:tbl>
    <w:p w14:paraId="7498504B" w14:textId="77777777" w:rsidR="00F81A75" w:rsidRPr="00766EE4" w:rsidRDefault="00F81A75" w:rsidP="00766EE4">
      <w:pPr>
        <w:spacing w:before="120" w:after="120" w:line="276" w:lineRule="auto"/>
        <w:ind w:firstLine="567"/>
        <w:rPr>
          <w:i/>
          <w:iCs/>
          <w:sz w:val="26"/>
          <w:szCs w:val="26"/>
        </w:rPr>
      </w:pPr>
      <w:r w:rsidRPr="00766EE4">
        <w:rPr>
          <w:i/>
          <w:iCs/>
          <w:sz w:val="26"/>
          <w:szCs w:val="26"/>
        </w:rPr>
        <w:t xml:space="preserve">(*) </w:t>
      </w:r>
      <w:r w:rsidR="003C5C5A" w:rsidRPr="00766EE4">
        <w:rPr>
          <w:i/>
          <w:iCs/>
          <w:sz w:val="26"/>
          <w:szCs w:val="26"/>
        </w:rPr>
        <w:t>Ghi chú: Áp dụng QCVN01-189:2019/BNNPTNT ban hành theo Thông tư số 09/2019/TT-BNNPTNT ngày 27/8/2019 của Bộ Nông Nghiệp và Phát triển Nông thôn</w:t>
      </w:r>
      <w:r w:rsidRPr="00766EE4">
        <w:rPr>
          <w:i/>
          <w:iCs/>
          <w:sz w:val="26"/>
          <w:szCs w:val="26"/>
        </w:rPr>
        <w:t>.</w:t>
      </w:r>
    </w:p>
    <w:p w14:paraId="124D413D" w14:textId="77777777" w:rsidR="008A5390" w:rsidRPr="00766EE4" w:rsidRDefault="00F81A75" w:rsidP="00766EE4">
      <w:pPr>
        <w:pStyle w:val="SectionVIHeader"/>
        <w:spacing w:after="120" w:line="276" w:lineRule="auto"/>
        <w:ind w:firstLine="567"/>
        <w:jc w:val="both"/>
        <w:rPr>
          <w:rFonts w:eastAsia="Courier New"/>
          <w:b w:val="0"/>
          <w:iCs/>
          <w:sz w:val="26"/>
          <w:szCs w:val="26"/>
        </w:rPr>
      </w:pPr>
      <w:r w:rsidRPr="00766EE4">
        <w:rPr>
          <w:sz w:val="26"/>
          <w:szCs w:val="26"/>
          <w:lang w:val="vi-VN"/>
        </w:rPr>
        <w:t xml:space="preserve">b) </w:t>
      </w:r>
      <w:r w:rsidRPr="00766EE4">
        <w:rPr>
          <w:sz w:val="26"/>
          <w:szCs w:val="26"/>
          <w:lang w:val="nl-NL"/>
        </w:rPr>
        <w:t xml:space="preserve">Xuất xứ: </w:t>
      </w:r>
      <w:r w:rsidRPr="00766EE4">
        <w:rPr>
          <w:rFonts w:eastAsia="Courier New"/>
          <w:b w:val="0"/>
          <w:iCs/>
          <w:sz w:val="26"/>
          <w:szCs w:val="26"/>
          <w:lang w:val="vi-VN"/>
        </w:rPr>
        <w:t xml:space="preserve">Ghi rõ xuất </w:t>
      </w:r>
      <w:r w:rsidRPr="00766EE4">
        <w:rPr>
          <w:rFonts w:eastAsia="Courier New"/>
          <w:b w:val="0"/>
          <w:iCs/>
          <w:sz w:val="26"/>
          <w:szCs w:val="26"/>
        </w:rPr>
        <w:t>x</w:t>
      </w:r>
      <w:r w:rsidRPr="00766EE4">
        <w:rPr>
          <w:rFonts w:eastAsia="Courier New"/>
          <w:b w:val="0"/>
          <w:iCs/>
          <w:sz w:val="26"/>
          <w:szCs w:val="26"/>
          <w:lang w:val="vi-VN"/>
        </w:rPr>
        <w:t>ứ hàng hóa</w:t>
      </w:r>
      <w:r w:rsidR="0040208F" w:rsidRPr="00766EE4">
        <w:rPr>
          <w:rFonts w:eastAsia="Courier New"/>
          <w:b w:val="0"/>
          <w:iCs/>
          <w:sz w:val="26"/>
          <w:szCs w:val="26"/>
        </w:rPr>
        <w:t>, năm sản xuất.</w:t>
      </w:r>
    </w:p>
    <w:p w14:paraId="38CC7B88" w14:textId="77777777" w:rsidR="008A5390" w:rsidRPr="00766EE4" w:rsidRDefault="008A5390" w:rsidP="00766EE4">
      <w:pPr>
        <w:pStyle w:val="SectionVIHeader"/>
        <w:spacing w:after="120" w:line="276" w:lineRule="auto"/>
        <w:ind w:firstLine="567"/>
        <w:jc w:val="both"/>
        <w:rPr>
          <w:iCs/>
          <w:sz w:val="26"/>
          <w:szCs w:val="26"/>
        </w:rPr>
      </w:pPr>
      <w:r w:rsidRPr="00766EE4">
        <w:rPr>
          <w:rFonts w:eastAsia="Courier New"/>
          <w:iCs/>
          <w:sz w:val="26"/>
          <w:szCs w:val="26"/>
        </w:rPr>
        <w:t xml:space="preserve">c) </w:t>
      </w:r>
      <w:r w:rsidRPr="00766EE4">
        <w:rPr>
          <w:iCs/>
          <w:sz w:val="26"/>
          <w:szCs w:val="26"/>
        </w:rPr>
        <w:t>Quy cách:</w:t>
      </w:r>
    </w:p>
    <w:p w14:paraId="59DAC5E9" w14:textId="77777777" w:rsidR="00766EE4" w:rsidRPr="00766EE4" w:rsidRDefault="00766EE4" w:rsidP="00766EE4">
      <w:pPr>
        <w:pStyle w:val="SectionVIHeader"/>
        <w:widowControl w:val="0"/>
        <w:spacing w:after="120" w:line="276" w:lineRule="auto"/>
        <w:ind w:firstLine="567"/>
        <w:jc w:val="both"/>
        <w:rPr>
          <w:b w:val="0"/>
          <w:iCs/>
          <w:sz w:val="26"/>
          <w:szCs w:val="26"/>
        </w:rPr>
      </w:pPr>
      <w:r w:rsidRPr="00766EE4">
        <w:rPr>
          <w:b w:val="0"/>
          <w:iCs/>
          <w:sz w:val="26"/>
          <w:szCs w:val="26"/>
        </w:rPr>
        <w:t>- Trọng lượng tịnh: 50kg/ bao.</w:t>
      </w:r>
    </w:p>
    <w:p w14:paraId="38E764FF" w14:textId="77777777" w:rsidR="00766EE4" w:rsidRPr="00766EE4" w:rsidRDefault="00766EE4" w:rsidP="00766EE4">
      <w:pPr>
        <w:pStyle w:val="SectionVIHeader"/>
        <w:widowControl w:val="0"/>
        <w:spacing w:after="120" w:line="276" w:lineRule="auto"/>
        <w:ind w:firstLine="567"/>
        <w:jc w:val="both"/>
        <w:rPr>
          <w:b w:val="0"/>
          <w:iCs/>
          <w:sz w:val="26"/>
          <w:szCs w:val="26"/>
        </w:rPr>
      </w:pPr>
      <w:r w:rsidRPr="00766EE4">
        <w:rPr>
          <w:b w:val="0"/>
          <w:iCs/>
          <w:sz w:val="26"/>
          <w:szCs w:val="26"/>
        </w:rPr>
        <w:t>- Phân được đóng trong bao PP, có in tên nhà sản xuất, ngày sản xuất và hạn sử dụng; Bao phân phải còn nguyên vẹn, không bị rách, phân không vón cục, không bị ướt và đang trong thời hạn sử dụng (tối thiểu 12 tháng kể từ ngày giao hàng).</w:t>
      </w:r>
    </w:p>
    <w:p w14:paraId="1D63A0FF" w14:textId="77777777" w:rsidR="00766EE4" w:rsidRPr="00766EE4" w:rsidRDefault="00766EE4" w:rsidP="00766EE4">
      <w:pPr>
        <w:pStyle w:val="SectionVIHeader"/>
        <w:widowControl w:val="0"/>
        <w:spacing w:after="120" w:line="276" w:lineRule="auto"/>
        <w:ind w:firstLine="567"/>
        <w:jc w:val="both"/>
        <w:rPr>
          <w:b w:val="0"/>
          <w:iCs/>
          <w:sz w:val="26"/>
          <w:szCs w:val="26"/>
        </w:rPr>
      </w:pPr>
      <w:r w:rsidRPr="00766EE4">
        <w:rPr>
          <w:b w:val="0"/>
          <w:iCs/>
          <w:sz w:val="26"/>
          <w:szCs w:val="26"/>
        </w:rPr>
        <w:t>- Đóng gói theo quy cách không gây ô nhiễm môi trường.</w:t>
      </w:r>
    </w:p>
    <w:p w14:paraId="51DA82B8" w14:textId="223E5E6A" w:rsidR="00F81A75" w:rsidRPr="00766EE4" w:rsidRDefault="00F81A75" w:rsidP="00766EE4">
      <w:pPr>
        <w:pStyle w:val="SectionVIHeader"/>
        <w:widowControl w:val="0"/>
        <w:spacing w:after="120" w:line="276" w:lineRule="auto"/>
        <w:ind w:firstLine="567"/>
        <w:jc w:val="left"/>
        <w:rPr>
          <w:sz w:val="26"/>
          <w:szCs w:val="26"/>
          <w:lang w:val="nl-NL"/>
        </w:rPr>
      </w:pPr>
      <w:r w:rsidRPr="00766EE4">
        <w:rPr>
          <w:sz w:val="26"/>
          <w:szCs w:val="26"/>
          <w:lang w:val="nl-NL"/>
        </w:rPr>
        <w:t>Mục 2. Bản vẽ</w:t>
      </w:r>
      <w:r w:rsidR="00411FD9" w:rsidRPr="00766EE4">
        <w:rPr>
          <w:sz w:val="26"/>
          <w:szCs w:val="26"/>
          <w:lang w:val="nl-NL"/>
        </w:rPr>
        <w:t xml:space="preserve">: </w:t>
      </w:r>
      <w:r w:rsidR="006465FF" w:rsidRPr="006465FF">
        <w:rPr>
          <w:b w:val="0"/>
          <w:sz w:val="26"/>
          <w:szCs w:val="26"/>
        </w:rPr>
        <w:t>E-HSMT không có bản vẽ</w:t>
      </w:r>
      <w:r w:rsidR="00411FD9" w:rsidRPr="00766EE4">
        <w:rPr>
          <w:b w:val="0"/>
          <w:sz w:val="26"/>
          <w:szCs w:val="26"/>
        </w:rPr>
        <w:t>.</w:t>
      </w:r>
    </w:p>
    <w:p w14:paraId="46D5AF4D" w14:textId="77777777" w:rsidR="00F81A75" w:rsidRPr="00766EE4" w:rsidRDefault="00F81A75" w:rsidP="00766EE4">
      <w:pPr>
        <w:pStyle w:val="SectionVIHeader"/>
        <w:widowControl w:val="0"/>
        <w:spacing w:after="120" w:line="276" w:lineRule="auto"/>
        <w:ind w:firstLine="567"/>
        <w:jc w:val="left"/>
        <w:rPr>
          <w:sz w:val="26"/>
          <w:szCs w:val="26"/>
        </w:rPr>
      </w:pPr>
      <w:r w:rsidRPr="00766EE4">
        <w:rPr>
          <w:sz w:val="26"/>
          <w:szCs w:val="26"/>
        </w:rPr>
        <w:lastRenderedPageBreak/>
        <w:t>Mục 3. Kiểm tra và thử nghiệm</w:t>
      </w:r>
      <w:r w:rsidR="0040208F" w:rsidRPr="00766EE4">
        <w:rPr>
          <w:sz w:val="26"/>
          <w:szCs w:val="26"/>
        </w:rPr>
        <w:t>.</w:t>
      </w:r>
    </w:p>
    <w:p w14:paraId="0EB2EA60" w14:textId="77777777" w:rsidR="00F81A75" w:rsidRPr="00766EE4" w:rsidRDefault="00F81A75" w:rsidP="00766EE4">
      <w:pPr>
        <w:widowControl w:val="0"/>
        <w:spacing w:before="120" w:after="120" w:line="276" w:lineRule="auto"/>
        <w:ind w:firstLine="567"/>
        <w:rPr>
          <w:sz w:val="26"/>
          <w:szCs w:val="26"/>
        </w:rPr>
      </w:pPr>
      <w:r w:rsidRPr="00766EE4">
        <w:rPr>
          <w:sz w:val="26"/>
          <w:szCs w:val="26"/>
        </w:rPr>
        <w:t>Các kiểm tra và thử nghiệm cần tiến hành gồm có:</w:t>
      </w:r>
    </w:p>
    <w:p w14:paraId="00D630B5" w14:textId="77777777" w:rsidR="00F81A75" w:rsidRPr="00766EE4" w:rsidRDefault="00F81A75" w:rsidP="00766EE4">
      <w:pPr>
        <w:widowControl w:val="0"/>
        <w:spacing w:before="120" w:after="120" w:line="276" w:lineRule="auto"/>
        <w:ind w:firstLine="567"/>
        <w:rPr>
          <w:sz w:val="26"/>
          <w:szCs w:val="26"/>
        </w:rPr>
      </w:pPr>
      <w:r w:rsidRPr="00766EE4">
        <w:rPr>
          <w:sz w:val="26"/>
          <w:szCs w:val="26"/>
        </w:rPr>
        <w:t>- Kiểm tra kiểu dáng, nhãn mác, hình thức hàng hóa.</w:t>
      </w:r>
    </w:p>
    <w:p w14:paraId="34173C56" w14:textId="77777777" w:rsidR="00F81A75" w:rsidRPr="00766EE4" w:rsidRDefault="00F81A75" w:rsidP="00766EE4">
      <w:pPr>
        <w:widowControl w:val="0"/>
        <w:spacing w:before="120" w:after="120" w:line="276" w:lineRule="auto"/>
        <w:ind w:firstLine="567"/>
        <w:rPr>
          <w:sz w:val="26"/>
          <w:szCs w:val="26"/>
        </w:rPr>
      </w:pPr>
      <w:r w:rsidRPr="00766EE4">
        <w:rPr>
          <w:sz w:val="26"/>
          <w:szCs w:val="26"/>
        </w:rPr>
        <w:t xml:space="preserve">- Kiểm tra thông số so với các yêu cầu của </w:t>
      </w:r>
      <w:r w:rsidR="00BD392D" w:rsidRPr="00766EE4">
        <w:rPr>
          <w:sz w:val="26"/>
          <w:szCs w:val="26"/>
        </w:rPr>
        <w:t>E-</w:t>
      </w:r>
      <w:r w:rsidRPr="00766EE4">
        <w:rPr>
          <w:sz w:val="26"/>
          <w:szCs w:val="26"/>
        </w:rPr>
        <w:t>HSMT và bàn giao, nghiệm thu đưa vào sử dụng.</w:t>
      </w:r>
      <w:r w:rsidRPr="00766EE4">
        <w:rPr>
          <w:sz w:val="26"/>
          <w:szCs w:val="26"/>
        </w:rPr>
        <w:tab/>
        <w:t xml:space="preserve"> </w:t>
      </w:r>
    </w:p>
    <w:p w14:paraId="7A728C00" w14:textId="77777777" w:rsidR="00F81A75" w:rsidRPr="00766EE4" w:rsidRDefault="00F81A75" w:rsidP="00766EE4">
      <w:pPr>
        <w:widowControl w:val="0"/>
        <w:spacing w:before="120" w:after="120" w:line="276" w:lineRule="auto"/>
        <w:ind w:firstLine="567"/>
        <w:rPr>
          <w:sz w:val="26"/>
          <w:szCs w:val="26"/>
        </w:rPr>
      </w:pPr>
      <w:r w:rsidRPr="00766EE4">
        <w:rPr>
          <w:sz w:val="26"/>
          <w:szCs w:val="26"/>
        </w:rPr>
        <w:t>- Toàn bộ hàng hóa cung cấp phải được lấy mẫu và tiến hành thử nghiệm, kiểm tra nhằm chứng minh rằng hàng hóa đáp ứng đầy đủ các yêu cầu kỹ thuật nêu trong hồ sơ mời thầu. Nhà thầu có trách nhiệm cung cấp đầy đủ hàng hóa, dụng cụ, nhân công và chịu toàn bộ chi phí liên quan đến việc tổ chức thử nghiệm, bao gồm cả chi phí thay thế các thiết bị hư hỏng trong quá trình thử nghiệm và chi phí điện phục vụ thử nghiệm (nếu có). Toàn bộ các chi phí này phải được tính vào trong đề xuất tài chính của nhà thầu. Trường hợp trong E-HSDT không nêu rõ các chi phí này, thì được hiểu là đã bao gồm trong giá dự thầu và nhà thầu không được yêu cầu bổ sung chi phí sau này.</w:t>
      </w:r>
    </w:p>
    <w:p w14:paraId="1771E2C3" w14:textId="77777777" w:rsidR="00BD392D" w:rsidRPr="00766EE4" w:rsidRDefault="00F81A75" w:rsidP="00766EE4">
      <w:pPr>
        <w:spacing w:before="120" w:after="120" w:line="276" w:lineRule="auto"/>
        <w:ind w:firstLine="567"/>
        <w:rPr>
          <w:sz w:val="26"/>
          <w:szCs w:val="26"/>
        </w:rPr>
      </w:pPr>
      <w:r w:rsidRPr="00766EE4">
        <w:rPr>
          <w:sz w:val="26"/>
          <w:szCs w:val="26"/>
        </w:rPr>
        <w:t>- Khi nghiệm thu, trường hợp hàng không đảm bảo các yêu cầu trên thì Hội đồng nghiệm thu sẽ lập biên bản trả lô hàng đó lại cho Nhà thầu mà không chịu bất cứ một chi phí phát sinh nào.</w:t>
      </w:r>
    </w:p>
    <w:p w14:paraId="07150D5D" w14:textId="77777777" w:rsidR="00F81A75" w:rsidRPr="00766EE4" w:rsidRDefault="00F81A75" w:rsidP="00766EE4">
      <w:pPr>
        <w:spacing w:before="120" w:after="120" w:line="276" w:lineRule="auto"/>
        <w:ind w:firstLine="567"/>
        <w:rPr>
          <w:sz w:val="26"/>
          <w:szCs w:val="26"/>
        </w:rPr>
      </w:pPr>
      <w:r w:rsidRPr="00766EE4">
        <w:rPr>
          <w:sz w:val="26"/>
          <w:szCs w:val="26"/>
        </w:rPr>
        <w:t xml:space="preserve">- Đại diện của hai bên cùng lấy mẫu ngẫu nhiên (trường hợp đại diện Nhà cung cấp không có mặt tại nơi giao hàng để cùng lấy mẫu thì phải có giấy ủy quyền lấy mẫu cho bên vận chuyển). Các mẫu lấy phải được niêm phong có chữ ký đầy đủ của bên giao hàng và Hội đồng nghiệm thu. Mẫu của mỗi xe được đựng trong một túi riêng có niêm phong và giao cho Hội đồng nghiệm thu của Chủ đầu tư để tổ chức quản lý, bảo quản. </w:t>
      </w:r>
    </w:p>
    <w:p w14:paraId="4DAE56F1" w14:textId="77777777" w:rsidR="00F81A75" w:rsidRPr="00766EE4" w:rsidRDefault="00F81A75" w:rsidP="00766EE4">
      <w:pPr>
        <w:spacing w:before="120" w:after="120" w:line="276" w:lineRule="auto"/>
        <w:ind w:firstLine="567"/>
        <w:rPr>
          <w:sz w:val="26"/>
          <w:szCs w:val="26"/>
        </w:rPr>
      </w:pPr>
      <w:r w:rsidRPr="00766EE4">
        <w:rPr>
          <w:sz w:val="26"/>
          <w:szCs w:val="26"/>
        </w:rPr>
        <w:tab/>
        <w:t xml:space="preserve">- </w:t>
      </w:r>
      <w:r w:rsidR="000F4AD2" w:rsidRPr="00766EE4">
        <w:rPr>
          <w:sz w:val="26"/>
          <w:szCs w:val="26"/>
        </w:rPr>
        <w:t>Mẫu mang đi kiểm định:  L</w:t>
      </w:r>
      <w:r w:rsidRPr="00766EE4">
        <w:rPr>
          <w:sz w:val="26"/>
          <w:szCs w:val="26"/>
        </w:rPr>
        <w:t xml:space="preserve">ấy 03 mẫu </w:t>
      </w:r>
      <w:r w:rsidR="000F4AD2" w:rsidRPr="00766EE4">
        <w:rPr>
          <w:sz w:val="26"/>
          <w:szCs w:val="26"/>
        </w:rPr>
        <w:t xml:space="preserve">ngẫu nhiên </w:t>
      </w:r>
      <w:r w:rsidRPr="00766EE4">
        <w:rPr>
          <w:sz w:val="26"/>
          <w:szCs w:val="26"/>
        </w:rPr>
        <w:t>(theo quy định của Công văn số 260/CSVN-QLKT ngày 02/02/2016 của Tập đoàn Công nghiệp Cao su Việt Nam) mang đi kiểm định tại Trung tâm III - Tp Hồ Chí Minh. Kết quả kiểm định tại trung tâm là căn cứ để hai bên tiến hành thanh lý hợp đồng.</w:t>
      </w:r>
    </w:p>
    <w:p w14:paraId="344A3132" w14:textId="77777777" w:rsidR="00BD392D" w:rsidRPr="00766EE4" w:rsidRDefault="00F81A75" w:rsidP="00766EE4">
      <w:pPr>
        <w:spacing w:before="120" w:after="120" w:line="276" w:lineRule="auto"/>
        <w:ind w:firstLine="567"/>
        <w:rPr>
          <w:sz w:val="26"/>
          <w:szCs w:val="26"/>
        </w:rPr>
      </w:pPr>
      <w:r w:rsidRPr="00766EE4">
        <w:rPr>
          <w:sz w:val="26"/>
          <w:szCs w:val="26"/>
        </w:rPr>
        <w:tab/>
        <w:t xml:space="preserve">- Mã hoá mẫu: Sau khi niêm phong, Hội đồng nghiệm thu của Chủ đầu tư sẽ tiến hành mã hoá các mẫu để gửi đi kiểm định. Các thông tin về mã hoá được lập thành danh mục và chỉ có các thành viên của Hội đồng nghiệm thu Chủ đầu tư biết. Sau khi có kết quả kiểm định, Hội đồng nghiệm thu sẽ căn cứ vào danh mục mã hoá để xác định kết quả cụ thể của từng nhà cung cấp. </w:t>
      </w:r>
    </w:p>
    <w:p w14:paraId="1D4E163F" w14:textId="77777777" w:rsidR="00F81A75" w:rsidRPr="00766EE4" w:rsidRDefault="00F81A75" w:rsidP="00766EE4">
      <w:pPr>
        <w:spacing w:before="120" w:after="120" w:line="276" w:lineRule="auto"/>
        <w:ind w:firstLine="567"/>
        <w:rPr>
          <w:sz w:val="26"/>
          <w:szCs w:val="26"/>
        </w:rPr>
      </w:pPr>
      <w:r w:rsidRPr="00766EE4">
        <w:rPr>
          <w:sz w:val="26"/>
          <w:szCs w:val="26"/>
        </w:rPr>
        <w:t>- Chủ đầu tư có quyền tiến hành các kiểm tra bổ sung. Nếu có kết quả không đúng theo E-HSMT thì chi phí kiểm tra bổ sung nhà thầu phải chịu, cũng như mọi chi phí sửa chữa cho tới khi hoàn chỉnh.</w:t>
      </w:r>
    </w:p>
    <w:p w14:paraId="57B82283" w14:textId="77777777" w:rsidR="008C2A29" w:rsidRPr="00766EE4" w:rsidRDefault="008C2A29" w:rsidP="00766EE4">
      <w:pPr>
        <w:spacing w:before="120" w:after="120" w:line="276" w:lineRule="auto"/>
        <w:rPr>
          <w:sz w:val="26"/>
          <w:szCs w:val="26"/>
        </w:rPr>
      </w:pPr>
    </w:p>
    <w:sectPr w:rsidR="008C2A29" w:rsidRPr="00766EE4" w:rsidSect="003C5C5A">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626E" w14:textId="77777777" w:rsidR="002C6E63" w:rsidRDefault="002C6E63" w:rsidP="008F74A7">
      <w:r>
        <w:separator/>
      </w:r>
    </w:p>
  </w:endnote>
  <w:endnote w:type="continuationSeparator" w:id="0">
    <w:p w14:paraId="64B20E3B" w14:textId="77777777" w:rsidR="002C6E63" w:rsidRDefault="002C6E63" w:rsidP="008F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F3D1" w14:textId="77777777" w:rsidR="002C6E63" w:rsidRDefault="002C6E63" w:rsidP="008F74A7">
      <w:r>
        <w:separator/>
      </w:r>
    </w:p>
  </w:footnote>
  <w:footnote w:type="continuationSeparator" w:id="0">
    <w:p w14:paraId="77B0152E" w14:textId="77777777" w:rsidR="002C6E63" w:rsidRDefault="002C6E63" w:rsidP="008F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75"/>
    <w:rsid w:val="00001652"/>
    <w:rsid w:val="00091471"/>
    <w:rsid w:val="000E79C2"/>
    <w:rsid w:val="000F4AD2"/>
    <w:rsid w:val="00142999"/>
    <w:rsid w:val="001C049E"/>
    <w:rsid w:val="001F67E3"/>
    <w:rsid w:val="00216581"/>
    <w:rsid w:val="002226C0"/>
    <w:rsid w:val="0027416F"/>
    <w:rsid w:val="002C05F6"/>
    <w:rsid w:val="002C52DC"/>
    <w:rsid w:val="002C6E63"/>
    <w:rsid w:val="002F37B8"/>
    <w:rsid w:val="00354B23"/>
    <w:rsid w:val="003C5C5A"/>
    <w:rsid w:val="0040208F"/>
    <w:rsid w:val="00411FD9"/>
    <w:rsid w:val="005317C4"/>
    <w:rsid w:val="0054640B"/>
    <w:rsid w:val="0055459F"/>
    <w:rsid w:val="0060226B"/>
    <w:rsid w:val="00625C63"/>
    <w:rsid w:val="0062707A"/>
    <w:rsid w:val="006465FF"/>
    <w:rsid w:val="00695F4C"/>
    <w:rsid w:val="006E69BA"/>
    <w:rsid w:val="006F3B00"/>
    <w:rsid w:val="00715536"/>
    <w:rsid w:val="00737DC9"/>
    <w:rsid w:val="00766EE4"/>
    <w:rsid w:val="00841EBD"/>
    <w:rsid w:val="008955BB"/>
    <w:rsid w:val="008976DE"/>
    <w:rsid w:val="008A5390"/>
    <w:rsid w:val="008C2A29"/>
    <w:rsid w:val="008D12CA"/>
    <w:rsid w:val="008F74A7"/>
    <w:rsid w:val="009E5812"/>
    <w:rsid w:val="00A22369"/>
    <w:rsid w:val="00A372D4"/>
    <w:rsid w:val="00A40A18"/>
    <w:rsid w:val="00A94EDA"/>
    <w:rsid w:val="00AC4B86"/>
    <w:rsid w:val="00B65985"/>
    <w:rsid w:val="00B83471"/>
    <w:rsid w:val="00BD392D"/>
    <w:rsid w:val="00C14C05"/>
    <w:rsid w:val="00C41095"/>
    <w:rsid w:val="00C41F9C"/>
    <w:rsid w:val="00CE233F"/>
    <w:rsid w:val="00E02C17"/>
    <w:rsid w:val="00E37986"/>
    <w:rsid w:val="00E62AE0"/>
    <w:rsid w:val="00E742C8"/>
    <w:rsid w:val="00EB46A7"/>
    <w:rsid w:val="00F81A75"/>
    <w:rsid w:val="00F91184"/>
    <w:rsid w:val="00FE1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5E47"/>
  <w15:chartTrackingRefBased/>
  <w15:docId w15:val="{AABEA5E3-7E36-40CD-B706-4D355CD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7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F81A75"/>
    <w:pPr>
      <w:spacing w:before="120" w:after="240"/>
      <w:jc w:val="center"/>
    </w:pPr>
    <w:rPr>
      <w:b/>
      <w:sz w:val="36"/>
    </w:rPr>
  </w:style>
  <w:style w:type="paragraph" w:styleId="Header">
    <w:name w:val="header"/>
    <w:basedOn w:val="Normal"/>
    <w:link w:val="HeaderChar"/>
    <w:uiPriority w:val="99"/>
    <w:unhideWhenUsed/>
    <w:rsid w:val="008F74A7"/>
    <w:pPr>
      <w:tabs>
        <w:tab w:val="center" w:pos="4513"/>
        <w:tab w:val="right" w:pos="9026"/>
      </w:tabs>
    </w:pPr>
  </w:style>
  <w:style w:type="character" w:customStyle="1" w:styleId="HeaderChar">
    <w:name w:val="Header Char"/>
    <w:basedOn w:val="DefaultParagraphFont"/>
    <w:link w:val="Header"/>
    <w:uiPriority w:val="99"/>
    <w:rsid w:val="008F74A7"/>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F74A7"/>
    <w:pPr>
      <w:tabs>
        <w:tab w:val="center" w:pos="4513"/>
        <w:tab w:val="right" w:pos="9026"/>
      </w:tabs>
    </w:pPr>
  </w:style>
  <w:style w:type="character" w:customStyle="1" w:styleId="FooterChar">
    <w:name w:val="Footer Char"/>
    <w:basedOn w:val="DefaultParagraphFont"/>
    <w:link w:val="Footer"/>
    <w:uiPriority w:val="99"/>
    <w:rsid w:val="008F74A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2026-01-23T01:50:00Z</dcterms:created>
  <dcterms:modified xsi:type="dcterms:W3CDTF">2026-01-23T01:51:00Z</dcterms:modified>
</cp:coreProperties>
</file>