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882A8" w14:textId="77777777" w:rsidR="005F0D9B" w:rsidRPr="005F0D9B" w:rsidRDefault="005F0D9B" w:rsidP="005F0D9B">
      <w:pPr>
        <w:spacing w:before="120" w:after="120"/>
        <w:ind w:firstLine="709"/>
        <w:outlineLvl w:val="1"/>
        <w:rPr>
          <w:rFonts w:eastAsia="MS Mincho"/>
          <w:b/>
          <w:color w:val="0D0D0D" w:themeColor="text1" w:themeTint="F2"/>
          <w:szCs w:val="24"/>
          <w:lang w:val="vi-VN" w:eastAsia="vi-VN"/>
        </w:rPr>
      </w:pPr>
      <w:bookmarkStart w:id="0" w:name="_Hlk213838661"/>
      <w:r w:rsidRPr="005F0D9B">
        <w:rPr>
          <w:b/>
          <w:bCs/>
          <w:color w:val="0D0D0D" w:themeColor="text1" w:themeTint="F2"/>
          <w:sz w:val="28"/>
          <w:szCs w:val="28"/>
          <w:lang w:val="vi-VN"/>
        </w:rPr>
        <w:t xml:space="preserve">Mục </w:t>
      </w:r>
      <w:r w:rsidRPr="005F0D9B">
        <w:rPr>
          <w:b/>
          <w:bCs/>
          <w:color w:val="0D0D0D" w:themeColor="text1" w:themeTint="F2"/>
          <w:sz w:val="28"/>
          <w:szCs w:val="28"/>
          <w:lang w:val="pl-PL"/>
        </w:rPr>
        <w:t>3</w:t>
      </w:r>
      <w:r w:rsidRPr="005F0D9B">
        <w:rPr>
          <w:b/>
          <w:bCs/>
          <w:color w:val="0D0D0D" w:themeColor="text1" w:themeTint="F2"/>
          <w:sz w:val="28"/>
          <w:szCs w:val="28"/>
          <w:lang w:val="vi-VN"/>
        </w:rPr>
        <w:t>. Tiêu chuẩn đánh giá về kỹ thuật</w:t>
      </w:r>
      <w:r w:rsidRPr="005F0D9B">
        <w:rPr>
          <w:rFonts w:eastAsia="MS Mincho"/>
          <w:b/>
          <w:color w:val="0D0D0D" w:themeColor="text1" w:themeTint="F2"/>
          <w:szCs w:val="24"/>
          <w:lang w:val="vi-VN" w:eastAsia="vi-VN"/>
        </w:rPr>
        <w:t xml:space="preserve"> </w:t>
      </w:r>
    </w:p>
    <w:p w14:paraId="33292A05" w14:textId="77777777" w:rsidR="005F0D9B" w:rsidRPr="005F0D9B" w:rsidRDefault="005F0D9B" w:rsidP="005F0D9B">
      <w:pPr>
        <w:spacing w:before="120" w:after="120"/>
        <w:ind w:firstLine="709"/>
        <w:rPr>
          <w:color w:val="0D0D0D" w:themeColor="text1" w:themeTint="F2"/>
          <w:spacing w:val="2"/>
          <w:sz w:val="28"/>
          <w:szCs w:val="28"/>
        </w:rPr>
      </w:pPr>
      <w:bookmarkStart w:id="1" w:name="_Hlk99723051"/>
      <w:r w:rsidRPr="005F0D9B">
        <w:rPr>
          <w:color w:val="0D0D0D" w:themeColor="text1" w:themeTint="F2"/>
          <w:spacing w:val="2"/>
          <w:sz w:val="28"/>
          <w:szCs w:val="28"/>
          <w:lang w:val="vi-VN"/>
        </w:rPr>
        <w:t xml:space="preserve">Sử dụng tiêu chí đạt/không đạt hoặc phương pháp chấm điểm để xây dựng tiêu chuẩn đánh giá về kỹ thuật. </w:t>
      </w:r>
      <w:r w:rsidRPr="005F0D9B">
        <w:rPr>
          <w:color w:val="0D0D0D" w:themeColor="text1" w:themeTint="F2"/>
          <w:spacing w:val="2"/>
          <w:sz w:val="28"/>
          <w:szCs w:val="28"/>
        </w:rPr>
        <w:t xml:space="preserve"> E-HSDT được đánh giá là đáp ứng yêu cầu về kỹ thuật khi tất cả các yêu cầu về kỹ thuật đều được đáng giá là “ đạt” theo từng hạng mục, yêu cầu kỹ thuật sau đây:</w:t>
      </w:r>
    </w:p>
    <w:tbl>
      <w:tblPr>
        <w:tblStyle w:val="TableGrid"/>
        <w:tblW w:w="9351" w:type="dxa"/>
        <w:tblLook w:val="04A0" w:firstRow="1" w:lastRow="0" w:firstColumn="1" w:lastColumn="0" w:noHBand="0" w:noVBand="1"/>
      </w:tblPr>
      <w:tblGrid>
        <w:gridCol w:w="1838"/>
        <w:gridCol w:w="5103"/>
        <w:gridCol w:w="2410"/>
      </w:tblGrid>
      <w:tr w:rsidR="005F0D9B" w:rsidRPr="005F0D9B" w14:paraId="0E8B2A1D" w14:textId="77777777" w:rsidTr="00751067">
        <w:tc>
          <w:tcPr>
            <w:tcW w:w="6941" w:type="dxa"/>
            <w:gridSpan w:val="2"/>
          </w:tcPr>
          <w:p w14:paraId="4D3DC421"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Nội dung đánh giá</w:t>
            </w:r>
          </w:p>
        </w:tc>
        <w:tc>
          <w:tcPr>
            <w:tcW w:w="2410" w:type="dxa"/>
          </w:tcPr>
          <w:p w14:paraId="5599F64F"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Sử dụng tiêu chí đạt, không đạt</w:t>
            </w:r>
          </w:p>
        </w:tc>
      </w:tr>
      <w:tr w:rsidR="005F0D9B" w:rsidRPr="005F0D9B" w14:paraId="002A4B28" w14:textId="77777777" w:rsidTr="00751067">
        <w:trPr>
          <w:trHeight w:val="313"/>
        </w:trPr>
        <w:tc>
          <w:tcPr>
            <w:tcW w:w="1838" w:type="dxa"/>
            <w:vMerge w:val="restart"/>
          </w:tcPr>
          <w:p w14:paraId="0BDB6637"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t>Phạm vi cung cấp</w:t>
            </w:r>
          </w:p>
        </w:tc>
        <w:tc>
          <w:tcPr>
            <w:tcW w:w="5103" w:type="dxa"/>
          </w:tcPr>
          <w:p w14:paraId="7AED10FC"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Cung cấp đúng và đủ khối lượng của dịch vụ và phạm vi công việc theo yêu cầu của E-HSMT tại biểu mẫu số 10 chương IV- Biểu mẫu mời thầu và dự thầu.</w:t>
            </w:r>
          </w:p>
        </w:tc>
        <w:tc>
          <w:tcPr>
            <w:tcW w:w="2410" w:type="dxa"/>
          </w:tcPr>
          <w:p w14:paraId="73B19EE9"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Đạt</w:t>
            </w:r>
          </w:p>
        </w:tc>
      </w:tr>
      <w:tr w:rsidR="005F0D9B" w:rsidRPr="005F0D9B" w14:paraId="36BBE630" w14:textId="77777777" w:rsidTr="00751067">
        <w:trPr>
          <w:trHeight w:val="238"/>
        </w:trPr>
        <w:tc>
          <w:tcPr>
            <w:tcW w:w="1838" w:type="dxa"/>
            <w:vMerge/>
          </w:tcPr>
          <w:p w14:paraId="7191F068" w14:textId="77777777" w:rsidR="005F0D9B" w:rsidRPr="005F0D9B" w:rsidRDefault="005F0D9B" w:rsidP="00751067">
            <w:pPr>
              <w:rPr>
                <w:b/>
                <w:bCs/>
                <w:color w:val="0D0D0D" w:themeColor="text1" w:themeTint="F2"/>
                <w:spacing w:val="2"/>
                <w:sz w:val="28"/>
                <w:szCs w:val="28"/>
              </w:rPr>
            </w:pPr>
          </w:p>
        </w:tc>
        <w:tc>
          <w:tcPr>
            <w:tcW w:w="5103" w:type="dxa"/>
          </w:tcPr>
          <w:p w14:paraId="06C0AC70"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Cung cấp không đúng, không đủ khối lượng của dịch vụ và phạm vi công việc theo yêu cầu của E-HSMT tại biểu mẫu số 10 chương IV- Biểu mẫu mời thầu và dự thầu.</w:t>
            </w:r>
          </w:p>
        </w:tc>
        <w:tc>
          <w:tcPr>
            <w:tcW w:w="2410" w:type="dxa"/>
          </w:tcPr>
          <w:p w14:paraId="28A400B5"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tr w:rsidR="005F0D9B" w:rsidRPr="005F0D9B" w14:paraId="7B7D5738" w14:textId="77777777" w:rsidTr="00751067">
        <w:trPr>
          <w:trHeight w:val="300"/>
        </w:trPr>
        <w:tc>
          <w:tcPr>
            <w:tcW w:w="1838" w:type="dxa"/>
            <w:vMerge w:val="restart"/>
          </w:tcPr>
          <w:p w14:paraId="617A8F62"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t>Phương án kỹ thuật để thực hiện dịch vụ</w:t>
            </w:r>
          </w:p>
        </w:tc>
        <w:tc>
          <w:tcPr>
            <w:tcW w:w="5103" w:type="dxa"/>
          </w:tcPr>
          <w:p w14:paraId="35DB9B89"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Nhà thầu trình bày trình tự giải pháp kỹ thuật và biện pháp tổ chức cung cấp dịch vụ một cách khoa học, hợp lý, khả thi( có sơ sở chứng minh) theo các nội dung được yêu cầu tại chương V- của E-HSMT.</w:t>
            </w:r>
          </w:p>
        </w:tc>
        <w:tc>
          <w:tcPr>
            <w:tcW w:w="2410" w:type="dxa"/>
          </w:tcPr>
          <w:p w14:paraId="44EAB70D"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Đạt</w:t>
            </w:r>
          </w:p>
        </w:tc>
      </w:tr>
      <w:tr w:rsidR="005F0D9B" w:rsidRPr="005F0D9B" w14:paraId="6AFCE945" w14:textId="77777777" w:rsidTr="00751067">
        <w:trPr>
          <w:trHeight w:val="263"/>
        </w:trPr>
        <w:tc>
          <w:tcPr>
            <w:tcW w:w="1838" w:type="dxa"/>
            <w:vMerge/>
          </w:tcPr>
          <w:p w14:paraId="1287F5F5" w14:textId="77777777" w:rsidR="005F0D9B" w:rsidRPr="005F0D9B" w:rsidRDefault="005F0D9B" w:rsidP="00751067">
            <w:pPr>
              <w:rPr>
                <w:b/>
                <w:bCs/>
                <w:color w:val="0D0D0D" w:themeColor="text1" w:themeTint="F2"/>
                <w:spacing w:val="2"/>
                <w:sz w:val="28"/>
                <w:szCs w:val="28"/>
              </w:rPr>
            </w:pPr>
          </w:p>
        </w:tc>
        <w:tc>
          <w:tcPr>
            <w:tcW w:w="5103" w:type="dxa"/>
          </w:tcPr>
          <w:p w14:paraId="04F3802A"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Nhà thầu không trình bày trình tự, hoặc có trình bày như sơ sài hoặc thiết nội dung cơ bản, kế hoạch triển khai giải pháp kỹ thuật và biện pháp tổ chức cung cấp dịch vụ không hợp lý (không có cơ sở chứng minh), không theo các nội dung yêu cầu tại chương V của E-HSMT.</w:t>
            </w:r>
          </w:p>
        </w:tc>
        <w:tc>
          <w:tcPr>
            <w:tcW w:w="2410" w:type="dxa"/>
          </w:tcPr>
          <w:p w14:paraId="0C887BAA"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tr w:rsidR="005F0D9B" w:rsidRPr="005F0D9B" w14:paraId="3D7F2204" w14:textId="77777777" w:rsidTr="00751067">
        <w:trPr>
          <w:trHeight w:val="363"/>
        </w:trPr>
        <w:tc>
          <w:tcPr>
            <w:tcW w:w="1838" w:type="dxa"/>
            <w:vMerge w:val="restart"/>
          </w:tcPr>
          <w:p w14:paraId="038DE4F8"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t>Tiến độ thực hiện hợp đồng</w:t>
            </w:r>
          </w:p>
        </w:tc>
        <w:tc>
          <w:tcPr>
            <w:tcW w:w="5103" w:type="dxa"/>
          </w:tcPr>
          <w:p w14:paraId="7595BCF5"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Có bảng tiến độ cung cấp dịch vụ đáp ứng theo yêu cầu của E-HSMT</w:t>
            </w:r>
          </w:p>
          <w:p w14:paraId="0C7EEC0F"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xml:space="preserve">Thời gian thực hiện gói thầu: </w:t>
            </w:r>
            <w:r w:rsidRPr="005F0D9B">
              <w:rPr>
                <w:color w:val="0D0D0D" w:themeColor="text1" w:themeTint="F2"/>
                <w:spacing w:val="2"/>
                <w:sz w:val="28"/>
                <w:szCs w:val="28"/>
                <w:u w:val="single"/>
              </w:rPr>
              <w:t>&lt;</w:t>
            </w:r>
            <w:r w:rsidRPr="005F0D9B">
              <w:rPr>
                <w:color w:val="0D0D0D" w:themeColor="text1" w:themeTint="F2"/>
                <w:spacing w:val="2"/>
                <w:sz w:val="28"/>
                <w:szCs w:val="28"/>
              </w:rPr>
              <w:t xml:space="preserve">  45 ngày</w:t>
            </w:r>
          </w:p>
        </w:tc>
        <w:tc>
          <w:tcPr>
            <w:tcW w:w="2410" w:type="dxa"/>
          </w:tcPr>
          <w:p w14:paraId="7C32A209"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Đạt</w:t>
            </w:r>
          </w:p>
        </w:tc>
      </w:tr>
      <w:tr w:rsidR="005F0D9B" w:rsidRPr="005F0D9B" w14:paraId="135B216F" w14:textId="77777777" w:rsidTr="00751067">
        <w:trPr>
          <w:trHeight w:val="1034"/>
        </w:trPr>
        <w:tc>
          <w:tcPr>
            <w:tcW w:w="1838" w:type="dxa"/>
            <w:vMerge/>
          </w:tcPr>
          <w:p w14:paraId="5148B8E9" w14:textId="77777777" w:rsidR="005F0D9B" w:rsidRPr="005F0D9B" w:rsidRDefault="005F0D9B" w:rsidP="00751067">
            <w:pPr>
              <w:rPr>
                <w:b/>
                <w:bCs/>
                <w:color w:val="0D0D0D" w:themeColor="text1" w:themeTint="F2"/>
                <w:spacing w:val="2"/>
                <w:sz w:val="28"/>
                <w:szCs w:val="28"/>
              </w:rPr>
            </w:pPr>
          </w:p>
        </w:tc>
        <w:tc>
          <w:tcPr>
            <w:tcW w:w="5103" w:type="dxa"/>
          </w:tcPr>
          <w:p w14:paraId="6DEAAB18"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Không có hoặc có nhưng không đáp ứng yêu cầu của E-HSMT.</w:t>
            </w:r>
          </w:p>
          <w:p w14:paraId="5EB29980"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Thời gian thực hiện gói thầu: &gt; 45 ngày</w:t>
            </w:r>
          </w:p>
        </w:tc>
        <w:tc>
          <w:tcPr>
            <w:tcW w:w="2410" w:type="dxa"/>
          </w:tcPr>
          <w:p w14:paraId="04B79EFE"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tr w:rsidR="005F0D9B" w:rsidRPr="005F0D9B" w14:paraId="75977B59" w14:textId="77777777" w:rsidTr="00751067">
        <w:trPr>
          <w:trHeight w:val="11543"/>
        </w:trPr>
        <w:tc>
          <w:tcPr>
            <w:tcW w:w="1838" w:type="dxa"/>
            <w:vMerge w:val="restart"/>
          </w:tcPr>
          <w:p w14:paraId="2A1E6AC7"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lastRenderedPageBreak/>
              <w:t>Năng lực của nhà thầu</w:t>
            </w:r>
          </w:p>
        </w:tc>
        <w:tc>
          <w:tcPr>
            <w:tcW w:w="5103" w:type="dxa"/>
          </w:tcPr>
          <w:p w14:paraId="6BF32AC2"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Các văn bản cho phép hoạt động xử lý chất thải rắn do cơ quan có thẩm quyền cấp, phù hợp với loại rác thải tồn lưu sinh hoạt.</w:t>
            </w:r>
          </w:p>
          <w:p w14:paraId="6ABC45D7"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Các văn bản đảm bảo tuân thủ các quy định về vận chuyển rác thải tập trung.</w:t>
            </w:r>
          </w:p>
          <w:p w14:paraId="53D04290"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Chứng nhận năng lực môi trường (nếu được yêu cầu), đảm bảo việc xử lý rác thải không gây ô nhiễm môi trường.</w:t>
            </w:r>
          </w:p>
          <w:p w14:paraId="77967902" w14:textId="77777777" w:rsidR="005F0D9B" w:rsidRPr="005F0D9B" w:rsidRDefault="005F0D9B" w:rsidP="00751067">
            <w:pPr>
              <w:rPr>
                <w:color w:val="0D0D0D" w:themeColor="text1" w:themeTint="F2"/>
                <w:spacing w:val="2"/>
                <w:sz w:val="28"/>
                <w:szCs w:val="28"/>
              </w:rPr>
            </w:pPr>
            <w:r w:rsidRPr="005F0D9B">
              <w:rPr>
                <w:b/>
                <w:bCs/>
                <w:color w:val="0D0D0D" w:themeColor="text1" w:themeTint="F2"/>
                <w:spacing w:val="2"/>
                <w:sz w:val="28"/>
                <w:szCs w:val="28"/>
              </w:rPr>
              <w:t>+</w:t>
            </w:r>
            <w:r w:rsidRPr="005F0D9B">
              <w:rPr>
                <w:b/>
                <w:bCs/>
                <w:color w:val="0D0D0D" w:themeColor="text1" w:themeTint="F2"/>
              </w:rPr>
              <w:t xml:space="preserve"> </w:t>
            </w:r>
            <w:r w:rsidRPr="005F0D9B">
              <w:rPr>
                <w:b/>
                <w:bCs/>
                <w:color w:val="0D0D0D" w:themeColor="text1" w:themeTint="F2"/>
                <w:spacing w:val="2"/>
                <w:sz w:val="28"/>
                <w:szCs w:val="28"/>
              </w:rPr>
              <w:t>Kinh nghiệm triển khai:</w:t>
            </w:r>
            <w:r w:rsidRPr="005F0D9B">
              <w:rPr>
                <w:color w:val="0D0D0D" w:themeColor="text1" w:themeTint="F2"/>
              </w:rPr>
              <w:t xml:space="preserve"> </w:t>
            </w:r>
            <w:r w:rsidRPr="005F0D9B">
              <w:rPr>
                <w:color w:val="0D0D0D" w:themeColor="text1" w:themeTint="F2"/>
                <w:spacing w:val="2"/>
                <w:sz w:val="28"/>
                <w:szCs w:val="28"/>
              </w:rPr>
              <w:t>Đã thực hiện các dự án bốc xúc, vận chuyển và xử lý rác thải sinh hoạt, công nghiệp tại nhiều khu vực tương tự.</w:t>
            </w:r>
          </w:p>
          <w:p w14:paraId="62AD34BD"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Có kinh nghiệm xử lý rác thải tồn lưu đảm bảo vệ sinh môi trường, an toàn lao động và tuân thủ các quy định pháp luật hiện hành.</w:t>
            </w:r>
          </w:p>
          <w:p w14:paraId="29CD2FF9"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w:t>
            </w:r>
            <w:r w:rsidRPr="005F0D9B">
              <w:rPr>
                <w:color w:val="0D0D0D" w:themeColor="text1" w:themeTint="F2"/>
              </w:rPr>
              <w:t xml:space="preserve"> </w:t>
            </w:r>
            <w:r w:rsidRPr="005F0D9B">
              <w:rPr>
                <w:b/>
                <w:bCs/>
                <w:color w:val="0D0D0D" w:themeColor="text1" w:themeTint="F2"/>
                <w:spacing w:val="2"/>
                <w:sz w:val="28"/>
                <w:szCs w:val="28"/>
              </w:rPr>
              <w:t>Thiết bị và nhân lực:</w:t>
            </w:r>
            <w:r w:rsidRPr="005F0D9B">
              <w:rPr>
                <w:color w:val="0D0D0D" w:themeColor="text1" w:themeTint="F2"/>
              </w:rPr>
              <w:t xml:space="preserve"> </w:t>
            </w:r>
            <w:r w:rsidRPr="005F0D9B">
              <w:rPr>
                <w:color w:val="0D0D0D" w:themeColor="text1" w:themeTint="F2"/>
                <w:spacing w:val="2"/>
                <w:sz w:val="28"/>
                <w:szCs w:val="28"/>
              </w:rPr>
              <w:t>Sở hữu đầy đủ máy móc, phương tiện bốc xúc, vận chuyển và thiết bị xử lý rác chuyên dụng.</w:t>
            </w:r>
          </w:p>
          <w:p w14:paraId="3FB619DB"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Đội ngũ kỹ thuật và công nhân được đào tạo bài bản, có kinh nghiệm vận hành thiết bị và xử lý rác thải tập trung.</w:t>
            </w:r>
          </w:p>
          <w:p w14:paraId="480ABB74" w14:textId="77777777" w:rsidR="005F0D9B" w:rsidRPr="005F0D9B" w:rsidRDefault="005F0D9B" w:rsidP="00751067">
            <w:pPr>
              <w:rPr>
                <w:color w:val="0D0D0D" w:themeColor="text1" w:themeTint="F2"/>
                <w:spacing w:val="2"/>
                <w:sz w:val="28"/>
                <w:szCs w:val="28"/>
              </w:rPr>
            </w:pPr>
            <w:r w:rsidRPr="005F0D9B">
              <w:rPr>
                <w:b/>
                <w:bCs/>
                <w:color w:val="0D0D0D" w:themeColor="text1" w:themeTint="F2"/>
                <w:spacing w:val="2"/>
                <w:sz w:val="28"/>
                <w:szCs w:val="28"/>
              </w:rPr>
              <w:t>+</w:t>
            </w:r>
            <w:r w:rsidRPr="005F0D9B">
              <w:rPr>
                <w:b/>
                <w:bCs/>
                <w:color w:val="0D0D0D" w:themeColor="text1" w:themeTint="F2"/>
              </w:rPr>
              <w:t xml:space="preserve"> </w:t>
            </w:r>
            <w:r w:rsidRPr="005F0D9B">
              <w:rPr>
                <w:b/>
                <w:bCs/>
                <w:color w:val="0D0D0D" w:themeColor="text1" w:themeTint="F2"/>
                <w:spacing w:val="2"/>
                <w:sz w:val="28"/>
                <w:szCs w:val="28"/>
              </w:rPr>
              <w:t>Năng lực tổ chức triển khai:</w:t>
            </w:r>
            <w:r w:rsidRPr="005F0D9B">
              <w:rPr>
                <w:color w:val="0D0D0D" w:themeColor="text1" w:themeTint="F2"/>
              </w:rPr>
              <w:t xml:space="preserve"> </w:t>
            </w:r>
            <w:r w:rsidRPr="005F0D9B">
              <w:rPr>
                <w:color w:val="0D0D0D" w:themeColor="text1" w:themeTint="F2"/>
                <w:spacing w:val="2"/>
                <w:sz w:val="28"/>
                <w:szCs w:val="28"/>
              </w:rPr>
              <w:t>Có khả năng lập kế hoạch, phối hợp với chính quyền địa phương để tổ chức bốc xúc, vận chuyển và xử lý rác thải một cách hiệu quả, đúng tiến độ.</w:t>
            </w:r>
          </w:p>
          <w:p w14:paraId="5EC62343"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Đảm bảo an toàn lao động, phòng chống sự cố và xử lý các tình huống phát sinh tại hiện trường.</w:t>
            </w:r>
          </w:p>
          <w:p w14:paraId="72439E2C" w14:textId="77777777" w:rsidR="005F0D9B" w:rsidRPr="005F0D9B" w:rsidRDefault="005F0D9B" w:rsidP="00751067">
            <w:pPr>
              <w:rPr>
                <w:color w:val="0D0D0D" w:themeColor="text1" w:themeTint="F2"/>
                <w:spacing w:val="2"/>
                <w:sz w:val="28"/>
                <w:szCs w:val="28"/>
              </w:rPr>
            </w:pPr>
            <w:r w:rsidRPr="005F0D9B">
              <w:rPr>
                <w:b/>
                <w:bCs/>
                <w:color w:val="0D0D0D" w:themeColor="text1" w:themeTint="F2"/>
                <w:spacing w:val="2"/>
                <w:sz w:val="28"/>
                <w:szCs w:val="28"/>
              </w:rPr>
              <w:t>+</w:t>
            </w:r>
            <w:r w:rsidRPr="005F0D9B">
              <w:rPr>
                <w:b/>
                <w:bCs/>
                <w:color w:val="0D0D0D" w:themeColor="text1" w:themeTint="F2"/>
              </w:rPr>
              <w:t xml:space="preserve"> </w:t>
            </w:r>
            <w:r w:rsidRPr="005F0D9B">
              <w:rPr>
                <w:b/>
                <w:bCs/>
                <w:color w:val="0D0D0D" w:themeColor="text1" w:themeTint="F2"/>
                <w:spacing w:val="2"/>
                <w:sz w:val="28"/>
                <w:szCs w:val="28"/>
              </w:rPr>
              <w:t xml:space="preserve">Cam kết chất lượng và môi trường: </w:t>
            </w:r>
            <w:r w:rsidRPr="005F0D9B">
              <w:rPr>
                <w:color w:val="0D0D0D" w:themeColor="text1" w:themeTint="F2"/>
                <w:spacing w:val="2"/>
                <w:sz w:val="28"/>
                <w:szCs w:val="28"/>
              </w:rPr>
              <w:t>Thực hiện nghiêm túc các tiêu chuẩn môi trường, vệ sinh an toàn và các quy định liên quan đến xử lý rác thải.</w:t>
            </w:r>
          </w:p>
          <w:p w14:paraId="27180036"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Cam kết hoàn thành đúng khối lượng,thu gon, vận chuyển và xử lý rác thải tại các điểm rác tồn lưu trên địa bàn xã Liên Bão, tỉnh Bắc Ninh theo yêu cầu của cơ quan quản lý.</w:t>
            </w:r>
          </w:p>
        </w:tc>
        <w:tc>
          <w:tcPr>
            <w:tcW w:w="2410" w:type="dxa"/>
          </w:tcPr>
          <w:p w14:paraId="5ECCE5C4"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Đạt</w:t>
            </w:r>
          </w:p>
        </w:tc>
      </w:tr>
      <w:tr w:rsidR="005F0D9B" w:rsidRPr="005F0D9B" w14:paraId="44E50ECF" w14:textId="77777777" w:rsidTr="00751067">
        <w:trPr>
          <w:trHeight w:val="163"/>
        </w:trPr>
        <w:tc>
          <w:tcPr>
            <w:tcW w:w="1838" w:type="dxa"/>
            <w:vMerge/>
          </w:tcPr>
          <w:p w14:paraId="4F63FBCB" w14:textId="77777777" w:rsidR="005F0D9B" w:rsidRPr="005F0D9B" w:rsidRDefault="005F0D9B" w:rsidP="00751067">
            <w:pPr>
              <w:rPr>
                <w:b/>
                <w:bCs/>
                <w:color w:val="0D0D0D" w:themeColor="text1" w:themeTint="F2"/>
                <w:spacing w:val="2"/>
                <w:sz w:val="28"/>
                <w:szCs w:val="28"/>
              </w:rPr>
            </w:pPr>
          </w:p>
        </w:tc>
        <w:tc>
          <w:tcPr>
            <w:tcW w:w="5103" w:type="dxa"/>
          </w:tcPr>
          <w:p w14:paraId="49BF7B54"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Không đáp ứng 1 trong các yêu cầu trên.</w:t>
            </w:r>
          </w:p>
        </w:tc>
        <w:tc>
          <w:tcPr>
            <w:tcW w:w="2410" w:type="dxa"/>
          </w:tcPr>
          <w:p w14:paraId="51EB2486"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tr w:rsidR="005F0D9B" w:rsidRPr="005F0D9B" w14:paraId="1CA07091" w14:textId="77777777" w:rsidTr="00751067">
        <w:trPr>
          <w:trHeight w:val="325"/>
        </w:trPr>
        <w:tc>
          <w:tcPr>
            <w:tcW w:w="1838" w:type="dxa"/>
            <w:vMerge w:val="restart"/>
          </w:tcPr>
          <w:p w14:paraId="2275E4C8"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t xml:space="preserve">Biện pháp bảo đảm điều kiện vệ sinh môi trường, </w:t>
            </w:r>
            <w:r w:rsidRPr="005F0D9B">
              <w:rPr>
                <w:b/>
                <w:bCs/>
                <w:color w:val="0D0D0D" w:themeColor="text1" w:themeTint="F2"/>
                <w:spacing w:val="2"/>
                <w:sz w:val="28"/>
                <w:szCs w:val="28"/>
              </w:rPr>
              <w:lastRenderedPageBreak/>
              <w:t>an toàn lao động và phòng chống cháy nổ</w:t>
            </w:r>
          </w:p>
        </w:tc>
        <w:tc>
          <w:tcPr>
            <w:tcW w:w="5103" w:type="dxa"/>
          </w:tcPr>
          <w:p w14:paraId="1FD68E5F"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lastRenderedPageBreak/>
              <w:t>Trình bày biện pháp bảo đảm điều kiện vệ sinh môi trường, an toàn lao động và phòng chống cháy nổ một cách hiệu quả, khả thi và hợp lý.</w:t>
            </w:r>
          </w:p>
          <w:p w14:paraId="05209175"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lastRenderedPageBreak/>
              <w:t xml:space="preserve">- Nhà thầu cam kết nếu để xảy ra sự cố về vệ sinh môi trường, phòng cháy chữa cháy, an toàn lao động trong quá trình thực hiện hợp đồng với Chủ đầu tư do lỗi của nhà thầu, nhà thầu phải chịu hoàn toàn trách nhiệm với người lao động và trước pháp luật về các sự việc xảy ra. </w:t>
            </w:r>
          </w:p>
          <w:p w14:paraId="4D78D8CB"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Nhà thầu cam kết trang bị đầy đủ trang thiết bị bảo hộ lao động, phòng chống cháy nổ, vệ sinh môi trường trong suốt quá trình thực hiện dịch vụ.</w:t>
            </w:r>
          </w:p>
        </w:tc>
        <w:tc>
          <w:tcPr>
            <w:tcW w:w="2410" w:type="dxa"/>
          </w:tcPr>
          <w:p w14:paraId="3021D2CB"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lastRenderedPageBreak/>
              <w:t>Đạt</w:t>
            </w:r>
          </w:p>
        </w:tc>
      </w:tr>
      <w:tr w:rsidR="005F0D9B" w:rsidRPr="005F0D9B" w14:paraId="6006D79B" w14:textId="77777777" w:rsidTr="00751067">
        <w:trPr>
          <w:trHeight w:val="238"/>
        </w:trPr>
        <w:tc>
          <w:tcPr>
            <w:tcW w:w="1838" w:type="dxa"/>
            <w:vMerge/>
          </w:tcPr>
          <w:p w14:paraId="520B34B4" w14:textId="77777777" w:rsidR="005F0D9B" w:rsidRPr="005F0D9B" w:rsidRDefault="005F0D9B" w:rsidP="00751067">
            <w:pPr>
              <w:rPr>
                <w:color w:val="0D0D0D" w:themeColor="text1" w:themeTint="F2"/>
                <w:spacing w:val="2"/>
                <w:sz w:val="28"/>
                <w:szCs w:val="28"/>
              </w:rPr>
            </w:pPr>
          </w:p>
        </w:tc>
        <w:tc>
          <w:tcPr>
            <w:tcW w:w="5103" w:type="dxa"/>
          </w:tcPr>
          <w:p w14:paraId="12F1C8EA"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Không trình bày biện pháp bảo đảm điều kiện vệ sinh môi trường, an toàn lao động và phòng chống cháy nổ một cách hiệu quả, khả thi và hợp lý.</w:t>
            </w:r>
          </w:p>
          <w:p w14:paraId="60B58595"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Nhà thầu không có các cam kết theo yêu cầu.</w:t>
            </w:r>
          </w:p>
        </w:tc>
        <w:tc>
          <w:tcPr>
            <w:tcW w:w="2410" w:type="dxa"/>
          </w:tcPr>
          <w:p w14:paraId="2ED29765"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tr w:rsidR="005F0D9B" w:rsidRPr="005F0D9B" w14:paraId="4242DF9A" w14:textId="77777777" w:rsidTr="00751067">
        <w:trPr>
          <w:trHeight w:val="225"/>
        </w:trPr>
        <w:tc>
          <w:tcPr>
            <w:tcW w:w="1838" w:type="dxa"/>
            <w:vMerge w:val="restart"/>
          </w:tcPr>
          <w:p w14:paraId="018A2DF4" w14:textId="77777777" w:rsidR="005F0D9B" w:rsidRPr="005F0D9B" w:rsidRDefault="005F0D9B" w:rsidP="00751067">
            <w:pPr>
              <w:rPr>
                <w:b/>
                <w:bCs/>
                <w:color w:val="0D0D0D" w:themeColor="text1" w:themeTint="F2"/>
                <w:spacing w:val="2"/>
                <w:sz w:val="28"/>
                <w:szCs w:val="28"/>
              </w:rPr>
            </w:pPr>
            <w:r w:rsidRPr="005F0D9B">
              <w:rPr>
                <w:b/>
                <w:bCs/>
                <w:color w:val="0D0D0D" w:themeColor="text1" w:themeTint="F2"/>
                <w:spacing w:val="2"/>
                <w:sz w:val="28"/>
                <w:szCs w:val="28"/>
              </w:rPr>
              <w:t>Kết quả thực hiện hợp đồng của nhà thầu, uy tín trong việc tham dự thầu</w:t>
            </w:r>
          </w:p>
        </w:tc>
        <w:tc>
          <w:tcPr>
            <w:tcW w:w="5103" w:type="dxa"/>
          </w:tcPr>
          <w:p w14:paraId="2D11988C"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Nhà thầu cam kết không có trường hợp vi phạm quy định tại điều Điều 19 và Điều 20 của Nghị định số 214/2025/NĐCP trong vòng 3 năm trở lại tính đến thời điểm đóng thầu.</w:t>
            </w:r>
          </w:p>
        </w:tc>
        <w:tc>
          <w:tcPr>
            <w:tcW w:w="2410" w:type="dxa"/>
          </w:tcPr>
          <w:p w14:paraId="17160177"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Đạt</w:t>
            </w:r>
          </w:p>
        </w:tc>
      </w:tr>
      <w:tr w:rsidR="005F0D9B" w:rsidRPr="005F0D9B" w14:paraId="476C4ED7" w14:textId="77777777" w:rsidTr="00751067">
        <w:trPr>
          <w:trHeight w:val="326"/>
        </w:trPr>
        <w:tc>
          <w:tcPr>
            <w:tcW w:w="1838" w:type="dxa"/>
            <w:vMerge/>
          </w:tcPr>
          <w:p w14:paraId="1A88DCF8" w14:textId="77777777" w:rsidR="005F0D9B" w:rsidRPr="005F0D9B" w:rsidRDefault="005F0D9B" w:rsidP="00751067">
            <w:pPr>
              <w:rPr>
                <w:color w:val="0D0D0D" w:themeColor="text1" w:themeTint="F2"/>
                <w:spacing w:val="2"/>
                <w:sz w:val="28"/>
                <w:szCs w:val="28"/>
              </w:rPr>
            </w:pPr>
          </w:p>
        </w:tc>
        <w:tc>
          <w:tcPr>
            <w:tcW w:w="5103" w:type="dxa"/>
          </w:tcPr>
          <w:p w14:paraId="0F91D2F0" w14:textId="77777777" w:rsidR="005F0D9B" w:rsidRPr="005F0D9B" w:rsidRDefault="005F0D9B" w:rsidP="00751067">
            <w:pPr>
              <w:rPr>
                <w:color w:val="0D0D0D" w:themeColor="text1" w:themeTint="F2"/>
                <w:spacing w:val="2"/>
                <w:sz w:val="28"/>
                <w:szCs w:val="28"/>
              </w:rPr>
            </w:pPr>
            <w:r w:rsidRPr="005F0D9B">
              <w:rPr>
                <w:color w:val="0D0D0D" w:themeColor="text1" w:themeTint="F2"/>
                <w:spacing w:val="2"/>
                <w:sz w:val="28"/>
                <w:szCs w:val="28"/>
              </w:rPr>
              <w:t>- Nhà thầu không cam kết hoặc có trường hợp vi phạm quy định tại điều Điều 19 và Điều 20 của Nghị định số 214/2025/NĐCP trong vòng 3 năm trở lại tính đến thời điểm đóng thầu.</w:t>
            </w:r>
          </w:p>
        </w:tc>
        <w:tc>
          <w:tcPr>
            <w:tcW w:w="2410" w:type="dxa"/>
          </w:tcPr>
          <w:p w14:paraId="6856078B" w14:textId="77777777" w:rsidR="005F0D9B" w:rsidRPr="005F0D9B" w:rsidRDefault="005F0D9B" w:rsidP="00751067">
            <w:pPr>
              <w:jc w:val="center"/>
              <w:rPr>
                <w:b/>
                <w:bCs/>
                <w:color w:val="0D0D0D" w:themeColor="text1" w:themeTint="F2"/>
                <w:spacing w:val="2"/>
                <w:sz w:val="28"/>
                <w:szCs w:val="28"/>
              </w:rPr>
            </w:pPr>
            <w:r w:rsidRPr="005F0D9B">
              <w:rPr>
                <w:b/>
                <w:bCs/>
                <w:color w:val="0D0D0D" w:themeColor="text1" w:themeTint="F2"/>
                <w:spacing w:val="2"/>
                <w:sz w:val="28"/>
                <w:szCs w:val="28"/>
              </w:rPr>
              <w:t>Không đạt</w:t>
            </w:r>
          </w:p>
        </w:tc>
      </w:tr>
      <w:bookmarkEnd w:id="0"/>
      <w:bookmarkEnd w:id="1"/>
    </w:tbl>
    <w:p w14:paraId="4CD7F355" w14:textId="77777777" w:rsidR="00A4769E" w:rsidRPr="005F0D9B" w:rsidRDefault="00A4769E">
      <w:pPr>
        <w:rPr>
          <w:color w:val="0D0D0D" w:themeColor="text1" w:themeTint="F2"/>
        </w:rPr>
      </w:pPr>
    </w:p>
    <w:sectPr w:rsidR="00A4769E" w:rsidRPr="005F0D9B"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9B"/>
    <w:rsid w:val="005F0D9B"/>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BEEE"/>
  <w15:chartTrackingRefBased/>
  <w15:docId w15:val="{8A303491-CFC0-4F67-AA80-F63B445E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9B"/>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table" w:styleId="TableGrid">
    <w:name w:val="Table Grid"/>
    <w:basedOn w:val="TableNormal"/>
    <w:rsid w:val="005F0D9B"/>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2026-01-19T08:28:00Z</dcterms:created>
  <dcterms:modified xsi:type="dcterms:W3CDTF">2026-01-19T08:29:00Z</dcterms:modified>
</cp:coreProperties>
</file>