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3493" w:rsidRPr="000B3493" w:rsidRDefault="000B3493" w:rsidP="000B3493">
      <w:pPr>
        <w:pStyle w:val="TOC1"/>
        <w:spacing w:line="264" w:lineRule="auto"/>
        <w:rPr>
          <w:rFonts w:ascii="Times New Roman" w:hAnsi="Times New Roman" w:cs="Times New Roman"/>
          <w:sz w:val="24"/>
          <w:szCs w:val="24"/>
        </w:rPr>
      </w:pPr>
      <w:r w:rsidRPr="000B3493">
        <w:rPr>
          <w:rFonts w:ascii="Times New Roman" w:hAnsi="Times New Roman" w:cs="Times New Roman"/>
          <w:sz w:val="24"/>
          <w:szCs w:val="24"/>
        </w:rPr>
        <w:t xml:space="preserve">Mục </w:t>
      </w:r>
      <w:r w:rsidRPr="000B3493">
        <w:rPr>
          <w:rFonts w:ascii="Times New Roman" w:hAnsi="Times New Roman" w:cs="Times New Roman"/>
          <w:sz w:val="24"/>
          <w:szCs w:val="24"/>
          <w:lang w:val="pl-PL"/>
        </w:rPr>
        <w:t>3</w:t>
      </w:r>
      <w:r w:rsidRPr="000B3493">
        <w:rPr>
          <w:rFonts w:ascii="Times New Roman" w:hAnsi="Times New Roman" w:cs="Times New Roman"/>
          <w:sz w:val="24"/>
          <w:szCs w:val="24"/>
        </w:rPr>
        <w:t>. Tiêu chuẩn đánh giá về kỹ thuật</w:t>
      </w:r>
    </w:p>
    <w:p w:rsidR="000B3493" w:rsidRPr="000B3493" w:rsidRDefault="000B3493" w:rsidP="000B3493">
      <w:pPr>
        <w:spacing w:before="80" w:after="80" w:line="264" w:lineRule="auto"/>
        <w:ind w:firstLine="709"/>
        <w:rPr>
          <w:szCs w:val="24"/>
          <w:lang w:val="es-ES"/>
        </w:rPr>
      </w:pPr>
      <w:r w:rsidRPr="000B3493">
        <w:rPr>
          <w:b/>
          <w:iCs/>
          <w:szCs w:val="24"/>
          <w:lang w:val="es-ES"/>
        </w:rPr>
        <w:t>3.1. Đánh giá theo phương pháp</w:t>
      </w:r>
      <w:r w:rsidRPr="000B3493" w:rsidDel="00BE4476">
        <w:rPr>
          <w:b/>
          <w:iCs/>
          <w:szCs w:val="24"/>
          <w:lang w:val="es-ES"/>
        </w:rPr>
        <w:t xml:space="preserve"> </w:t>
      </w:r>
      <w:r w:rsidRPr="000B3493">
        <w:rPr>
          <w:b/>
          <w:iCs/>
          <w:szCs w:val="24"/>
          <w:lang w:val="es-ES"/>
        </w:rPr>
        <w:t>đạt/không đạt</w:t>
      </w:r>
      <w:r w:rsidRPr="000B3493">
        <w:rPr>
          <w:rStyle w:val="FootnoteReference"/>
          <w:b/>
          <w:iCs/>
          <w:szCs w:val="24"/>
        </w:rPr>
        <w:footnoteReference w:id="1"/>
      </w:r>
      <w:r w:rsidRPr="000B3493">
        <w:rPr>
          <w:b/>
          <w:szCs w:val="24"/>
          <w:lang w:val="es-ES"/>
        </w:rPr>
        <w:t>:</w:t>
      </w:r>
    </w:p>
    <w:p w:rsidR="000B3493" w:rsidRPr="000B3493" w:rsidRDefault="000B3493" w:rsidP="000B3493">
      <w:pPr>
        <w:spacing w:before="80" w:after="80" w:line="264" w:lineRule="auto"/>
        <w:ind w:firstLine="709"/>
        <w:rPr>
          <w:szCs w:val="24"/>
          <w:lang w:val="es-ES"/>
        </w:rPr>
      </w:pPr>
      <w:r w:rsidRPr="000B3493">
        <w:rPr>
          <w:szCs w:val="24"/>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0B3493" w:rsidRPr="000B3493" w:rsidRDefault="000B3493" w:rsidP="000B3493">
      <w:pPr>
        <w:spacing w:before="80" w:after="80" w:line="264" w:lineRule="auto"/>
        <w:ind w:firstLine="709"/>
        <w:rPr>
          <w:szCs w:val="24"/>
          <w:lang w:val="es-ES"/>
        </w:rPr>
      </w:pPr>
      <w:r w:rsidRPr="000B3493">
        <w:rPr>
          <w:szCs w:val="24"/>
          <w:lang w:val="es-ES"/>
        </w:rPr>
        <w:t xml:space="preserve">E-HSDT được đánh giá là đáp ứng yêu cầu về kỹ thuật khi có tất cả các tiêu chí tổng quát đều được đánh giá là đạt. </w:t>
      </w:r>
    </w:p>
    <w:tbl>
      <w:tblPr>
        <w:tblW w:w="983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2"/>
        <w:gridCol w:w="2648"/>
        <w:gridCol w:w="3112"/>
        <w:gridCol w:w="3301"/>
      </w:tblGrid>
      <w:tr w:rsidR="000B3493" w:rsidRPr="000B3493" w:rsidTr="005072E6">
        <w:trPr>
          <w:trHeight w:val="20"/>
          <w:tblHeader/>
        </w:trPr>
        <w:tc>
          <w:tcPr>
            <w:tcW w:w="772" w:type="dxa"/>
            <w:vMerge w:val="restart"/>
            <w:tcBorders>
              <w:left w:val="single" w:sz="4" w:space="0" w:color="auto"/>
              <w:right w:val="single" w:sz="4" w:space="0" w:color="auto"/>
            </w:tcBorders>
            <w:vAlign w:val="center"/>
          </w:tcPr>
          <w:p w:rsidR="000B3493" w:rsidRPr="000B3493" w:rsidRDefault="000B3493" w:rsidP="005072E6">
            <w:pPr>
              <w:tabs>
                <w:tab w:val="left" w:pos="4680"/>
                <w:tab w:val="left" w:pos="5310"/>
                <w:tab w:val="left" w:pos="8100"/>
                <w:tab w:val="left" w:pos="10620"/>
              </w:tabs>
              <w:spacing w:before="100" w:after="100"/>
              <w:jc w:val="center"/>
              <w:rPr>
                <w:b/>
                <w:bCs/>
                <w:szCs w:val="24"/>
              </w:rPr>
            </w:pPr>
            <w:r w:rsidRPr="000B3493">
              <w:rPr>
                <w:b/>
                <w:bCs/>
                <w:szCs w:val="24"/>
              </w:rPr>
              <w:t>STT</w:t>
            </w:r>
          </w:p>
        </w:tc>
        <w:tc>
          <w:tcPr>
            <w:tcW w:w="2648" w:type="dxa"/>
            <w:vMerge w:val="restart"/>
            <w:tcBorders>
              <w:left w:val="single" w:sz="4" w:space="0" w:color="auto"/>
              <w:right w:val="single" w:sz="4" w:space="0" w:color="auto"/>
            </w:tcBorders>
            <w:vAlign w:val="center"/>
          </w:tcPr>
          <w:p w:rsidR="000B3493" w:rsidRPr="000B3493" w:rsidRDefault="000B3493" w:rsidP="005072E6">
            <w:pPr>
              <w:tabs>
                <w:tab w:val="left" w:pos="4680"/>
                <w:tab w:val="left" w:pos="5310"/>
                <w:tab w:val="left" w:pos="8100"/>
                <w:tab w:val="left" w:pos="10620"/>
              </w:tabs>
              <w:spacing w:before="100" w:after="100"/>
              <w:jc w:val="center"/>
              <w:rPr>
                <w:b/>
                <w:bCs/>
                <w:szCs w:val="24"/>
              </w:rPr>
            </w:pPr>
            <w:r w:rsidRPr="000B3493">
              <w:rPr>
                <w:b/>
                <w:bCs/>
                <w:szCs w:val="24"/>
              </w:rPr>
              <w:t>Nội dung yêu cầu</w:t>
            </w:r>
          </w:p>
        </w:tc>
        <w:tc>
          <w:tcPr>
            <w:tcW w:w="6413" w:type="dxa"/>
            <w:gridSpan w:val="2"/>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tabs>
                <w:tab w:val="left" w:pos="4680"/>
                <w:tab w:val="left" w:pos="5310"/>
                <w:tab w:val="left" w:pos="8100"/>
                <w:tab w:val="left" w:pos="10620"/>
              </w:tabs>
              <w:spacing w:before="100" w:after="100"/>
              <w:jc w:val="center"/>
              <w:rPr>
                <w:b/>
                <w:bCs/>
                <w:szCs w:val="24"/>
              </w:rPr>
            </w:pPr>
            <w:r w:rsidRPr="000B3493">
              <w:rPr>
                <w:b/>
                <w:bCs/>
                <w:szCs w:val="24"/>
              </w:rPr>
              <w:t>Mức độ đáp ứng</w:t>
            </w:r>
          </w:p>
        </w:tc>
      </w:tr>
      <w:tr w:rsidR="000B3493" w:rsidRPr="000B3493" w:rsidTr="005072E6">
        <w:trPr>
          <w:trHeight w:val="20"/>
          <w:tblHeader/>
        </w:trPr>
        <w:tc>
          <w:tcPr>
            <w:tcW w:w="772" w:type="dxa"/>
            <w:vMerge/>
            <w:tcBorders>
              <w:left w:val="single" w:sz="4" w:space="0" w:color="auto"/>
              <w:bottom w:val="single" w:sz="4" w:space="0" w:color="auto"/>
              <w:right w:val="single" w:sz="4" w:space="0" w:color="auto"/>
            </w:tcBorders>
            <w:vAlign w:val="center"/>
          </w:tcPr>
          <w:p w:rsidR="000B3493" w:rsidRPr="000B3493" w:rsidRDefault="000B3493" w:rsidP="005072E6">
            <w:pPr>
              <w:tabs>
                <w:tab w:val="left" w:pos="4680"/>
                <w:tab w:val="left" w:pos="5310"/>
                <w:tab w:val="left" w:pos="8100"/>
                <w:tab w:val="left" w:pos="10620"/>
              </w:tabs>
              <w:spacing w:before="100" w:after="100"/>
              <w:jc w:val="center"/>
              <w:rPr>
                <w:b/>
                <w:bCs/>
                <w:szCs w:val="24"/>
              </w:rPr>
            </w:pPr>
          </w:p>
        </w:tc>
        <w:tc>
          <w:tcPr>
            <w:tcW w:w="2648" w:type="dxa"/>
            <w:vMerge/>
            <w:tcBorders>
              <w:left w:val="single" w:sz="4" w:space="0" w:color="auto"/>
              <w:bottom w:val="single" w:sz="4" w:space="0" w:color="auto"/>
              <w:right w:val="single" w:sz="4" w:space="0" w:color="auto"/>
            </w:tcBorders>
            <w:vAlign w:val="center"/>
          </w:tcPr>
          <w:p w:rsidR="000B3493" w:rsidRPr="000B3493" w:rsidRDefault="000B3493" w:rsidP="005072E6">
            <w:pPr>
              <w:tabs>
                <w:tab w:val="left" w:pos="4680"/>
                <w:tab w:val="left" w:pos="5310"/>
                <w:tab w:val="left" w:pos="8100"/>
                <w:tab w:val="left" w:pos="10620"/>
              </w:tabs>
              <w:spacing w:before="100" w:after="100"/>
              <w:jc w:val="center"/>
              <w:rPr>
                <w:b/>
                <w:bCs/>
                <w:szCs w:val="24"/>
              </w:rPr>
            </w:pPr>
          </w:p>
        </w:tc>
        <w:tc>
          <w:tcPr>
            <w:tcW w:w="3112"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tabs>
                <w:tab w:val="left" w:pos="4680"/>
                <w:tab w:val="left" w:pos="5310"/>
                <w:tab w:val="left" w:pos="8100"/>
                <w:tab w:val="left" w:pos="10620"/>
              </w:tabs>
              <w:spacing w:before="100" w:after="100"/>
              <w:jc w:val="center"/>
              <w:rPr>
                <w:b/>
                <w:bCs/>
                <w:szCs w:val="24"/>
              </w:rPr>
            </w:pPr>
            <w:r w:rsidRPr="000B3493">
              <w:rPr>
                <w:b/>
                <w:bCs/>
                <w:szCs w:val="24"/>
              </w:rPr>
              <w:t>Đạt</w:t>
            </w:r>
          </w:p>
        </w:tc>
        <w:tc>
          <w:tcPr>
            <w:tcW w:w="3301"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tabs>
                <w:tab w:val="left" w:pos="4680"/>
                <w:tab w:val="left" w:pos="5310"/>
                <w:tab w:val="left" w:pos="8100"/>
                <w:tab w:val="left" w:pos="10620"/>
              </w:tabs>
              <w:spacing w:before="100" w:after="100"/>
              <w:jc w:val="center"/>
              <w:rPr>
                <w:b/>
                <w:bCs/>
                <w:szCs w:val="24"/>
              </w:rPr>
            </w:pPr>
            <w:r w:rsidRPr="000B3493">
              <w:rPr>
                <w:b/>
                <w:bCs/>
                <w:szCs w:val="24"/>
              </w:rPr>
              <w:t>Không đạt</w:t>
            </w:r>
          </w:p>
        </w:tc>
      </w:tr>
      <w:tr w:rsidR="000B3493" w:rsidRPr="000B3493" w:rsidTr="005072E6">
        <w:trPr>
          <w:trHeight w:val="20"/>
        </w:trPr>
        <w:tc>
          <w:tcPr>
            <w:tcW w:w="772"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spacing w:before="100" w:after="100"/>
              <w:jc w:val="center"/>
              <w:rPr>
                <w:b/>
                <w:szCs w:val="24"/>
              </w:rPr>
            </w:pPr>
            <w:r w:rsidRPr="000B3493">
              <w:rPr>
                <w:b/>
                <w:szCs w:val="24"/>
              </w:rPr>
              <w:t>I</w:t>
            </w:r>
          </w:p>
        </w:tc>
        <w:tc>
          <w:tcPr>
            <w:tcW w:w="2648"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spacing w:before="100" w:after="100"/>
              <w:rPr>
                <w:b/>
                <w:szCs w:val="24"/>
              </w:rPr>
            </w:pPr>
            <w:r w:rsidRPr="000B3493">
              <w:rPr>
                <w:b/>
                <w:szCs w:val="24"/>
              </w:rPr>
              <w:t>Đặc tính kỹ thuật</w:t>
            </w:r>
          </w:p>
        </w:tc>
        <w:tc>
          <w:tcPr>
            <w:tcW w:w="3112"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tabs>
                <w:tab w:val="left" w:pos="4680"/>
                <w:tab w:val="left" w:pos="5310"/>
                <w:tab w:val="left" w:pos="8100"/>
                <w:tab w:val="left" w:pos="10620"/>
              </w:tabs>
              <w:spacing w:before="100" w:after="100"/>
              <w:rPr>
                <w:b/>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tabs>
                <w:tab w:val="left" w:pos="4680"/>
                <w:tab w:val="left" w:pos="5310"/>
                <w:tab w:val="left" w:pos="8100"/>
                <w:tab w:val="left" w:pos="10620"/>
              </w:tabs>
              <w:spacing w:before="100" w:after="100"/>
              <w:rPr>
                <w:b/>
                <w:szCs w:val="24"/>
              </w:rPr>
            </w:pPr>
          </w:p>
        </w:tc>
      </w:tr>
      <w:tr w:rsidR="000B3493" w:rsidRPr="000B3493" w:rsidTr="005072E6">
        <w:trPr>
          <w:trHeight w:val="20"/>
        </w:trPr>
        <w:tc>
          <w:tcPr>
            <w:tcW w:w="772"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spacing w:before="100" w:after="100"/>
              <w:rPr>
                <w:szCs w:val="24"/>
              </w:rPr>
            </w:pPr>
            <w:r w:rsidRPr="000B3493">
              <w:rPr>
                <w:szCs w:val="24"/>
              </w:rPr>
              <w:t xml:space="preserve">   1</w:t>
            </w:r>
          </w:p>
        </w:tc>
        <w:tc>
          <w:tcPr>
            <w:tcW w:w="2648"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spacing w:before="60" w:after="60"/>
              <w:rPr>
                <w:szCs w:val="24"/>
              </w:rPr>
            </w:pPr>
            <w:r w:rsidRPr="000B3493">
              <w:rPr>
                <w:szCs w:val="24"/>
              </w:rPr>
              <w:t xml:space="preserve">Toàn bộ hàng hóa thuộc phạm vi cung cấp của E-HSMT </w:t>
            </w:r>
          </w:p>
        </w:tc>
        <w:tc>
          <w:tcPr>
            <w:tcW w:w="3112"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pStyle w:val="CommentText"/>
              <w:rPr>
                <w:sz w:val="24"/>
                <w:szCs w:val="24"/>
              </w:rPr>
            </w:pPr>
            <w:r w:rsidRPr="000B3493">
              <w:rPr>
                <w:sz w:val="24"/>
                <w:szCs w:val="24"/>
              </w:rPr>
              <w:t>Có đặc tính, thông số kỹ thuật của hàng hóa, theo tiêu chuẩn của nhà sản xuất (hãng sản xuất), đáp ứng tất cả các yêu cầu về kỹ thuật cơ bản/tối thiểu tại Mục 1.2 Yêu cầu về kỹ thuật, Chương V, Phần 2. Yêu cầu về kỹ thuật của E-HSMT.</w:t>
            </w:r>
          </w:p>
        </w:tc>
        <w:tc>
          <w:tcPr>
            <w:tcW w:w="3301"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pStyle w:val="CommentText"/>
              <w:rPr>
                <w:sz w:val="24"/>
                <w:szCs w:val="24"/>
                <w:lang w:val="vi-VN"/>
              </w:rPr>
            </w:pPr>
            <w:r w:rsidRPr="000B3493">
              <w:rPr>
                <w:sz w:val="24"/>
                <w:szCs w:val="24"/>
                <w:lang w:val="vi-VN"/>
              </w:rPr>
              <w:t xml:space="preserve">Không </w:t>
            </w:r>
            <w:r w:rsidRPr="000B3493">
              <w:rPr>
                <w:sz w:val="24"/>
                <w:szCs w:val="24"/>
                <w:lang w:val="en-GB"/>
              </w:rPr>
              <w:t>c</w:t>
            </w:r>
            <w:r w:rsidRPr="000B3493">
              <w:rPr>
                <w:sz w:val="24"/>
                <w:szCs w:val="24"/>
              </w:rPr>
              <w:t>ó đặc tính, thông số kỹ thuật của hàng hóa, theo tiêu chuẩn của nhà sản xuất (hãng sản xuất), đáp ứng tất cả các yêu cầu về kỹ thuật cơ bản/tối thiểu tại Mục 1.2 Yêu cầu về kỹ thuật, Chương V, Phần 2. Yêu cầu về kỹ thuật của E-HSMT.</w:t>
            </w:r>
          </w:p>
        </w:tc>
      </w:tr>
      <w:tr w:rsidR="000B3493" w:rsidRPr="000B3493" w:rsidTr="005072E6">
        <w:trPr>
          <w:trHeight w:val="20"/>
        </w:trPr>
        <w:tc>
          <w:tcPr>
            <w:tcW w:w="772"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spacing w:before="100" w:after="100"/>
              <w:jc w:val="center"/>
              <w:rPr>
                <w:b/>
                <w:szCs w:val="24"/>
              </w:rPr>
            </w:pPr>
            <w:r w:rsidRPr="000B3493">
              <w:rPr>
                <w:b/>
                <w:szCs w:val="24"/>
              </w:rPr>
              <w:t>II</w:t>
            </w:r>
          </w:p>
        </w:tc>
        <w:tc>
          <w:tcPr>
            <w:tcW w:w="2648"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spacing w:before="100" w:after="100"/>
              <w:rPr>
                <w:b/>
                <w:szCs w:val="24"/>
              </w:rPr>
            </w:pPr>
            <w:r w:rsidRPr="000B3493">
              <w:rPr>
                <w:b/>
                <w:szCs w:val="24"/>
              </w:rPr>
              <w:t>Giải pháp kỹ thuật, biện pháp tổ chức cung cấp hàng hóa</w:t>
            </w:r>
          </w:p>
        </w:tc>
        <w:tc>
          <w:tcPr>
            <w:tcW w:w="3112"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tabs>
                <w:tab w:val="left" w:pos="4680"/>
                <w:tab w:val="left" w:pos="5310"/>
                <w:tab w:val="left" w:pos="8100"/>
                <w:tab w:val="left" w:pos="10620"/>
              </w:tabs>
              <w:spacing w:before="100" w:after="100"/>
              <w:rPr>
                <w:b/>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tabs>
                <w:tab w:val="left" w:pos="4680"/>
                <w:tab w:val="left" w:pos="5310"/>
                <w:tab w:val="left" w:pos="8100"/>
                <w:tab w:val="left" w:pos="10620"/>
              </w:tabs>
              <w:spacing w:before="100" w:after="100"/>
              <w:rPr>
                <w:b/>
                <w:szCs w:val="24"/>
              </w:rPr>
            </w:pPr>
          </w:p>
        </w:tc>
      </w:tr>
      <w:tr w:rsidR="000B3493" w:rsidRPr="000B3493" w:rsidTr="005072E6">
        <w:trPr>
          <w:trHeight w:val="20"/>
        </w:trPr>
        <w:tc>
          <w:tcPr>
            <w:tcW w:w="772"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spacing w:before="100" w:after="100"/>
              <w:jc w:val="center"/>
              <w:rPr>
                <w:b/>
                <w:szCs w:val="24"/>
              </w:rPr>
            </w:pPr>
            <w:r w:rsidRPr="000B3493">
              <w:rPr>
                <w:b/>
                <w:szCs w:val="24"/>
              </w:rPr>
              <w:t>1</w:t>
            </w:r>
          </w:p>
        </w:tc>
        <w:tc>
          <w:tcPr>
            <w:tcW w:w="2648"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spacing w:before="100" w:after="100"/>
              <w:rPr>
                <w:b/>
                <w:szCs w:val="24"/>
                <w:lang w:val="vi-VN"/>
              </w:rPr>
            </w:pPr>
            <w:r w:rsidRPr="000B3493">
              <w:rPr>
                <w:rStyle w:val="fontstyle01"/>
                <w:color w:val="auto"/>
                <w:sz w:val="24"/>
                <w:szCs w:val="24"/>
              </w:rPr>
              <w:t>Giải pháp kỹ thuật tổng thể tổ chức cung cấp, vận chuyển, lên/xuống hàng và nhập kho; vận chuyển đến các địa điểm theo yêu cầu của chủ đầu tư nêu tại chương V</w:t>
            </w:r>
          </w:p>
        </w:tc>
        <w:tc>
          <w:tcPr>
            <w:tcW w:w="3112"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tabs>
                <w:tab w:val="left" w:pos="4680"/>
                <w:tab w:val="left" w:pos="5310"/>
                <w:tab w:val="left" w:pos="8100"/>
                <w:tab w:val="left" w:pos="10620"/>
              </w:tabs>
              <w:spacing w:before="100" w:after="100"/>
              <w:rPr>
                <w:szCs w:val="24"/>
                <w:lang w:val="vi-VN"/>
              </w:rPr>
            </w:pPr>
            <w:r w:rsidRPr="000B3493">
              <w:rPr>
                <w:rStyle w:val="fontstyle01"/>
                <w:color w:val="auto"/>
                <w:sz w:val="24"/>
                <w:szCs w:val="24"/>
                <w:lang w:val="vi-VN"/>
              </w:rPr>
              <w:t>Có các giải pháp kỹ thuật tổng thể tổ chức cung cấp, vận chuyển, lên/xuống hàng và nhập kho hàng hóa</w:t>
            </w:r>
            <w:r w:rsidRPr="000B3493">
              <w:rPr>
                <w:rStyle w:val="fontstyle01"/>
                <w:color w:val="auto"/>
                <w:sz w:val="24"/>
                <w:szCs w:val="24"/>
                <w:lang w:val="en-GB"/>
              </w:rPr>
              <w:t xml:space="preserve">; </w:t>
            </w:r>
            <w:r w:rsidRPr="000B3493">
              <w:rPr>
                <w:rStyle w:val="fontstyle01"/>
                <w:color w:val="auto"/>
                <w:sz w:val="24"/>
                <w:szCs w:val="24"/>
              </w:rPr>
              <w:t>vận chuyển đến các địa điểm theo yêu cầu của chủ đầu tư nêu tại chương V</w:t>
            </w:r>
            <w:r w:rsidRPr="000B3493">
              <w:rPr>
                <w:rStyle w:val="fontstyle01"/>
                <w:color w:val="auto"/>
                <w:sz w:val="24"/>
                <w:szCs w:val="24"/>
                <w:lang w:val="vi-VN"/>
              </w:rPr>
              <w:t xml:space="preserve"> hợp lý và hiệu quả kinh tế.</w:t>
            </w:r>
          </w:p>
        </w:tc>
        <w:tc>
          <w:tcPr>
            <w:tcW w:w="3301"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tabs>
                <w:tab w:val="left" w:pos="4680"/>
                <w:tab w:val="left" w:pos="5310"/>
                <w:tab w:val="left" w:pos="8100"/>
                <w:tab w:val="left" w:pos="10620"/>
              </w:tabs>
              <w:spacing w:before="100" w:after="100"/>
              <w:rPr>
                <w:szCs w:val="24"/>
                <w:lang w:val="vi-VN"/>
              </w:rPr>
            </w:pPr>
            <w:r w:rsidRPr="000B3493">
              <w:rPr>
                <w:rStyle w:val="fontstyle01"/>
                <w:color w:val="auto"/>
                <w:sz w:val="24"/>
                <w:szCs w:val="24"/>
                <w:lang w:val="vi-VN"/>
              </w:rPr>
              <w:t xml:space="preserve">Không có các giải pháp kỹ thuật tổng thể tổ chức cung cấp, vận chuyển, lên/xuống hàng và nhập kho hàng hóa hợp lý và hiệu quả kinh tế; </w:t>
            </w:r>
            <w:r w:rsidRPr="000B3493">
              <w:rPr>
                <w:rStyle w:val="fontstyle01"/>
                <w:color w:val="auto"/>
                <w:sz w:val="24"/>
                <w:szCs w:val="24"/>
              </w:rPr>
              <w:t>vận chuyển đến các địa điểm theo yêu cầu của chủ đầu tư nêu tại chương V</w:t>
            </w:r>
          </w:p>
        </w:tc>
      </w:tr>
      <w:tr w:rsidR="000B3493" w:rsidRPr="000B3493" w:rsidTr="005072E6">
        <w:trPr>
          <w:trHeight w:val="20"/>
        </w:trPr>
        <w:tc>
          <w:tcPr>
            <w:tcW w:w="772"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spacing w:before="100" w:after="100"/>
              <w:jc w:val="center"/>
              <w:rPr>
                <w:b/>
                <w:szCs w:val="24"/>
              </w:rPr>
            </w:pPr>
            <w:r w:rsidRPr="000B3493">
              <w:rPr>
                <w:b/>
                <w:szCs w:val="24"/>
              </w:rPr>
              <w:t>2</w:t>
            </w:r>
          </w:p>
        </w:tc>
        <w:tc>
          <w:tcPr>
            <w:tcW w:w="2648"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spacing w:before="100" w:after="100"/>
              <w:rPr>
                <w:b/>
                <w:szCs w:val="24"/>
                <w:lang w:val="vi-VN"/>
              </w:rPr>
            </w:pPr>
            <w:r w:rsidRPr="000B3493">
              <w:rPr>
                <w:rStyle w:val="fontstyle01"/>
                <w:color w:val="auto"/>
                <w:sz w:val="24"/>
                <w:szCs w:val="24"/>
              </w:rPr>
              <w:t>Biện pháp tổ chức cung cấp, vận chuyển, lên/xuống hàng và nhập kho hàng hóa.</w:t>
            </w:r>
          </w:p>
        </w:tc>
        <w:tc>
          <w:tcPr>
            <w:tcW w:w="3112"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widowControl w:val="0"/>
              <w:tabs>
                <w:tab w:val="left" w:pos="173"/>
              </w:tabs>
              <w:spacing w:after="40"/>
              <w:rPr>
                <w:szCs w:val="24"/>
                <w:lang w:val="vi-VN"/>
              </w:rPr>
            </w:pPr>
            <w:r w:rsidRPr="000B3493">
              <w:rPr>
                <w:rStyle w:val="fontstyle01"/>
                <w:color w:val="auto"/>
                <w:sz w:val="24"/>
                <w:szCs w:val="24"/>
                <w:lang w:val="vi-VN"/>
              </w:rPr>
              <w:t>Có biện pháp tổ chức cung cấp, vận chuyển, lên/xuống hàng và nhập kho hàng hóa chi tiết kể từ khi bắt đầu thực hiện hợp đồng cho đến khi nghiệm thu, bàn giao theo thời gian thực hiện gói thầu do nhà thầu đề xuất.</w:t>
            </w:r>
          </w:p>
        </w:tc>
        <w:tc>
          <w:tcPr>
            <w:tcW w:w="3301"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widowControl w:val="0"/>
              <w:tabs>
                <w:tab w:val="left" w:pos="155"/>
              </w:tabs>
              <w:spacing w:after="40"/>
              <w:rPr>
                <w:szCs w:val="24"/>
                <w:lang w:val="vi-VN"/>
              </w:rPr>
            </w:pPr>
            <w:r w:rsidRPr="000B3493">
              <w:rPr>
                <w:rStyle w:val="fontstyle01"/>
                <w:color w:val="auto"/>
                <w:sz w:val="24"/>
                <w:szCs w:val="24"/>
                <w:lang w:val="vi-VN"/>
              </w:rPr>
              <w:t>Không có biện pháp tổ chức cung cấp, vận chuyển, lên/xuống hàng và nhập kho hàng hóa chi tiết kể từ khi bắt đầu thực hiện hợp đồng cho đến khi nghiệm thu, bàn giao theo thời gian thực hiện gói thầu do nhà thầu đề xuất.</w:t>
            </w:r>
          </w:p>
        </w:tc>
      </w:tr>
      <w:tr w:rsidR="000B3493" w:rsidRPr="000B3493" w:rsidTr="005072E6">
        <w:trPr>
          <w:trHeight w:val="20"/>
        </w:trPr>
        <w:tc>
          <w:tcPr>
            <w:tcW w:w="772"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spacing w:before="100" w:after="100"/>
              <w:jc w:val="center"/>
              <w:rPr>
                <w:b/>
                <w:szCs w:val="24"/>
              </w:rPr>
            </w:pPr>
            <w:r w:rsidRPr="000B3493">
              <w:rPr>
                <w:b/>
                <w:szCs w:val="24"/>
              </w:rPr>
              <w:lastRenderedPageBreak/>
              <w:t>III</w:t>
            </w:r>
          </w:p>
        </w:tc>
        <w:tc>
          <w:tcPr>
            <w:tcW w:w="2648"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spacing w:before="100" w:after="100"/>
              <w:rPr>
                <w:b/>
                <w:szCs w:val="24"/>
              </w:rPr>
            </w:pPr>
            <w:r w:rsidRPr="000B3493">
              <w:rPr>
                <w:b/>
                <w:szCs w:val="24"/>
              </w:rPr>
              <w:t>Thời gian thực hiện hợp đồng</w:t>
            </w:r>
          </w:p>
        </w:tc>
        <w:tc>
          <w:tcPr>
            <w:tcW w:w="3112"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contextualSpacing/>
              <w:rPr>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tabs>
                <w:tab w:val="left" w:pos="4680"/>
                <w:tab w:val="left" w:pos="5310"/>
                <w:tab w:val="left" w:pos="8100"/>
                <w:tab w:val="left" w:pos="10620"/>
              </w:tabs>
              <w:rPr>
                <w:szCs w:val="24"/>
              </w:rPr>
            </w:pPr>
          </w:p>
        </w:tc>
      </w:tr>
      <w:tr w:rsidR="000B3493" w:rsidRPr="000B3493" w:rsidTr="005072E6">
        <w:trPr>
          <w:trHeight w:val="20"/>
        </w:trPr>
        <w:tc>
          <w:tcPr>
            <w:tcW w:w="772"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spacing w:before="100" w:after="100"/>
              <w:jc w:val="center"/>
              <w:rPr>
                <w:b/>
                <w:szCs w:val="24"/>
              </w:rPr>
            </w:pPr>
            <w:r w:rsidRPr="000B3493">
              <w:rPr>
                <w:b/>
                <w:szCs w:val="24"/>
              </w:rPr>
              <w:t>1</w:t>
            </w:r>
          </w:p>
        </w:tc>
        <w:tc>
          <w:tcPr>
            <w:tcW w:w="2648"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spacing w:before="100" w:after="100"/>
              <w:rPr>
                <w:b/>
                <w:szCs w:val="24"/>
              </w:rPr>
            </w:pPr>
            <w:r w:rsidRPr="000B3493">
              <w:rPr>
                <w:szCs w:val="24"/>
              </w:rPr>
              <w:t>Thời gian thực hiện hợp đồng</w:t>
            </w:r>
          </w:p>
        </w:tc>
        <w:tc>
          <w:tcPr>
            <w:tcW w:w="3112"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rPr>
                <w:b/>
                <w:szCs w:val="24"/>
              </w:rPr>
            </w:pPr>
            <w:r w:rsidRPr="000B3493">
              <w:rPr>
                <w:szCs w:val="24"/>
              </w:rPr>
              <w:t>≤ 10 ngày kể từ ngày hợp đồng có hiệu lực.</w:t>
            </w:r>
          </w:p>
        </w:tc>
        <w:tc>
          <w:tcPr>
            <w:tcW w:w="3301"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rPr>
                <w:b/>
                <w:szCs w:val="24"/>
              </w:rPr>
            </w:pPr>
            <w:r w:rsidRPr="000B3493">
              <w:rPr>
                <w:szCs w:val="24"/>
              </w:rPr>
              <w:t>&gt; 10 ngày kể từ ngày hợp đồng có hiệu lực.</w:t>
            </w:r>
          </w:p>
        </w:tc>
      </w:tr>
      <w:tr w:rsidR="000B3493" w:rsidRPr="000B3493" w:rsidTr="005072E6">
        <w:trPr>
          <w:trHeight w:val="20"/>
        </w:trPr>
        <w:tc>
          <w:tcPr>
            <w:tcW w:w="772"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spacing w:before="100" w:after="100"/>
              <w:jc w:val="center"/>
              <w:rPr>
                <w:szCs w:val="24"/>
              </w:rPr>
            </w:pPr>
            <w:r w:rsidRPr="000B3493">
              <w:rPr>
                <w:b/>
                <w:szCs w:val="24"/>
              </w:rPr>
              <w:t>IV</w:t>
            </w:r>
          </w:p>
        </w:tc>
        <w:tc>
          <w:tcPr>
            <w:tcW w:w="2648"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spacing w:line="276" w:lineRule="auto"/>
              <w:rPr>
                <w:rFonts w:eastAsiaTheme="minorEastAsia"/>
                <w:szCs w:val="24"/>
                <w:lang w:eastAsia="zh-CN"/>
              </w:rPr>
            </w:pPr>
            <w:r w:rsidRPr="000B3493">
              <w:rPr>
                <w:b/>
                <w:szCs w:val="24"/>
              </w:rPr>
              <w:t>Bảo hành</w:t>
            </w:r>
          </w:p>
        </w:tc>
        <w:tc>
          <w:tcPr>
            <w:tcW w:w="3112"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spacing w:after="200" w:line="276" w:lineRule="auto"/>
              <w:rPr>
                <w:rFonts w:eastAsiaTheme="minorEastAsia"/>
                <w:szCs w:val="24"/>
                <w:lang w:eastAsia="zh-CN"/>
              </w:rPr>
            </w:pPr>
          </w:p>
        </w:tc>
        <w:tc>
          <w:tcPr>
            <w:tcW w:w="3301"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spacing w:after="200" w:line="276" w:lineRule="auto"/>
              <w:rPr>
                <w:rFonts w:eastAsiaTheme="minorEastAsia"/>
                <w:szCs w:val="24"/>
                <w:lang w:eastAsia="zh-CN"/>
              </w:rPr>
            </w:pPr>
          </w:p>
        </w:tc>
      </w:tr>
      <w:tr w:rsidR="000B3493" w:rsidRPr="000B3493" w:rsidTr="005072E6">
        <w:trPr>
          <w:trHeight w:val="20"/>
        </w:trPr>
        <w:tc>
          <w:tcPr>
            <w:tcW w:w="772"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spacing w:before="100" w:after="100"/>
              <w:jc w:val="center"/>
              <w:rPr>
                <w:szCs w:val="24"/>
              </w:rPr>
            </w:pPr>
            <w:r w:rsidRPr="000B3493">
              <w:rPr>
                <w:szCs w:val="24"/>
              </w:rPr>
              <w:t>1</w:t>
            </w:r>
          </w:p>
        </w:tc>
        <w:tc>
          <w:tcPr>
            <w:tcW w:w="2648"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spacing w:before="100" w:after="100"/>
              <w:rPr>
                <w:b/>
                <w:szCs w:val="24"/>
              </w:rPr>
            </w:pPr>
            <w:r w:rsidRPr="000B3493">
              <w:rPr>
                <w:szCs w:val="24"/>
              </w:rPr>
              <w:t>Thời gian bảo hành kể từ ngày bàn giao hàng hóa.</w:t>
            </w:r>
          </w:p>
        </w:tc>
        <w:tc>
          <w:tcPr>
            <w:tcW w:w="3112"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tabs>
                <w:tab w:val="left" w:pos="4680"/>
                <w:tab w:val="left" w:pos="5310"/>
                <w:tab w:val="left" w:pos="8100"/>
                <w:tab w:val="left" w:pos="10620"/>
              </w:tabs>
              <w:spacing w:before="100" w:after="100"/>
              <w:rPr>
                <w:b/>
                <w:szCs w:val="24"/>
              </w:rPr>
            </w:pPr>
            <w:r w:rsidRPr="000B3493">
              <w:rPr>
                <w:szCs w:val="24"/>
              </w:rPr>
              <w:t>Không yêu cầu</w:t>
            </w:r>
          </w:p>
        </w:tc>
        <w:tc>
          <w:tcPr>
            <w:tcW w:w="3301"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tabs>
                <w:tab w:val="left" w:pos="4680"/>
                <w:tab w:val="left" w:pos="5310"/>
                <w:tab w:val="left" w:pos="8100"/>
                <w:tab w:val="left" w:pos="10620"/>
              </w:tabs>
              <w:spacing w:before="100" w:after="100"/>
              <w:rPr>
                <w:b/>
                <w:szCs w:val="24"/>
              </w:rPr>
            </w:pPr>
          </w:p>
        </w:tc>
      </w:tr>
      <w:tr w:rsidR="000B3493" w:rsidRPr="000B3493" w:rsidTr="005072E6">
        <w:trPr>
          <w:trHeight w:val="20"/>
        </w:trPr>
        <w:tc>
          <w:tcPr>
            <w:tcW w:w="772"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spacing w:before="100" w:after="100"/>
              <w:jc w:val="center"/>
              <w:rPr>
                <w:b/>
                <w:szCs w:val="24"/>
              </w:rPr>
            </w:pPr>
            <w:r w:rsidRPr="000B3493">
              <w:rPr>
                <w:b/>
                <w:szCs w:val="24"/>
              </w:rPr>
              <w:t>V</w:t>
            </w:r>
          </w:p>
        </w:tc>
        <w:tc>
          <w:tcPr>
            <w:tcW w:w="2648"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spacing w:before="100" w:after="100"/>
              <w:rPr>
                <w:b/>
                <w:szCs w:val="24"/>
              </w:rPr>
            </w:pPr>
            <w:r w:rsidRPr="000B3493">
              <w:rPr>
                <w:b/>
                <w:szCs w:val="24"/>
                <w:lang w:val="vi-VN"/>
              </w:rPr>
              <w:t>Giải pháp</w:t>
            </w:r>
            <w:r w:rsidRPr="000B3493">
              <w:rPr>
                <w:b/>
                <w:szCs w:val="24"/>
                <w:lang w:val="en-GB"/>
              </w:rPr>
              <w:t xml:space="preserve"> vận chuyển,</w:t>
            </w:r>
            <w:r w:rsidRPr="000B3493">
              <w:rPr>
                <w:b/>
                <w:szCs w:val="24"/>
                <w:lang w:val="vi-VN"/>
              </w:rPr>
              <w:t xml:space="preserve"> nghiệm thu, bàn giao</w:t>
            </w:r>
          </w:p>
        </w:tc>
        <w:tc>
          <w:tcPr>
            <w:tcW w:w="3112"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tabs>
                <w:tab w:val="left" w:pos="4680"/>
                <w:tab w:val="left" w:pos="5310"/>
                <w:tab w:val="left" w:pos="8100"/>
                <w:tab w:val="left" w:pos="10620"/>
              </w:tabs>
              <w:spacing w:before="100" w:after="100"/>
              <w:jc w:val="center"/>
              <w:rPr>
                <w:b/>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tabs>
                <w:tab w:val="left" w:pos="4680"/>
                <w:tab w:val="left" w:pos="5310"/>
                <w:tab w:val="left" w:pos="8100"/>
                <w:tab w:val="left" w:pos="10620"/>
              </w:tabs>
              <w:spacing w:before="100" w:after="100"/>
              <w:jc w:val="center"/>
              <w:rPr>
                <w:b/>
                <w:szCs w:val="24"/>
              </w:rPr>
            </w:pPr>
          </w:p>
        </w:tc>
      </w:tr>
      <w:tr w:rsidR="000B3493" w:rsidRPr="000B3493" w:rsidTr="005072E6">
        <w:trPr>
          <w:trHeight w:val="20"/>
        </w:trPr>
        <w:tc>
          <w:tcPr>
            <w:tcW w:w="772"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spacing w:before="100" w:after="100"/>
              <w:jc w:val="center"/>
              <w:rPr>
                <w:szCs w:val="24"/>
              </w:rPr>
            </w:pPr>
            <w:r w:rsidRPr="000B3493">
              <w:rPr>
                <w:szCs w:val="24"/>
              </w:rPr>
              <w:t>1</w:t>
            </w:r>
          </w:p>
        </w:tc>
        <w:tc>
          <w:tcPr>
            <w:tcW w:w="2648"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spacing w:before="100" w:after="100"/>
              <w:rPr>
                <w:szCs w:val="24"/>
                <w:lang w:val="vi-VN"/>
              </w:rPr>
            </w:pPr>
            <w:r w:rsidRPr="000B3493">
              <w:rPr>
                <w:szCs w:val="24"/>
              </w:rPr>
              <w:t xml:space="preserve">Giải pháp vận chuyển </w:t>
            </w:r>
          </w:p>
        </w:tc>
        <w:tc>
          <w:tcPr>
            <w:tcW w:w="3112"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tabs>
                <w:tab w:val="left" w:pos="4680"/>
                <w:tab w:val="left" w:pos="5310"/>
                <w:tab w:val="left" w:pos="8100"/>
                <w:tab w:val="left" w:pos="10620"/>
              </w:tabs>
              <w:spacing w:before="100" w:after="100"/>
              <w:rPr>
                <w:szCs w:val="24"/>
                <w:lang w:val="vi-VN"/>
              </w:rPr>
            </w:pPr>
            <w:r w:rsidRPr="000B3493">
              <w:rPr>
                <w:szCs w:val="24"/>
              </w:rPr>
              <w:t>Có tối thiểu 05 xe ô tô cung cấp hàng hóa và 05 nhân viên đứng bốc xếp, giao hàng</w:t>
            </w:r>
          </w:p>
        </w:tc>
        <w:tc>
          <w:tcPr>
            <w:tcW w:w="3301"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tabs>
                <w:tab w:val="left" w:pos="4680"/>
                <w:tab w:val="left" w:pos="5310"/>
                <w:tab w:val="left" w:pos="8100"/>
                <w:tab w:val="left" w:pos="10620"/>
              </w:tabs>
              <w:spacing w:before="100" w:after="100"/>
              <w:rPr>
                <w:szCs w:val="24"/>
                <w:lang w:val="vi-VN"/>
              </w:rPr>
            </w:pPr>
            <w:r w:rsidRPr="000B3493">
              <w:rPr>
                <w:szCs w:val="24"/>
              </w:rPr>
              <w:t>Không có đủ 05 xe ô tô cung cấp hàng hóa và không có đủ số nhân viên đứng bốc xếp, giao hàng như yêu cầu</w:t>
            </w:r>
          </w:p>
        </w:tc>
      </w:tr>
      <w:tr w:rsidR="000B3493" w:rsidRPr="000B3493" w:rsidTr="005072E6">
        <w:trPr>
          <w:trHeight w:val="20"/>
        </w:trPr>
        <w:tc>
          <w:tcPr>
            <w:tcW w:w="772"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spacing w:before="100" w:after="100"/>
              <w:jc w:val="center"/>
              <w:rPr>
                <w:szCs w:val="24"/>
              </w:rPr>
            </w:pPr>
            <w:r w:rsidRPr="000B3493">
              <w:rPr>
                <w:szCs w:val="24"/>
              </w:rPr>
              <w:t>2</w:t>
            </w:r>
          </w:p>
        </w:tc>
        <w:tc>
          <w:tcPr>
            <w:tcW w:w="2648"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spacing w:before="100" w:after="100"/>
              <w:rPr>
                <w:szCs w:val="24"/>
              </w:rPr>
            </w:pPr>
            <w:r w:rsidRPr="000B3493">
              <w:rPr>
                <w:szCs w:val="24"/>
                <w:lang w:val="vi-VN"/>
              </w:rPr>
              <w:t>Nghiệm thu, bàn giao</w:t>
            </w:r>
          </w:p>
        </w:tc>
        <w:tc>
          <w:tcPr>
            <w:tcW w:w="3112"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tabs>
                <w:tab w:val="left" w:pos="4680"/>
                <w:tab w:val="left" w:pos="5310"/>
                <w:tab w:val="left" w:pos="8100"/>
                <w:tab w:val="left" w:pos="10620"/>
              </w:tabs>
              <w:spacing w:before="100" w:after="100"/>
              <w:rPr>
                <w:szCs w:val="24"/>
                <w:lang w:val="vi-VN"/>
              </w:rPr>
            </w:pPr>
            <w:r w:rsidRPr="000B3493">
              <w:rPr>
                <w:szCs w:val="24"/>
                <w:lang w:val="vi-VN"/>
              </w:rPr>
              <w:t>Có cam kết nghiệm thu, bàn giao</w:t>
            </w:r>
          </w:p>
        </w:tc>
        <w:tc>
          <w:tcPr>
            <w:tcW w:w="3301"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tabs>
                <w:tab w:val="left" w:pos="4680"/>
                <w:tab w:val="left" w:pos="5310"/>
                <w:tab w:val="left" w:pos="8100"/>
                <w:tab w:val="left" w:pos="10620"/>
              </w:tabs>
              <w:spacing w:before="100" w:after="100"/>
              <w:rPr>
                <w:szCs w:val="24"/>
                <w:lang w:val="vi-VN"/>
              </w:rPr>
            </w:pPr>
            <w:r w:rsidRPr="000B3493">
              <w:rPr>
                <w:szCs w:val="24"/>
                <w:lang w:val="vi-VN"/>
              </w:rPr>
              <w:t>Không có cam kết nghiệm thu, bàn giao</w:t>
            </w:r>
          </w:p>
        </w:tc>
      </w:tr>
      <w:tr w:rsidR="000B3493" w:rsidRPr="000B3493" w:rsidTr="005072E6">
        <w:trPr>
          <w:trHeight w:val="20"/>
        </w:trPr>
        <w:tc>
          <w:tcPr>
            <w:tcW w:w="772"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spacing w:before="100" w:after="100"/>
              <w:jc w:val="center"/>
              <w:rPr>
                <w:b/>
                <w:szCs w:val="24"/>
              </w:rPr>
            </w:pPr>
            <w:r w:rsidRPr="000B3493">
              <w:rPr>
                <w:b/>
                <w:szCs w:val="24"/>
              </w:rPr>
              <w:t>VI</w:t>
            </w:r>
          </w:p>
        </w:tc>
        <w:tc>
          <w:tcPr>
            <w:tcW w:w="2648"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spacing w:before="100" w:after="100"/>
              <w:rPr>
                <w:b/>
                <w:szCs w:val="24"/>
                <w:lang w:val="vi-VN"/>
              </w:rPr>
            </w:pPr>
            <w:r w:rsidRPr="000B3493">
              <w:rPr>
                <w:b/>
                <w:bCs/>
                <w:szCs w:val="24"/>
              </w:rPr>
              <w:t xml:space="preserve">Giải pháp </w:t>
            </w:r>
            <w:r w:rsidRPr="000B3493">
              <w:rPr>
                <w:b/>
                <w:bCs/>
                <w:szCs w:val="24"/>
                <w:lang w:val="vi-VN"/>
              </w:rPr>
              <w:t>đảm bảo chất lượng</w:t>
            </w:r>
          </w:p>
        </w:tc>
        <w:tc>
          <w:tcPr>
            <w:tcW w:w="3112"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tabs>
                <w:tab w:val="left" w:pos="4680"/>
                <w:tab w:val="left" w:pos="5310"/>
                <w:tab w:val="left" w:pos="8100"/>
                <w:tab w:val="left" w:pos="10620"/>
              </w:tabs>
              <w:spacing w:before="100" w:after="100"/>
              <w:rPr>
                <w:b/>
                <w:szCs w:val="24"/>
              </w:rPr>
            </w:pPr>
          </w:p>
        </w:tc>
        <w:tc>
          <w:tcPr>
            <w:tcW w:w="3301"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tabs>
                <w:tab w:val="left" w:pos="4680"/>
                <w:tab w:val="left" w:pos="5310"/>
                <w:tab w:val="left" w:pos="8100"/>
                <w:tab w:val="left" w:pos="10620"/>
              </w:tabs>
              <w:spacing w:before="100" w:after="100"/>
              <w:rPr>
                <w:b/>
                <w:szCs w:val="24"/>
              </w:rPr>
            </w:pPr>
          </w:p>
        </w:tc>
      </w:tr>
      <w:tr w:rsidR="000B3493" w:rsidRPr="000B3493" w:rsidTr="005072E6">
        <w:trPr>
          <w:trHeight w:val="20"/>
        </w:trPr>
        <w:tc>
          <w:tcPr>
            <w:tcW w:w="772"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spacing w:before="100" w:after="100"/>
              <w:jc w:val="center"/>
              <w:rPr>
                <w:szCs w:val="24"/>
              </w:rPr>
            </w:pPr>
            <w:r w:rsidRPr="000B3493">
              <w:rPr>
                <w:szCs w:val="24"/>
              </w:rPr>
              <w:t>1</w:t>
            </w:r>
          </w:p>
        </w:tc>
        <w:tc>
          <w:tcPr>
            <w:tcW w:w="2648"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spacing w:before="100" w:after="100"/>
              <w:rPr>
                <w:szCs w:val="24"/>
                <w:lang w:val="vi-VN"/>
              </w:rPr>
            </w:pPr>
            <w:r w:rsidRPr="000B3493">
              <w:rPr>
                <w:bCs/>
                <w:szCs w:val="24"/>
                <w:lang w:val="vi-VN"/>
              </w:rPr>
              <w:t>Kiểm tra giám sát chất lượng thực hiện gói thầu</w:t>
            </w:r>
          </w:p>
        </w:tc>
        <w:tc>
          <w:tcPr>
            <w:tcW w:w="3112"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tabs>
                <w:tab w:val="left" w:pos="4680"/>
                <w:tab w:val="left" w:pos="5310"/>
                <w:tab w:val="left" w:pos="8100"/>
                <w:tab w:val="left" w:pos="10620"/>
              </w:tabs>
              <w:spacing w:before="100" w:after="100"/>
              <w:rPr>
                <w:szCs w:val="24"/>
                <w:lang w:val="vi-VN"/>
              </w:rPr>
            </w:pPr>
            <w:r w:rsidRPr="000B3493">
              <w:rPr>
                <w:szCs w:val="24"/>
                <w:lang w:val="vi-VN"/>
              </w:rPr>
              <w:t>Có cam kết</w:t>
            </w:r>
            <w:r w:rsidRPr="000B3493">
              <w:rPr>
                <w:bCs/>
                <w:szCs w:val="24"/>
                <w:lang w:val="vi-VN"/>
              </w:rPr>
              <w:t xml:space="preserve"> thực hiện gói thầu đảm bảo chất lượng theo yêu cầu của hồ sơ mời thầu, kèm theo phương án kiểm tra, giám sát</w:t>
            </w:r>
          </w:p>
        </w:tc>
        <w:tc>
          <w:tcPr>
            <w:tcW w:w="3301"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tabs>
                <w:tab w:val="left" w:pos="4680"/>
                <w:tab w:val="left" w:pos="5310"/>
                <w:tab w:val="left" w:pos="8100"/>
                <w:tab w:val="left" w:pos="10620"/>
              </w:tabs>
              <w:spacing w:before="100" w:after="100"/>
              <w:rPr>
                <w:szCs w:val="24"/>
                <w:lang w:val="vi-VN"/>
              </w:rPr>
            </w:pPr>
            <w:r w:rsidRPr="000B3493">
              <w:rPr>
                <w:szCs w:val="24"/>
                <w:lang w:val="vi-VN"/>
              </w:rPr>
              <w:t xml:space="preserve">Không có cam kết hoặc có nhưng không </w:t>
            </w:r>
            <w:r w:rsidRPr="000B3493">
              <w:rPr>
                <w:bCs/>
                <w:szCs w:val="24"/>
                <w:lang w:val="vi-VN"/>
              </w:rPr>
              <w:t>kèm theo phương án kiểm tra, giám sát</w:t>
            </w:r>
          </w:p>
        </w:tc>
      </w:tr>
      <w:tr w:rsidR="000B3493" w:rsidRPr="000B3493" w:rsidTr="005072E6">
        <w:trPr>
          <w:trHeight w:val="20"/>
        </w:trPr>
        <w:tc>
          <w:tcPr>
            <w:tcW w:w="772"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spacing w:before="100" w:after="100"/>
              <w:jc w:val="center"/>
              <w:rPr>
                <w:szCs w:val="24"/>
              </w:rPr>
            </w:pPr>
            <w:r w:rsidRPr="000B3493">
              <w:rPr>
                <w:szCs w:val="24"/>
              </w:rPr>
              <w:t>2</w:t>
            </w:r>
          </w:p>
        </w:tc>
        <w:tc>
          <w:tcPr>
            <w:tcW w:w="2648"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spacing w:before="100" w:after="100"/>
              <w:rPr>
                <w:szCs w:val="24"/>
                <w:lang w:val="vi-VN"/>
              </w:rPr>
            </w:pPr>
            <w:r w:rsidRPr="000B3493">
              <w:rPr>
                <w:szCs w:val="24"/>
                <w:lang w:val="vi-VN"/>
              </w:rPr>
              <w:t>Cung cấp đúng chủng loại hàng hóa nhà thầu đề xuất</w:t>
            </w:r>
          </w:p>
        </w:tc>
        <w:tc>
          <w:tcPr>
            <w:tcW w:w="3112"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tabs>
                <w:tab w:val="left" w:pos="4680"/>
                <w:tab w:val="left" w:pos="5310"/>
                <w:tab w:val="left" w:pos="8100"/>
                <w:tab w:val="left" w:pos="10620"/>
              </w:tabs>
              <w:spacing w:before="100" w:after="100"/>
              <w:rPr>
                <w:szCs w:val="24"/>
                <w:lang w:val="vi-VN"/>
              </w:rPr>
            </w:pPr>
            <w:r w:rsidRPr="000B3493">
              <w:rPr>
                <w:szCs w:val="24"/>
                <w:lang w:val="vi-VN"/>
              </w:rPr>
              <w:t xml:space="preserve">Có cam kết Cung cấp đúng chủng loại hàng hóa nhà thầu đề xuất. </w:t>
            </w:r>
          </w:p>
        </w:tc>
        <w:tc>
          <w:tcPr>
            <w:tcW w:w="3301"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tabs>
                <w:tab w:val="left" w:pos="4680"/>
                <w:tab w:val="left" w:pos="5310"/>
                <w:tab w:val="left" w:pos="8100"/>
                <w:tab w:val="left" w:pos="10620"/>
              </w:tabs>
              <w:spacing w:before="100" w:after="100"/>
              <w:rPr>
                <w:szCs w:val="24"/>
                <w:lang w:val="vi-VN"/>
              </w:rPr>
            </w:pPr>
            <w:r w:rsidRPr="000B3493">
              <w:rPr>
                <w:szCs w:val="24"/>
                <w:lang w:val="vi-VN"/>
              </w:rPr>
              <w:t>Không có cam kết theo yêu cầu</w:t>
            </w:r>
          </w:p>
        </w:tc>
      </w:tr>
      <w:tr w:rsidR="000B3493" w:rsidRPr="000B3493" w:rsidTr="005072E6">
        <w:trPr>
          <w:trHeight w:val="20"/>
        </w:trPr>
        <w:tc>
          <w:tcPr>
            <w:tcW w:w="3420" w:type="dxa"/>
            <w:gridSpan w:val="2"/>
            <w:vMerge w:val="restart"/>
            <w:tcBorders>
              <w:top w:val="single" w:sz="4" w:space="0" w:color="auto"/>
              <w:left w:val="single" w:sz="4" w:space="0" w:color="auto"/>
              <w:right w:val="single" w:sz="4" w:space="0" w:color="auto"/>
            </w:tcBorders>
            <w:vAlign w:val="center"/>
          </w:tcPr>
          <w:p w:rsidR="000B3493" w:rsidRPr="000B3493" w:rsidRDefault="000B3493" w:rsidP="005072E6">
            <w:pPr>
              <w:tabs>
                <w:tab w:val="left" w:pos="4680"/>
                <w:tab w:val="left" w:pos="5310"/>
                <w:tab w:val="left" w:pos="8100"/>
                <w:tab w:val="left" w:pos="10620"/>
              </w:tabs>
              <w:spacing w:before="100" w:after="100"/>
              <w:jc w:val="center"/>
              <w:rPr>
                <w:b/>
                <w:szCs w:val="24"/>
              </w:rPr>
            </w:pPr>
            <w:r w:rsidRPr="000B3493">
              <w:rPr>
                <w:b/>
                <w:szCs w:val="24"/>
              </w:rPr>
              <w:t>Kết luận</w:t>
            </w:r>
          </w:p>
        </w:tc>
        <w:tc>
          <w:tcPr>
            <w:tcW w:w="3112"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tabs>
                <w:tab w:val="num" w:pos="624"/>
              </w:tabs>
              <w:spacing w:before="100" w:after="100"/>
              <w:jc w:val="center"/>
              <w:rPr>
                <w:b/>
                <w:szCs w:val="24"/>
              </w:rPr>
            </w:pPr>
            <w:r w:rsidRPr="000B3493">
              <w:rPr>
                <w:b/>
                <w:szCs w:val="24"/>
              </w:rPr>
              <w:t>Đạt tất cả các yêu cầu nêu trên</w:t>
            </w:r>
          </w:p>
        </w:tc>
        <w:tc>
          <w:tcPr>
            <w:tcW w:w="3301"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spacing w:before="100" w:after="100"/>
              <w:jc w:val="center"/>
              <w:rPr>
                <w:b/>
                <w:szCs w:val="24"/>
              </w:rPr>
            </w:pPr>
            <w:r w:rsidRPr="000B3493">
              <w:rPr>
                <w:b/>
                <w:szCs w:val="24"/>
              </w:rPr>
              <w:t>Có một nội dung</w:t>
            </w:r>
          </w:p>
          <w:p w:rsidR="000B3493" w:rsidRPr="000B3493" w:rsidRDefault="000B3493" w:rsidP="005072E6">
            <w:pPr>
              <w:spacing w:before="100" w:after="100"/>
              <w:jc w:val="center"/>
              <w:rPr>
                <w:b/>
                <w:szCs w:val="24"/>
              </w:rPr>
            </w:pPr>
            <w:r w:rsidRPr="000B3493">
              <w:rPr>
                <w:b/>
                <w:szCs w:val="24"/>
              </w:rPr>
              <w:t>không đạt</w:t>
            </w:r>
          </w:p>
        </w:tc>
      </w:tr>
      <w:tr w:rsidR="000B3493" w:rsidRPr="000B3493" w:rsidTr="005072E6">
        <w:trPr>
          <w:trHeight w:val="20"/>
        </w:trPr>
        <w:tc>
          <w:tcPr>
            <w:tcW w:w="3420" w:type="dxa"/>
            <w:gridSpan w:val="2"/>
            <w:vMerge/>
            <w:tcBorders>
              <w:left w:val="single" w:sz="4" w:space="0" w:color="auto"/>
              <w:bottom w:val="single" w:sz="4" w:space="0" w:color="auto"/>
              <w:right w:val="single" w:sz="4" w:space="0" w:color="auto"/>
            </w:tcBorders>
            <w:vAlign w:val="center"/>
          </w:tcPr>
          <w:p w:rsidR="000B3493" w:rsidRPr="000B3493" w:rsidRDefault="000B3493" w:rsidP="005072E6">
            <w:pPr>
              <w:tabs>
                <w:tab w:val="left" w:pos="4680"/>
                <w:tab w:val="left" w:pos="5310"/>
                <w:tab w:val="left" w:pos="8100"/>
                <w:tab w:val="left" w:pos="10620"/>
              </w:tabs>
              <w:spacing w:before="100" w:after="100"/>
              <w:jc w:val="center"/>
              <w:rPr>
                <w:b/>
                <w:szCs w:val="24"/>
              </w:rPr>
            </w:pPr>
          </w:p>
        </w:tc>
        <w:tc>
          <w:tcPr>
            <w:tcW w:w="3112"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tabs>
                <w:tab w:val="num" w:pos="624"/>
              </w:tabs>
              <w:spacing w:before="100" w:after="100"/>
              <w:jc w:val="center"/>
              <w:rPr>
                <w:b/>
                <w:szCs w:val="24"/>
              </w:rPr>
            </w:pPr>
            <w:r w:rsidRPr="000B3493">
              <w:rPr>
                <w:b/>
                <w:szCs w:val="24"/>
              </w:rPr>
              <w:t>Đạt</w:t>
            </w:r>
          </w:p>
        </w:tc>
        <w:tc>
          <w:tcPr>
            <w:tcW w:w="3301" w:type="dxa"/>
            <w:tcBorders>
              <w:top w:val="single" w:sz="4" w:space="0" w:color="auto"/>
              <w:left w:val="single" w:sz="4" w:space="0" w:color="auto"/>
              <w:bottom w:val="single" w:sz="4" w:space="0" w:color="auto"/>
              <w:right w:val="single" w:sz="4" w:space="0" w:color="auto"/>
            </w:tcBorders>
            <w:vAlign w:val="center"/>
          </w:tcPr>
          <w:p w:rsidR="000B3493" w:rsidRPr="000B3493" w:rsidRDefault="000B3493" w:rsidP="005072E6">
            <w:pPr>
              <w:spacing w:before="100" w:after="100"/>
              <w:jc w:val="center"/>
              <w:rPr>
                <w:b/>
                <w:szCs w:val="24"/>
              </w:rPr>
            </w:pPr>
            <w:r w:rsidRPr="000B3493">
              <w:rPr>
                <w:b/>
                <w:szCs w:val="24"/>
              </w:rPr>
              <w:t>Không đạt</w:t>
            </w:r>
          </w:p>
        </w:tc>
      </w:tr>
    </w:tbl>
    <w:p w:rsidR="000B3493" w:rsidRPr="000B3493" w:rsidRDefault="000B3493" w:rsidP="000B3493">
      <w:pPr>
        <w:spacing w:before="80" w:after="80" w:line="264" w:lineRule="auto"/>
        <w:rPr>
          <w:szCs w:val="24"/>
          <w:lang w:val="es-ES"/>
        </w:rPr>
      </w:pPr>
    </w:p>
    <w:p w:rsidR="00AE2802" w:rsidRPr="000B3493" w:rsidRDefault="00AE2802"/>
    <w:sectPr w:rsidR="00AE2802" w:rsidRPr="000B3493" w:rsidSect="00D035B1">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27F8" w:rsidRDefault="00CD27F8" w:rsidP="000B3493">
      <w:pPr>
        <w:spacing w:after="0" w:line="240" w:lineRule="auto"/>
      </w:pPr>
      <w:r>
        <w:separator/>
      </w:r>
    </w:p>
  </w:endnote>
  <w:endnote w:type="continuationSeparator" w:id="0">
    <w:p w:rsidR="00CD27F8" w:rsidRDefault="00CD27F8" w:rsidP="000B3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27F8" w:rsidRDefault="00CD27F8" w:rsidP="000B3493">
      <w:pPr>
        <w:spacing w:after="0" w:line="240" w:lineRule="auto"/>
      </w:pPr>
      <w:r>
        <w:separator/>
      </w:r>
    </w:p>
  </w:footnote>
  <w:footnote w:type="continuationSeparator" w:id="0">
    <w:p w:rsidR="00CD27F8" w:rsidRDefault="00CD27F8" w:rsidP="000B3493">
      <w:pPr>
        <w:spacing w:after="0" w:line="240" w:lineRule="auto"/>
      </w:pPr>
      <w:r>
        <w:continuationSeparator/>
      </w:r>
    </w:p>
  </w:footnote>
  <w:footnote w:id="1">
    <w:p w:rsidR="000B3493" w:rsidRPr="00F15C44" w:rsidRDefault="000B3493" w:rsidP="000B3493">
      <w:pPr>
        <w:pStyle w:val="FootnoteText"/>
        <w:tabs>
          <w:tab w:val="clear" w:pos="360"/>
        </w:tabs>
        <w:spacing w:before="60" w:after="60"/>
        <w:ind w:left="0" w:right="49" w:firstLine="0"/>
      </w:pPr>
      <w:r w:rsidRPr="00E951D2">
        <w:rPr>
          <w:rStyle w:val="FootnoteReference"/>
        </w:rPr>
        <w:footnoteRef/>
      </w:r>
      <w:r w:rsidRPr="00F15C44">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493"/>
    <w:rsid w:val="000B3493"/>
    <w:rsid w:val="00696EFF"/>
    <w:rsid w:val="008C69DB"/>
    <w:rsid w:val="00AE2802"/>
    <w:rsid w:val="00CD27F8"/>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77051-3236-4A36-BDCA-3EAA3475A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4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34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349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B349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B349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B349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B349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B349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B349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4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34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349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B349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B349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B34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B34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B34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B34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B3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49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B349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B3493"/>
    <w:pPr>
      <w:spacing w:before="160"/>
      <w:jc w:val="center"/>
    </w:pPr>
    <w:rPr>
      <w:i/>
      <w:iCs/>
      <w:color w:val="404040" w:themeColor="text1" w:themeTint="BF"/>
    </w:rPr>
  </w:style>
  <w:style w:type="character" w:customStyle="1" w:styleId="QuoteChar">
    <w:name w:val="Quote Char"/>
    <w:basedOn w:val="DefaultParagraphFont"/>
    <w:link w:val="Quote"/>
    <w:uiPriority w:val="29"/>
    <w:rsid w:val="000B3493"/>
    <w:rPr>
      <w:i/>
      <w:iCs/>
      <w:color w:val="404040" w:themeColor="text1" w:themeTint="BF"/>
    </w:rPr>
  </w:style>
  <w:style w:type="paragraph" w:styleId="ListParagraph">
    <w:name w:val="List Paragraph"/>
    <w:basedOn w:val="Normal"/>
    <w:uiPriority w:val="34"/>
    <w:qFormat/>
    <w:rsid w:val="000B3493"/>
    <w:pPr>
      <w:ind w:left="720"/>
      <w:contextualSpacing/>
    </w:pPr>
  </w:style>
  <w:style w:type="character" w:styleId="IntenseEmphasis">
    <w:name w:val="Intense Emphasis"/>
    <w:basedOn w:val="DefaultParagraphFont"/>
    <w:uiPriority w:val="21"/>
    <w:qFormat/>
    <w:rsid w:val="000B3493"/>
    <w:rPr>
      <w:i/>
      <w:iCs/>
      <w:color w:val="2F5496" w:themeColor="accent1" w:themeShade="BF"/>
    </w:rPr>
  </w:style>
  <w:style w:type="paragraph" w:styleId="IntenseQuote">
    <w:name w:val="Intense Quote"/>
    <w:basedOn w:val="Normal"/>
    <w:next w:val="Normal"/>
    <w:link w:val="IntenseQuoteChar"/>
    <w:uiPriority w:val="30"/>
    <w:qFormat/>
    <w:rsid w:val="000B34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3493"/>
    <w:rPr>
      <w:i/>
      <w:iCs/>
      <w:color w:val="2F5496" w:themeColor="accent1" w:themeShade="BF"/>
    </w:rPr>
  </w:style>
  <w:style w:type="character" w:styleId="IntenseReference">
    <w:name w:val="Intense Reference"/>
    <w:basedOn w:val="DefaultParagraphFont"/>
    <w:uiPriority w:val="32"/>
    <w:qFormat/>
    <w:rsid w:val="000B3493"/>
    <w:rPr>
      <w:b/>
      <w:bCs/>
      <w:smallCaps/>
      <w:color w:val="2F5496" w:themeColor="accent1" w:themeShade="BF"/>
      <w:spacing w:val="5"/>
    </w:rPr>
  </w:style>
  <w:style w:type="paragraph" w:styleId="TOC1">
    <w:name w:val="toc 1"/>
    <w:basedOn w:val="Normal"/>
    <w:next w:val="Normal"/>
    <w:autoRedefine/>
    <w:uiPriority w:val="39"/>
    <w:qFormat/>
    <w:rsid w:val="000B3493"/>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14:ligatures w14:val="none"/>
    </w:rPr>
  </w:style>
  <w:style w:type="paragraph" w:styleId="FootnoteText">
    <w:name w:val="footnote text"/>
    <w:basedOn w:val="Normal"/>
    <w:link w:val="FootnoteTextChar"/>
    <w:rsid w:val="000B3493"/>
    <w:pPr>
      <w:tabs>
        <w:tab w:val="left" w:pos="360"/>
      </w:tabs>
      <w:spacing w:after="0" w:line="240" w:lineRule="auto"/>
      <w:ind w:left="360" w:hanging="360"/>
      <w:jc w:val="both"/>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rsid w:val="000B3493"/>
    <w:rPr>
      <w:rFonts w:eastAsia="Times New Roman" w:cs="Times New Roman"/>
      <w:kern w:val="0"/>
      <w:sz w:val="20"/>
      <w:szCs w:val="20"/>
      <w14:ligatures w14:val="none"/>
    </w:rPr>
  </w:style>
  <w:style w:type="character" w:styleId="FootnoteReference">
    <w:name w:val="footnote reference"/>
    <w:aliases w:val="callout"/>
    <w:uiPriority w:val="99"/>
    <w:rsid w:val="000B3493"/>
    <w:rPr>
      <w:vertAlign w:val="superscript"/>
    </w:rPr>
  </w:style>
  <w:style w:type="paragraph" w:styleId="CommentText">
    <w:name w:val="annotation text"/>
    <w:aliases w:val="Char1"/>
    <w:basedOn w:val="Normal"/>
    <w:link w:val="CommentTextChar"/>
    <w:uiPriority w:val="99"/>
    <w:rsid w:val="000B3493"/>
    <w:pPr>
      <w:spacing w:after="0" w:line="240" w:lineRule="auto"/>
    </w:pPr>
    <w:rPr>
      <w:rFonts w:eastAsia="Times New Roman" w:cs="Times New Roman"/>
      <w:kern w:val="0"/>
      <w:sz w:val="20"/>
      <w:szCs w:val="20"/>
      <w14:ligatures w14:val="none"/>
    </w:rPr>
  </w:style>
  <w:style w:type="character" w:customStyle="1" w:styleId="CommentTextChar">
    <w:name w:val="Comment Text Char"/>
    <w:aliases w:val="Char1 Char"/>
    <w:basedOn w:val="DefaultParagraphFont"/>
    <w:link w:val="CommentText"/>
    <w:uiPriority w:val="99"/>
    <w:rsid w:val="000B3493"/>
    <w:rPr>
      <w:rFonts w:eastAsia="Times New Roman" w:cs="Times New Roman"/>
      <w:kern w:val="0"/>
      <w:sz w:val="20"/>
      <w:szCs w:val="20"/>
      <w14:ligatures w14:val="none"/>
    </w:rPr>
  </w:style>
  <w:style w:type="character" w:customStyle="1" w:styleId="fontstyle01">
    <w:name w:val="fontstyle01"/>
    <w:basedOn w:val="DefaultParagraphFont"/>
    <w:rsid w:val="000B3493"/>
    <w:rPr>
      <w:rFonts w:ascii="Times New Roman" w:hAnsi="Times New Roman" w:cs="Times New Roman"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2026-01-19T03:41:00Z</dcterms:created>
  <dcterms:modified xsi:type="dcterms:W3CDTF">2026-01-19T03:41:00Z</dcterms:modified>
</cp:coreProperties>
</file>