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0EE" w:rsidRDefault="007325EF">
      <w:pPr>
        <w:pStyle w:val="normal0"/>
        <w:widowControl w:val="0"/>
        <w:pBdr>
          <w:top w:val="nil"/>
          <w:left w:val="nil"/>
          <w:bottom w:val="nil"/>
          <w:right w:val="nil"/>
          <w:between w:val="nil"/>
        </w:pBdr>
        <w:spacing w:line="240" w:lineRule="auto"/>
        <w:ind w:left="71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Mục 3. Tiêu chuẩn đánh giá về kỹ thuật </w:t>
      </w:r>
    </w:p>
    <w:p w:rsidR="00F070EE" w:rsidRDefault="007325EF">
      <w:pPr>
        <w:pStyle w:val="normal0"/>
        <w:widowControl w:val="0"/>
        <w:pBdr>
          <w:top w:val="nil"/>
          <w:left w:val="nil"/>
          <w:bottom w:val="nil"/>
          <w:right w:val="nil"/>
          <w:between w:val="nil"/>
        </w:pBdr>
        <w:spacing w:before="106" w:line="229" w:lineRule="auto"/>
        <w:ind w:left="5" w:right="5" w:firstLine="71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Tiêu chí tổng quát được đánh giá là đạt khi tất cả các tiêu chí chi tiết cơ bản  được đánh giá là đạt và các tiêu chí chi tiết không cơ bản được đánh giá là đạt hoặc  chấp nhận được. </w:t>
      </w:r>
    </w:p>
    <w:p w:rsidR="00F070EE" w:rsidRDefault="007325EF">
      <w:pPr>
        <w:pStyle w:val="normal0"/>
        <w:widowControl w:val="0"/>
        <w:pBdr>
          <w:top w:val="nil"/>
          <w:left w:val="nil"/>
          <w:bottom w:val="nil"/>
          <w:right w:val="nil"/>
          <w:between w:val="nil"/>
        </w:pBdr>
        <w:spacing w:before="85" w:line="228" w:lineRule="auto"/>
        <w:ind w:left="9" w:firstLine="70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E-HSDT được đánh giá là đáp ứng yêu cầu về kỹ thuật khi có tất cả các tiêu  chí tổng quát đều được đánh giá là đạt.</w:t>
      </w:r>
    </w:p>
    <w:tbl>
      <w:tblPr>
        <w:tblStyle w:val="a"/>
        <w:tblW w:w="935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970"/>
        <w:gridCol w:w="4035"/>
        <w:gridCol w:w="1346"/>
      </w:tblGrid>
      <w:tr w:rsidR="00F070EE" w:rsidTr="00862CEF">
        <w:trPr>
          <w:cantSplit/>
          <w:trHeight w:val="1240"/>
          <w:tblHeader/>
        </w:trPr>
        <w:tc>
          <w:tcPr>
            <w:tcW w:w="8005" w:type="dxa"/>
            <w:gridSpan w:val="2"/>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Nội dung đánh giá</w:t>
            </w:r>
          </w:p>
        </w:tc>
        <w:tc>
          <w:tcPr>
            <w:tcW w:w="1346" w:type="dxa"/>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ind w:right="141"/>
              <w:jc w:val="right"/>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Sử dụng  </w:t>
            </w:r>
          </w:p>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tiêu chí  </w:t>
            </w:r>
          </w:p>
          <w:p w:rsidR="00F070EE" w:rsidRDefault="007325EF">
            <w:pPr>
              <w:pStyle w:val="normal0"/>
              <w:widowControl w:val="0"/>
              <w:pBdr>
                <w:top w:val="nil"/>
                <w:left w:val="nil"/>
                <w:bottom w:val="nil"/>
                <w:right w:val="nil"/>
                <w:between w:val="nil"/>
              </w:pBdr>
              <w:spacing w:line="240" w:lineRule="auto"/>
              <w:ind w:right="391"/>
              <w:jc w:val="right"/>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đạt,  </w:t>
            </w:r>
          </w:p>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không đạt</w:t>
            </w:r>
          </w:p>
        </w:tc>
      </w:tr>
      <w:tr w:rsidR="00F070EE">
        <w:trPr>
          <w:cantSplit/>
          <w:trHeight w:val="429"/>
          <w:tblHeader/>
        </w:trPr>
        <w:tc>
          <w:tcPr>
            <w:tcW w:w="9351" w:type="dxa"/>
            <w:gridSpan w:val="3"/>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ind w:left="489"/>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1. Đặc tính kỹ thuật của hàng hóa</w:t>
            </w:r>
          </w:p>
        </w:tc>
      </w:tr>
      <w:tr w:rsidR="00F070EE" w:rsidTr="00E02341">
        <w:trPr>
          <w:cantSplit/>
          <w:trHeight w:val="1314"/>
          <w:tblHeader/>
        </w:trPr>
        <w:tc>
          <w:tcPr>
            <w:tcW w:w="3970" w:type="dxa"/>
            <w:vMerge w:val="restart"/>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28" w:lineRule="auto"/>
              <w:ind w:left="115" w:right="37" w:firstLine="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Đặc tính, thông số kỹ thuật của  hàng hóa</w:t>
            </w:r>
          </w:p>
        </w:tc>
        <w:tc>
          <w:tcPr>
            <w:tcW w:w="4035" w:type="dxa"/>
            <w:shd w:val="clear" w:color="auto" w:fill="auto"/>
            <w:tcMar>
              <w:top w:w="100" w:type="dxa"/>
              <w:left w:w="100" w:type="dxa"/>
              <w:bottom w:w="100" w:type="dxa"/>
              <w:right w:w="100" w:type="dxa"/>
            </w:tcMar>
          </w:tcPr>
          <w:p w:rsidR="006A53E3" w:rsidRPr="005B05F0" w:rsidRDefault="00473B28" w:rsidP="005B05F0">
            <w:pPr>
              <w:pStyle w:val="normal0"/>
              <w:widowControl w:val="0"/>
              <w:pBdr>
                <w:top w:val="nil"/>
                <w:left w:val="nil"/>
                <w:bottom w:val="nil"/>
                <w:right w:val="nil"/>
                <w:between w:val="nil"/>
              </w:pBdr>
              <w:spacing w:before="66" w:line="228" w:lineRule="auto"/>
              <w:ind w:left="145" w:right="37" w:hanging="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Có cam kết đáp ứng đầy đủ </w:t>
            </w:r>
            <w:r w:rsidR="005B05F0">
              <w:rPr>
                <w:rFonts w:ascii="Times New Roman" w:eastAsia="Times New Roman" w:hAnsi="Times New Roman" w:cs="Times New Roman"/>
                <w:color w:val="000000"/>
                <w:sz w:val="28"/>
                <w:szCs w:val="28"/>
              </w:rPr>
              <w:t xml:space="preserve">hàng hóa có </w:t>
            </w:r>
            <w:r>
              <w:rPr>
                <w:rFonts w:ascii="Times New Roman" w:eastAsia="Times New Roman" w:hAnsi="Times New Roman" w:cs="Times New Roman"/>
                <w:color w:val="000000"/>
                <w:sz w:val="28"/>
                <w:szCs w:val="28"/>
              </w:rPr>
              <w:t>thông số kỹ thuật</w:t>
            </w:r>
            <w:r w:rsidR="00764375">
              <w:rPr>
                <w:rFonts w:ascii="Times New Roman" w:eastAsia="Times New Roman" w:hAnsi="Times New Roman" w:cs="Times New Roman"/>
                <w:color w:val="000000"/>
                <w:sz w:val="28"/>
                <w:szCs w:val="28"/>
              </w:rPr>
              <w:t xml:space="preserve">, tiêu chuẩn </w:t>
            </w:r>
            <w:r w:rsidR="00C35546">
              <w:rPr>
                <w:rFonts w:ascii="Times New Roman" w:eastAsia="Times New Roman" w:hAnsi="Times New Roman" w:cs="Times New Roman"/>
                <w:color w:val="000000"/>
                <w:sz w:val="28"/>
                <w:szCs w:val="28"/>
              </w:rPr>
              <w:t xml:space="preserve">và các yêu cầu khác </w:t>
            </w:r>
            <w:r w:rsidR="00764375">
              <w:rPr>
                <w:rFonts w:ascii="Times New Roman" w:eastAsia="Times New Roman" w:hAnsi="Times New Roman" w:cs="Times New Roman"/>
                <w:color w:val="000000"/>
                <w:sz w:val="28"/>
                <w:szCs w:val="28"/>
              </w:rPr>
              <w:t xml:space="preserve">hoàn toàn phù hợp </w:t>
            </w:r>
            <w:r w:rsidR="00E02341">
              <w:rPr>
                <w:rFonts w:ascii="Times New Roman" w:eastAsia="Times New Roman" w:hAnsi="Times New Roman" w:cs="Times New Roman"/>
                <w:color w:val="000000"/>
                <w:sz w:val="28"/>
                <w:szCs w:val="28"/>
              </w:rPr>
              <w:t>theo yêu cầu của Chương V</w:t>
            </w:r>
            <w:r w:rsidR="0093772D">
              <w:rPr>
                <w:rFonts w:ascii="Times New Roman" w:eastAsia="Times New Roman" w:hAnsi="Times New Roman" w:cs="Times New Roman"/>
                <w:color w:val="000000"/>
                <w:sz w:val="28"/>
                <w:szCs w:val="28"/>
              </w:rPr>
              <w:t xml:space="preserve"> đối với các giống lúa</w:t>
            </w:r>
            <w:r w:rsidR="00E02341">
              <w:rPr>
                <w:rFonts w:ascii="Times New Roman" w:eastAsia="Times New Roman" w:hAnsi="Times New Roman" w:cs="Times New Roman"/>
                <w:color w:val="000000"/>
                <w:sz w:val="28"/>
                <w:szCs w:val="28"/>
              </w:rPr>
              <w:t>.</w:t>
            </w:r>
          </w:p>
        </w:tc>
        <w:tc>
          <w:tcPr>
            <w:tcW w:w="1346" w:type="dxa"/>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Đạt</w:t>
            </w:r>
          </w:p>
        </w:tc>
      </w:tr>
      <w:tr w:rsidR="00F070EE" w:rsidTr="00E02341">
        <w:trPr>
          <w:cantSplit/>
          <w:trHeight w:val="681"/>
          <w:tblHeader/>
        </w:trPr>
        <w:tc>
          <w:tcPr>
            <w:tcW w:w="3970" w:type="dxa"/>
            <w:vMerge/>
            <w:shd w:val="clear" w:color="auto" w:fill="auto"/>
            <w:tcMar>
              <w:top w:w="100" w:type="dxa"/>
              <w:left w:w="100" w:type="dxa"/>
              <w:bottom w:w="100" w:type="dxa"/>
              <w:right w:w="100" w:type="dxa"/>
            </w:tcMar>
          </w:tcPr>
          <w:p w:rsidR="00F070EE" w:rsidRDefault="00F070EE">
            <w:pPr>
              <w:pStyle w:val="normal0"/>
              <w:widowControl w:val="0"/>
              <w:pBdr>
                <w:top w:val="nil"/>
                <w:left w:val="nil"/>
                <w:bottom w:val="nil"/>
                <w:right w:val="nil"/>
                <w:between w:val="nil"/>
              </w:pBdr>
              <w:rPr>
                <w:rFonts w:ascii="Times New Roman" w:eastAsia="Times New Roman" w:hAnsi="Times New Roman" w:cs="Times New Roman"/>
                <w:b/>
                <w:color w:val="000000"/>
                <w:sz w:val="25"/>
                <w:szCs w:val="25"/>
              </w:rPr>
            </w:pPr>
          </w:p>
        </w:tc>
        <w:tc>
          <w:tcPr>
            <w:tcW w:w="4035" w:type="dxa"/>
            <w:shd w:val="clear" w:color="auto" w:fill="auto"/>
            <w:tcMar>
              <w:top w:w="100" w:type="dxa"/>
              <w:left w:w="100" w:type="dxa"/>
              <w:bottom w:w="100" w:type="dxa"/>
              <w:right w:w="100" w:type="dxa"/>
            </w:tcMar>
          </w:tcPr>
          <w:p w:rsidR="00F070EE" w:rsidRDefault="00E02341" w:rsidP="00D10A97">
            <w:pPr>
              <w:pStyle w:val="normal0"/>
              <w:widowControl w:val="0"/>
              <w:pBdr>
                <w:top w:val="nil"/>
                <w:left w:val="nil"/>
                <w:bottom w:val="nil"/>
                <w:right w:val="nil"/>
                <w:between w:val="nil"/>
              </w:pBdr>
              <w:spacing w:line="229" w:lineRule="auto"/>
              <w:ind w:left="114" w:right="38" w:firstLine="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Không có</w:t>
            </w:r>
            <w:r w:rsidR="007325EF">
              <w:rPr>
                <w:rFonts w:ascii="Times New Roman" w:eastAsia="Times New Roman" w:hAnsi="Times New Roman" w:cs="Times New Roman"/>
                <w:color w:val="000000"/>
                <w:sz w:val="28"/>
                <w:szCs w:val="28"/>
              </w:rPr>
              <w:t>.</w:t>
            </w:r>
          </w:p>
        </w:tc>
        <w:tc>
          <w:tcPr>
            <w:tcW w:w="1346" w:type="dxa"/>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Không  </w:t>
            </w:r>
          </w:p>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đạt</w:t>
            </w:r>
          </w:p>
        </w:tc>
      </w:tr>
      <w:tr w:rsidR="00F070EE">
        <w:trPr>
          <w:cantSplit/>
          <w:trHeight w:val="429"/>
          <w:tblHeader/>
        </w:trPr>
        <w:tc>
          <w:tcPr>
            <w:tcW w:w="9351" w:type="dxa"/>
            <w:gridSpan w:val="3"/>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ind w:left="119"/>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2. Giải pháp kỹ thuật, biện pháp tổ chức cung cấp hàng hóa</w:t>
            </w:r>
          </w:p>
        </w:tc>
      </w:tr>
      <w:tr w:rsidR="00F070EE" w:rsidTr="00862CEF">
        <w:trPr>
          <w:cantSplit/>
          <w:trHeight w:val="2194"/>
          <w:tblHeader/>
        </w:trPr>
        <w:tc>
          <w:tcPr>
            <w:tcW w:w="3970" w:type="dxa"/>
            <w:vMerge w:val="restart"/>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28" w:lineRule="auto"/>
              <w:ind w:left="112" w:right="37" w:firstLine="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Tính hợp lý và hiệu quả kinh tế  của các giải pháp kỹ thuật, biện  pháp tổ chức cung cấp</w:t>
            </w:r>
          </w:p>
        </w:tc>
        <w:tc>
          <w:tcPr>
            <w:tcW w:w="4035" w:type="dxa"/>
            <w:shd w:val="clear" w:color="auto" w:fill="auto"/>
            <w:tcMar>
              <w:top w:w="100" w:type="dxa"/>
              <w:left w:w="100" w:type="dxa"/>
              <w:bottom w:w="100" w:type="dxa"/>
              <w:right w:w="100" w:type="dxa"/>
            </w:tcMar>
          </w:tcPr>
          <w:p w:rsidR="00F070EE" w:rsidRDefault="00D00DE8" w:rsidP="00D00DE8">
            <w:pPr>
              <w:pStyle w:val="normal0"/>
              <w:widowControl w:val="0"/>
              <w:pBdr>
                <w:top w:val="nil"/>
                <w:left w:val="nil"/>
                <w:bottom w:val="nil"/>
                <w:right w:val="nil"/>
                <w:between w:val="nil"/>
              </w:pBdr>
              <w:spacing w:line="229" w:lineRule="auto"/>
              <w:ind w:left="112" w:right="35" w:firstLine="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Cam kết </w:t>
            </w:r>
            <w:r w:rsidR="00D10A97">
              <w:rPr>
                <w:rFonts w:ascii="Times New Roman" w:eastAsia="Times New Roman" w:hAnsi="Times New Roman" w:cs="Times New Roman"/>
                <w:color w:val="000000"/>
                <w:sz w:val="28"/>
                <w:szCs w:val="28"/>
              </w:rPr>
              <w:t xml:space="preserve">tổ chức tập huấn </w:t>
            </w:r>
            <w:r w:rsidR="007325EF">
              <w:rPr>
                <w:rFonts w:ascii="Times New Roman" w:eastAsia="Times New Roman" w:hAnsi="Times New Roman" w:cs="Times New Roman"/>
                <w:color w:val="000000"/>
                <w:sz w:val="28"/>
                <w:szCs w:val="28"/>
              </w:rPr>
              <w:t xml:space="preserve">kỹ thuật </w:t>
            </w:r>
            <w:r w:rsidR="00D10A97">
              <w:rPr>
                <w:rFonts w:ascii="Times New Roman" w:eastAsia="Times New Roman" w:hAnsi="Times New Roman" w:cs="Times New Roman"/>
                <w:color w:val="000000"/>
                <w:sz w:val="28"/>
                <w:szCs w:val="28"/>
              </w:rPr>
              <w:t>cho người sử dụng</w:t>
            </w:r>
            <w:r>
              <w:rPr>
                <w:rFonts w:ascii="Times New Roman" w:eastAsia="Times New Roman" w:hAnsi="Times New Roman" w:cs="Times New Roman"/>
                <w:color w:val="000000"/>
                <w:sz w:val="28"/>
                <w:szCs w:val="28"/>
              </w:rPr>
              <w:t xml:space="preserve">, </w:t>
            </w:r>
            <w:r w:rsidR="007325EF">
              <w:rPr>
                <w:rFonts w:ascii="Times New Roman" w:eastAsia="Times New Roman" w:hAnsi="Times New Roman" w:cs="Times New Roman"/>
                <w:color w:val="000000"/>
                <w:sz w:val="28"/>
                <w:szCs w:val="28"/>
              </w:rPr>
              <w:t>biện pháp tổ chức cung cấp hàng  hóa hợp lý và hiệu quả kinh tế;  hàng hóa được bốc xếp lên và  xuống, vận chuyển cung cấp đến  địa bàn hiện dự án</w:t>
            </w:r>
          </w:p>
        </w:tc>
        <w:tc>
          <w:tcPr>
            <w:tcW w:w="1346" w:type="dxa"/>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Đạt</w:t>
            </w:r>
          </w:p>
        </w:tc>
      </w:tr>
      <w:tr w:rsidR="00F070EE">
        <w:trPr>
          <w:cantSplit/>
          <w:trHeight w:val="2383"/>
          <w:tblHeader/>
        </w:trPr>
        <w:tc>
          <w:tcPr>
            <w:tcW w:w="3970" w:type="dxa"/>
            <w:vMerge/>
            <w:shd w:val="clear" w:color="auto" w:fill="auto"/>
            <w:tcMar>
              <w:top w:w="100" w:type="dxa"/>
              <w:left w:w="100" w:type="dxa"/>
              <w:bottom w:w="100" w:type="dxa"/>
              <w:right w:w="100" w:type="dxa"/>
            </w:tcMar>
          </w:tcPr>
          <w:p w:rsidR="00F070EE" w:rsidRDefault="00F070EE">
            <w:pPr>
              <w:pStyle w:val="normal0"/>
              <w:widowControl w:val="0"/>
              <w:pBdr>
                <w:top w:val="nil"/>
                <w:left w:val="nil"/>
                <w:bottom w:val="nil"/>
                <w:right w:val="nil"/>
                <w:between w:val="nil"/>
              </w:pBdr>
              <w:rPr>
                <w:rFonts w:ascii="Times New Roman" w:eastAsia="Times New Roman" w:hAnsi="Times New Roman" w:cs="Times New Roman"/>
                <w:b/>
                <w:color w:val="000000"/>
                <w:sz w:val="25"/>
                <w:szCs w:val="25"/>
              </w:rPr>
            </w:pPr>
          </w:p>
        </w:tc>
        <w:tc>
          <w:tcPr>
            <w:tcW w:w="4035" w:type="dxa"/>
            <w:shd w:val="clear" w:color="auto" w:fill="auto"/>
            <w:tcMar>
              <w:top w:w="100" w:type="dxa"/>
              <w:left w:w="100" w:type="dxa"/>
              <w:bottom w:w="100" w:type="dxa"/>
              <w:right w:w="100" w:type="dxa"/>
            </w:tcMar>
          </w:tcPr>
          <w:p w:rsidR="00F070EE" w:rsidRDefault="007325EF" w:rsidP="003D4FC0">
            <w:pPr>
              <w:pStyle w:val="normal0"/>
              <w:widowControl w:val="0"/>
              <w:pBdr>
                <w:top w:val="nil"/>
                <w:left w:val="nil"/>
                <w:bottom w:val="nil"/>
                <w:right w:val="nil"/>
                <w:between w:val="nil"/>
              </w:pBdr>
              <w:spacing w:line="229" w:lineRule="auto"/>
              <w:ind w:left="114" w:right="35" w:firstLine="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Không </w:t>
            </w:r>
            <w:r w:rsidR="00D10A97">
              <w:rPr>
                <w:rFonts w:ascii="Times New Roman" w:eastAsia="Times New Roman" w:hAnsi="Times New Roman" w:cs="Times New Roman"/>
                <w:color w:val="000000"/>
                <w:sz w:val="28"/>
                <w:szCs w:val="28"/>
              </w:rPr>
              <w:t>tổ chức tập huấn kỹ thuật cho người sử dụng</w:t>
            </w:r>
            <w:r>
              <w:rPr>
                <w:rFonts w:ascii="Times New Roman" w:eastAsia="Times New Roman" w:hAnsi="Times New Roman" w:cs="Times New Roman"/>
                <w:color w:val="000000"/>
                <w:sz w:val="28"/>
                <w:szCs w:val="28"/>
              </w:rPr>
              <w:t xml:space="preserve">, </w:t>
            </w:r>
            <w:r w:rsidR="003D4FC0">
              <w:rPr>
                <w:rFonts w:ascii="Times New Roman" w:eastAsia="Times New Roman" w:hAnsi="Times New Roman" w:cs="Times New Roman"/>
                <w:color w:val="000000"/>
                <w:sz w:val="28"/>
                <w:szCs w:val="28"/>
              </w:rPr>
              <w:t xml:space="preserve">không có </w:t>
            </w:r>
            <w:r>
              <w:rPr>
                <w:rFonts w:ascii="Times New Roman" w:eastAsia="Times New Roman" w:hAnsi="Times New Roman" w:cs="Times New Roman"/>
                <w:color w:val="000000"/>
                <w:sz w:val="28"/>
                <w:szCs w:val="28"/>
              </w:rPr>
              <w:t>biện pháp tổ chức cung  cấp hàng hóa hợp lý và hiệu quả  kinh tế; hàng hóa không được bốc  xếp lên và xuống, vận chuyển  cung cấp đến địa bàn thực  hiện dự án</w:t>
            </w:r>
          </w:p>
        </w:tc>
        <w:tc>
          <w:tcPr>
            <w:tcW w:w="1346" w:type="dxa"/>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Không  </w:t>
            </w:r>
          </w:p>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đạt</w:t>
            </w:r>
          </w:p>
        </w:tc>
      </w:tr>
      <w:tr w:rsidR="00F070EE" w:rsidTr="00862CEF">
        <w:trPr>
          <w:cantSplit/>
          <w:trHeight w:val="267"/>
          <w:tblHeader/>
        </w:trPr>
        <w:tc>
          <w:tcPr>
            <w:tcW w:w="9351" w:type="dxa"/>
            <w:gridSpan w:val="3"/>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Tiến độ thực hiện gói thầu</w:t>
            </w:r>
          </w:p>
        </w:tc>
      </w:tr>
    </w:tbl>
    <w:tbl>
      <w:tblPr>
        <w:tblStyle w:val="a0"/>
        <w:tblW w:w="935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970"/>
        <w:gridCol w:w="4035"/>
        <w:gridCol w:w="1346"/>
      </w:tblGrid>
      <w:tr w:rsidR="00F070EE" w:rsidTr="007325EF">
        <w:trPr>
          <w:cantSplit/>
          <w:trHeight w:val="1165"/>
          <w:tblHeader/>
        </w:trPr>
        <w:tc>
          <w:tcPr>
            <w:tcW w:w="8005" w:type="dxa"/>
            <w:gridSpan w:val="2"/>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lastRenderedPageBreak/>
              <w:t>Nội dung đánh giá</w:t>
            </w:r>
          </w:p>
        </w:tc>
        <w:tc>
          <w:tcPr>
            <w:tcW w:w="1346" w:type="dxa"/>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ind w:right="141"/>
              <w:jc w:val="right"/>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Sử dụng  </w:t>
            </w:r>
          </w:p>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tiêu chí  </w:t>
            </w:r>
          </w:p>
          <w:p w:rsidR="00F070EE" w:rsidRDefault="007325EF">
            <w:pPr>
              <w:pStyle w:val="normal0"/>
              <w:widowControl w:val="0"/>
              <w:pBdr>
                <w:top w:val="nil"/>
                <w:left w:val="nil"/>
                <w:bottom w:val="nil"/>
                <w:right w:val="nil"/>
                <w:between w:val="nil"/>
              </w:pBdr>
              <w:spacing w:line="240" w:lineRule="auto"/>
              <w:ind w:right="391"/>
              <w:jc w:val="right"/>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đạt,  </w:t>
            </w:r>
          </w:p>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không đạt</w:t>
            </w:r>
          </w:p>
        </w:tc>
      </w:tr>
      <w:tr w:rsidR="00F070EE">
        <w:trPr>
          <w:cantSplit/>
          <w:trHeight w:val="1096"/>
          <w:tblHeader/>
        </w:trPr>
        <w:tc>
          <w:tcPr>
            <w:tcW w:w="3970" w:type="dxa"/>
            <w:vMerge w:val="restart"/>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 độ thực hiện gói thầu</w:t>
            </w:r>
          </w:p>
        </w:tc>
        <w:tc>
          <w:tcPr>
            <w:tcW w:w="4035" w:type="dxa"/>
            <w:shd w:val="clear" w:color="auto" w:fill="auto"/>
            <w:tcMar>
              <w:top w:w="100" w:type="dxa"/>
              <w:left w:w="100" w:type="dxa"/>
              <w:bottom w:w="100" w:type="dxa"/>
              <w:right w:w="100" w:type="dxa"/>
            </w:tcMar>
          </w:tcPr>
          <w:p w:rsidR="00F070EE" w:rsidRDefault="007325EF" w:rsidP="003D4FC0">
            <w:pPr>
              <w:pStyle w:val="normal0"/>
              <w:widowControl w:val="0"/>
              <w:pBdr>
                <w:top w:val="nil"/>
                <w:left w:val="nil"/>
                <w:bottom w:val="nil"/>
                <w:right w:val="nil"/>
                <w:between w:val="nil"/>
              </w:pBdr>
              <w:spacing w:line="228" w:lineRule="auto"/>
              <w:ind w:left="118" w:right="33" w:firstLine="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Tiến độ thực hiện gói thầu </w:t>
            </w:r>
            <w:r w:rsidR="00CB03BA" w:rsidRPr="00CB03BA">
              <w:rPr>
                <w:rFonts w:ascii="Times New Roman" w:eastAsia="Times New Roman" w:hAnsi="Times New Roman" w:cs="Times New Roman" w:hint="eastAsia"/>
                <w:color w:val="000000"/>
                <w:sz w:val="28"/>
                <w:szCs w:val="28"/>
              </w:rPr>
              <w:t>≤</w:t>
            </w:r>
            <w:r w:rsidR="00CB03BA">
              <w:rPr>
                <w:rFonts w:ascii="Times New Roman" w:eastAsia="Times New Roman" w:hAnsi="Times New Roman" w:cs="Times New Roman"/>
                <w:color w:val="000000"/>
                <w:sz w:val="28"/>
                <w:szCs w:val="28"/>
              </w:rPr>
              <w:t xml:space="preserve"> </w:t>
            </w:r>
            <w:r w:rsidR="003D4FC0">
              <w:rPr>
                <w:rFonts w:ascii="Times New Roman" w:eastAsia="Times New Roman" w:hAnsi="Times New Roman" w:cs="Times New Roman"/>
                <w:color w:val="000000"/>
                <w:sz w:val="28"/>
                <w:szCs w:val="28"/>
              </w:rPr>
              <w:t>6</w:t>
            </w:r>
            <w:r w:rsidR="00CB03BA" w:rsidRPr="00CB03BA">
              <w:rPr>
                <w:rFonts w:ascii="Times New Roman" w:eastAsia="Times New Roman" w:hAnsi="Times New Roman" w:cs="Times New Roman"/>
                <w:color w:val="000000"/>
                <w:sz w:val="28"/>
                <w:szCs w:val="28"/>
              </w:rPr>
              <w:t>0 ngày</w:t>
            </w:r>
            <w:r w:rsidRPr="00CB03B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kể từ ngày hợp đồng có hiệu  lực.</w:t>
            </w:r>
          </w:p>
        </w:tc>
        <w:tc>
          <w:tcPr>
            <w:tcW w:w="1346" w:type="dxa"/>
            <w:shd w:val="clear" w:color="auto" w:fill="auto"/>
            <w:tcMar>
              <w:top w:w="100" w:type="dxa"/>
              <w:left w:w="100" w:type="dxa"/>
              <w:bottom w:w="100" w:type="dxa"/>
              <w:right w:w="100" w:type="dxa"/>
            </w:tcMar>
          </w:tcPr>
          <w:p w:rsidR="00F070EE" w:rsidRPr="00CB03BA"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sidRPr="00CB03BA">
              <w:rPr>
                <w:rFonts w:ascii="Times New Roman" w:eastAsia="Times New Roman" w:hAnsi="Times New Roman" w:cs="Times New Roman"/>
                <w:color w:val="000000"/>
                <w:sz w:val="28"/>
                <w:szCs w:val="28"/>
              </w:rPr>
              <w:t>Đạt</w:t>
            </w:r>
          </w:p>
        </w:tc>
      </w:tr>
      <w:tr w:rsidR="00F070EE" w:rsidTr="007325EF">
        <w:trPr>
          <w:cantSplit/>
          <w:trHeight w:val="864"/>
          <w:tblHeader/>
        </w:trPr>
        <w:tc>
          <w:tcPr>
            <w:tcW w:w="3970" w:type="dxa"/>
            <w:vMerge/>
            <w:shd w:val="clear" w:color="auto" w:fill="auto"/>
            <w:tcMar>
              <w:top w:w="100" w:type="dxa"/>
              <w:left w:w="100" w:type="dxa"/>
              <w:bottom w:w="100" w:type="dxa"/>
              <w:right w:w="100" w:type="dxa"/>
            </w:tcMar>
          </w:tcPr>
          <w:p w:rsidR="00F070EE" w:rsidRDefault="00F070EE">
            <w:pPr>
              <w:pStyle w:val="normal0"/>
              <w:widowControl w:val="0"/>
              <w:pBdr>
                <w:top w:val="nil"/>
                <w:left w:val="nil"/>
                <w:bottom w:val="nil"/>
                <w:right w:val="nil"/>
                <w:between w:val="nil"/>
              </w:pBdr>
              <w:rPr>
                <w:rFonts w:ascii="Times New Roman" w:eastAsia="Times New Roman" w:hAnsi="Times New Roman" w:cs="Times New Roman"/>
                <w:b/>
                <w:color w:val="000000"/>
                <w:sz w:val="25"/>
                <w:szCs w:val="25"/>
              </w:rPr>
            </w:pPr>
          </w:p>
        </w:tc>
        <w:tc>
          <w:tcPr>
            <w:tcW w:w="4035" w:type="dxa"/>
            <w:shd w:val="clear" w:color="auto" w:fill="auto"/>
            <w:tcMar>
              <w:top w:w="100" w:type="dxa"/>
              <w:left w:w="100" w:type="dxa"/>
              <w:bottom w:w="100" w:type="dxa"/>
              <w:right w:w="100" w:type="dxa"/>
            </w:tcMar>
          </w:tcPr>
          <w:p w:rsidR="00F070EE" w:rsidRDefault="007325EF" w:rsidP="003D4FC0">
            <w:pPr>
              <w:pStyle w:val="normal0"/>
              <w:widowControl w:val="0"/>
              <w:pBdr>
                <w:top w:val="nil"/>
                <w:left w:val="nil"/>
                <w:bottom w:val="nil"/>
                <w:right w:val="nil"/>
                <w:between w:val="nil"/>
              </w:pBdr>
              <w:spacing w:line="230" w:lineRule="auto"/>
              <w:ind w:left="118" w:right="33" w:firstLine="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Tiến độ thực hiện gói thầu </w:t>
            </w:r>
            <w:r w:rsidRPr="00CB03BA">
              <w:rPr>
                <w:rFonts w:ascii="Times New Roman" w:eastAsia="Times New Roman" w:hAnsi="Times New Roman" w:cs="Times New Roman"/>
                <w:color w:val="000000"/>
                <w:sz w:val="28"/>
                <w:szCs w:val="28"/>
              </w:rPr>
              <w:t xml:space="preserve">&gt; </w:t>
            </w:r>
            <w:r w:rsidR="003D4FC0">
              <w:rPr>
                <w:rFonts w:ascii="Times New Roman" w:eastAsia="Times New Roman" w:hAnsi="Times New Roman" w:cs="Times New Roman"/>
                <w:color w:val="000000"/>
                <w:sz w:val="28"/>
                <w:szCs w:val="28"/>
              </w:rPr>
              <w:t>6</w:t>
            </w:r>
            <w:r w:rsidR="00CB03BA" w:rsidRPr="00CB03BA">
              <w:rPr>
                <w:rFonts w:ascii="Times New Roman" w:eastAsia="Times New Roman" w:hAnsi="Times New Roman" w:cs="Times New Roman"/>
                <w:color w:val="000000"/>
                <w:sz w:val="28"/>
                <w:szCs w:val="28"/>
              </w:rPr>
              <w:t>0</w:t>
            </w:r>
            <w:r w:rsidRPr="00CB03BA">
              <w:rPr>
                <w:rFonts w:ascii="Times New Roman" w:eastAsia="Times New Roman" w:hAnsi="Times New Roman" w:cs="Times New Roman"/>
                <w:color w:val="000000"/>
                <w:sz w:val="28"/>
                <w:szCs w:val="28"/>
              </w:rPr>
              <w:t xml:space="preserve">  ngày </w:t>
            </w:r>
            <w:r>
              <w:rPr>
                <w:rFonts w:ascii="Times New Roman" w:eastAsia="Times New Roman" w:hAnsi="Times New Roman" w:cs="Times New Roman"/>
                <w:color w:val="000000"/>
                <w:sz w:val="28"/>
                <w:szCs w:val="28"/>
              </w:rPr>
              <w:t>kể từ ngày hợp đồng có hiệu  lực.</w:t>
            </w:r>
          </w:p>
        </w:tc>
        <w:tc>
          <w:tcPr>
            <w:tcW w:w="1346" w:type="dxa"/>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Không  </w:t>
            </w:r>
          </w:p>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đạt</w:t>
            </w:r>
          </w:p>
        </w:tc>
      </w:tr>
      <w:tr w:rsidR="00F070EE">
        <w:trPr>
          <w:cantSplit/>
          <w:trHeight w:val="523"/>
          <w:tblHeader/>
        </w:trPr>
        <w:tc>
          <w:tcPr>
            <w:tcW w:w="9351" w:type="dxa"/>
            <w:gridSpan w:val="3"/>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ind w:left="11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Cam kết về bảo hành, khả năng cung cấp và các tiện ích khác</w:t>
            </w:r>
          </w:p>
        </w:tc>
      </w:tr>
      <w:tr w:rsidR="00F070EE" w:rsidTr="007325EF">
        <w:trPr>
          <w:cantSplit/>
          <w:trHeight w:val="4607"/>
          <w:tblHeader/>
        </w:trPr>
        <w:tc>
          <w:tcPr>
            <w:tcW w:w="3970" w:type="dxa"/>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Bảo hành, bảo trì </w:t>
            </w:r>
          </w:p>
        </w:tc>
        <w:tc>
          <w:tcPr>
            <w:tcW w:w="4035" w:type="dxa"/>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28" w:lineRule="auto"/>
              <w:ind w:left="126" w:right="37" w:hanging="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Cam kết hàng hó</w:t>
            </w:r>
            <w:r w:rsidR="00574D6C">
              <w:rPr>
                <w:rFonts w:ascii="Times New Roman" w:eastAsia="Times New Roman" w:hAnsi="Times New Roman" w:cs="Times New Roman"/>
                <w:color w:val="000000"/>
                <w:sz w:val="28"/>
                <w:szCs w:val="28"/>
              </w:rPr>
              <w:t>a mới 100%,  sản xuất từ năm 202</w:t>
            </w:r>
            <w:r w:rsidR="00A00098">
              <w:rPr>
                <w:rFonts w:ascii="Times New Roman" w:eastAsia="Times New Roman" w:hAnsi="Times New Roman" w:cs="Times New Roman"/>
                <w:color w:val="000000"/>
                <w:sz w:val="28"/>
                <w:szCs w:val="28"/>
              </w:rPr>
              <w:t>5</w:t>
            </w:r>
            <w:r w:rsidR="00574D6C">
              <w:rPr>
                <w:rFonts w:ascii="Times New Roman" w:eastAsia="Times New Roman" w:hAnsi="Times New Roman" w:cs="Times New Roman"/>
                <w:color w:val="000000"/>
                <w:sz w:val="28"/>
                <w:szCs w:val="28"/>
              </w:rPr>
              <w:t xml:space="preserve"> đến nay</w:t>
            </w:r>
            <w:r w:rsidR="006A24B2">
              <w:rPr>
                <w:rFonts w:ascii="Times New Roman" w:eastAsia="Times New Roman" w:hAnsi="Times New Roman" w:cs="Times New Roman"/>
                <w:color w:val="000000"/>
                <w:sz w:val="28"/>
                <w:szCs w:val="28"/>
              </w:rPr>
              <w:t xml:space="preserve">, </w:t>
            </w:r>
            <w:r w:rsidR="006A24B2">
              <w:rPr>
                <w:rStyle w:val="fontstyle01"/>
              </w:rPr>
              <w:t>Phân bón, lúa giố</w:t>
            </w:r>
            <w:r w:rsidR="005B05F0">
              <w:rPr>
                <w:rStyle w:val="fontstyle01"/>
              </w:rPr>
              <w:t>ng, thuốc bảo vệ thực vật</w:t>
            </w:r>
            <w:r w:rsidR="006A24B2">
              <w:rPr>
                <w:rStyle w:val="fontstyle01"/>
              </w:rPr>
              <w:t xml:space="preserve"> bao bì còn nguyên vẹn,không ẩm ướt, không vón cục</w:t>
            </w:r>
            <w:r w:rsidR="00D0398F">
              <w:rPr>
                <w:rFonts w:ascii="Times New Roman" w:eastAsia="Times New Roman" w:hAnsi="Times New Roman" w:cs="Times New Roman"/>
                <w:color w:val="000000"/>
                <w:sz w:val="28"/>
                <w:szCs w:val="28"/>
              </w:rPr>
              <w:t>.</w:t>
            </w:r>
          </w:p>
          <w:p w:rsidR="00F070EE" w:rsidRDefault="007325EF">
            <w:pPr>
              <w:pStyle w:val="normal0"/>
              <w:widowControl w:val="0"/>
              <w:pBdr>
                <w:top w:val="nil"/>
                <w:left w:val="nil"/>
                <w:bottom w:val="nil"/>
                <w:right w:val="nil"/>
                <w:between w:val="nil"/>
              </w:pBdr>
              <w:spacing w:before="129" w:line="228" w:lineRule="auto"/>
              <w:ind w:left="114" w:right="35" w:firstLine="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47C2D">
              <w:rPr>
                <w:rFonts w:ascii="Times New Roman" w:eastAsia="Times New Roman" w:hAnsi="Times New Roman" w:cs="Times New Roman"/>
                <w:color w:val="000000"/>
                <w:sz w:val="28"/>
                <w:szCs w:val="28"/>
              </w:rPr>
              <w:t>Cam kết b</w:t>
            </w:r>
            <w:r>
              <w:rPr>
                <w:rFonts w:ascii="Times New Roman" w:eastAsia="Times New Roman" w:hAnsi="Times New Roman" w:cs="Times New Roman"/>
                <w:color w:val="000000"/>
                <w:sz w:val="28"/>
                <w:szCs w:val="28"/>
              </w:rPr>
              <w:t xml:space="preserve">ảo hành tỷ lệ nảy mầm </w:t>
            </w:r>
            <w:r w:rsidR="005B05F0">
              <w:rPr>
                <w:rFonts w:ascii="Times New Roman" w:eastAsia="Times New Roman" w:hAnsi="Times New Roman" w:cs="Times New Roman"/>
                <w:color w:val="000000"/>
                <w:sz w:val="28"/>
                <w:szCs w:val="28"/>
              </w:rPr>
              <w:t>đạt trên 80</w:t>
            </w:r>
            <w:r w:rsidR="00D860DD">
              <w:rPr>
                <w:rFonts w:ascii="Times New Roman" w:eastAsia="Times New Roman" w:hAnsi="Times New Roman" w:cs="Times New Roman"/>
                <w:color w:val="000000"/>
                <w:sz w:val="28"/>
                <w:szCs w:val="28"/>
              </w:rPr>
              <w:t xml:space="preserve">% </w:t>
            </w:r>
            <w:r w:rsidR="00147C2D">
              <w:rPr>
                <w:rFonts w:ascii="Times New Roman" w:eastAsia="Times New Roman" w:hAnsi="Times New Roman" w:cs="Times New Roman"/>
                <w:color w:val="000000"/>
                <w:sz w:val="28"/>
                <w:szCs w:val="28"/>
              </w:rPr>
              <w:t xml:space="preserve">trong </w:t>
            </w:r>
            <w:r w:rsidR="005B05F0">
              <w:rPr>
                <w:rFonts w:ascii="Times New Roman" w:eastAsia="Times New Roman" w:hAnsi="Times New Roman" w:cs="Times New Roman"/>
                <w:color w:val="000000"/>
                <w:sz w:val="28"/>
                <w:szCs w:val="28"/>
              </w:rPr>
              <w:t>05 tháng</w:t>
            </w:r>
            <w:r w:rsidR="00147C2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kể</w:t>
            </w:r>
            <w:r w:rsidR="00D860DD">
              <w:rPr>
                <w:rFonts w:ascii="Times New Roman" w:eastAsia="Times New Roman" w:hAnsi="Times New Roman" w:cs="Times New Roman"/>
                <w:color w:val="000000"/>
                <w:sz w:val="28"/>
                <w:szCs w:val="28"/>
              </w:rPr>
              <w:t xml:space="preserve"> từ ngày giao nhận hàng và bảo </w:t>
            </w:r>
            <w:r>
              <w:rPr>
                <w:rFonts w:ascii="Times New Roman" w:eastAsia="Times New Roman" w:hAnsi="Times New Roman" w:cs="Times New Roman"/>
                <w:color w:val="000000"/>
                <w:sz w:val="28"/>
                <w:szCs w:val="28"/>
              </w:rPr>
              <w:t xml:space="preserve">hành </w:t>
            </w:r>
            <w:r w:rsidR="00D860DD">
              <w:rPr>
                <w:rFonts w:ascii="Times New Roman" w:eastAsia="Times New Roman" w:hAnsi="Times New Roman" w:cs="Times New Roman"/>
                <w:color w:val="000000"/>
                <w:sz w:val="28"/>
                <w:szCs w:val="28"/>
              </w:rPr>
              <w:t>độ</w:t>
            </w:r>
            <w:r w:rsidR="00147C2D">
              <w:rPr>
                <w:rFonts w:ascii="Times New Roman" w:eastAsia="Times New Roman" w:hAnsi="Times New Roman" w:cs="Times New Roman"/>
                <w:color w:val="000000"/>
                <w:sz w:val="28"/>
                <w:szCs w:val="28"/>
              </w:rPr>
              <w:t xml:space="preserve"> thuần đến cuối vụ sản  xuất.</w:t>
            </w:r>
          </w:p>
          <w:p w:rsidR="00F070EE" w:rsidRDefault="007325EF" w:rsidP="00192E3E">
            <w:pPr>
              <w:pStyle w:val="normal0"/>
              <w:widowControl w:val="0"/>
              <w:pBdr>
                <w:top w:val="nil"/>
                <w:left w:val="nil"/>
                <w:bottom w:val="nil"/>
                <w:right w:val="nil"/>
                <w:between w:val="nil"/>
              </w:pBdr>
              <w:spacing w:before="127" w:line="229" w:lineRule="auto"/>
              <w:ind w:left="112" w:right="37" w:firstLine="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Cam kết đền bù 100% thiệt hại  nếu do giống</w:t>
            </w:r>
            <w:r w:rsidR="00D860DD">
              <w:rPr>
                <w:rFonts w:ascii="Times New Roman" w:eastAsia="Times New Roman" w:hAnsi="Times New Roman" w:cs="Times New Roman"/>
                <w:color w:val="000000"/>
                <w:sz w:val="28"/>
                <w:szCs w:val="28"/>
              </w:rPr>
              <w:t>, phân bón</w:t>
            </w:r>
            <w:r w:rsidR="005B05F0">
              <w:rPr>
                <w:rFonts w:ascii="Times New Roman" w:eastAsia="Times New Roman" w:hAnsi="Times New Roman" w:cs="Times New Roman"/>
                <w:color w:val="000000"/>
                <w:sz w:val="28"/>
                <w:szCs w:val="28"/>
              </w:rPr>
              <w:t>, thuốc bảo vệ</w:t>
            </w:r>
            <w:r>
              <w:rPr>
                <w:rFonts w:ascii="Times New Roman" w:eastAsia="Times New Roman" w:hAnsi="Times New Roman" w:cs="Times New Roman"/>
                <w:color w:val="000000"/>
                <w:sz w:val="28"/>
                <w:szCs w:val="28"/>
              </w:rPr>
              <w:t xml:space="preserve"> gây ra và phải nhận  lại lô </w:t>
            </w:r>
            <w:r w:rsidR="00D860DD">
              <w:rPr>
                <w:rFonts w:ascii="Times New Roman" w:eastAsia="Times New Roman" w:hAnsi="Times New Roman" w:cs="Times New Roman"/>
                <w:color w:val="000000"/>
                <w:sz w:val="28"/>
                <w:szCs w:val="28"/>
              </w:rPr>
              <w:t xml:space="preserve">hàng hóa </w:t>
            </w:r>
            <w:r>
              <w:rPr>
                <w:rFonts w:ascii="Times New Roman" w:eastAsia="Times New Roman" w:hAnsi="Times New Roman" w:cs="Times New Roman"/>
                <w:color w:val="000000"/>
                <w:sz w:val="28"/>
                <w:szCs w:val="28"/>
              </w:rPr>
              <w:t xml:space="preserve"> kém chất lượng khi bên A không tiếp nhận và chịu  mọi phí tổn cho việc nhận lại lô  giống. </w:t>
            </w:r>
          </w:p>
        </w:tc>
        <w:tc>
          <w:tcPr>
            <w:tcW w:w="1346" w:type="dxa"/>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Đạt</w:t>
            </w:r>
          </w:p>
        </w:tc>
      </w:tr>
      <w:tr w:rsidR="00F070EE" w:rsidTr="007325EF">
        <w:trPr>
          <w:cantSplit/>
          <w:trHeight w:val="779"/>
          <w:tblHeader/>
        </w:trPr>
        <w:tc>
          <w:tcPr>
            <w:tcW w:w="3970" w:type="dxa"/>
            <w:shd w:val="clear" w:color="auto" w:fill="auto"/>
            <w:tcMar>
              <w:top w:w="100" w:type="dxa"/>
              <w:left w:w="100" w:type="dxa"/>
              <w:bottom w:w="100" w:type="dxa"/>
              <w:right w:w="100" w:type="dxa"/>
            </w:tcMar>
          </w:tcPr>
          <w:p w:rsidR="00F070EE" w:rsidRDefault="00F070EE">
            <w:pPr>
              <w:pStyle w:val="normal0"/>
              <w:widowControl w:val="0"/>
              <w:pBdr>
                <w:top w:val="nil"/>
                <w:left w:val="nil"/>
                <w:bottom w:val="nil"/>
                <w:right w:val="nil"/>
                <w:between w:val="nil"/>
              </w:pBdr>
              <w:rPr>
                <w:rFonts w:ascii="Times New Roman" w:eastAsia="Times New Roman" w:hAnsi="Times New Roman" w:cs="Times New Roman"/>
                <w:b/>
                <w:color w:val="000000"/>
                <w:sz w:val="25"/>
                <w:szCs w:val="25"/>
              </w:rPr>
            </w:pPr>
          </w:p>
        </w:tc>
        <w:tc>
          <w:tcPr>
            <w:tcW w:w="4035" w:type="dxa"/>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51" w:lineRule="auto"/>
              <w:ind w:left="115" w:right="36" w:firstLine="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Không đáp ứng 01 trong các điều  kiện trên</w:t>
            </w:r>
          </w:p>
        </w:tc>
        <w:tc>
          <w:tcPr>
            <w:tcW w:w="1346" w:type="dxa"/>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Không  </w:t>
            </w:r>
          </w:p>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đạt</w:t>
            </w:r>
          </w:p>
        </w:tc>
      </w:tr>
      <w:tr w:rsidR="00F070EE">
        <w:trPr>
          <w:cantSplit/>
          <w:trHeight w:val="453"/>
          <w:tblHeader/>
        </w:trPr>
        <w:tc>
          <w:tcPr>
            <w:tcW w:w="9351" w:type="dxa"/>
            <w:gridSpan w:val="3"/>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ind w:left="118"/>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8"/>
                <w:szCs w:val="28"/>
              </w:rPr>
              <w:t xml:space="preserve">5. </w:t>
            </w:r>
            <w:r>
              <w:rPr>
                <w:rFonts w:ascii="Times New Roman" w:eastAsia="Times New Roman" w:hAnsi="Times New Roman" w:cs="Times New Roman"/>
                <w:b/>
                <w:color w:val="000000"/>
                <w:sz w:val="25"/>
                <w:szCs w:val="25"/>
              </w:rPr>
              <w:t>Uy tín của nhà thầu về kết quả thực hiện hợp đồng</w:t>
            </w:r>
          </w:p>
        </w:tc>
      </w:tr>
      <w:tr w:rsidR="00F070EE">
        <w:trPr>
          <w:cantSplit/>
          <w:trHeight w:val="2472"/>
          <w:tblHeader/>
        </w:trPr>
        <w:tc>
          <w:tcPr>
            <w:tcW w:w="3970" w:type="dxa"/>
            <w:shd w:val="clear" w:color="auto" w:fill="auto"/>
            <w:tcMar>
              <w:top w:w="100" w:type="dxa"/>
              <w:left w:w="100" w:type="dxa"/>
              <w:bottom w:w="100" w:type="dxa"/>
              <w:right w:w="100" w:type="dxa"/>
            </w:tcMar>
          </w:tcPr>
          <w:p w:rsidR="00F070EE" w:rsidRPr="007325EF" w:rsidRDefault="007325EF">
            <w:pPr>
              <w:pStyle w:val="normal0"/>
              <w:widowControl w:val="0"/>
              <w:pBdr>
                <w:top w:val="nil"/>
                <w:left w:val="nil"/>
                <w:bottom w:val="nil"/>
                <w:right w:val="nil"/>
                <w:between w:val="nil"/>
              </w:pBdr>
              <w:spacing w:line="253" w:lineRule="auto"/>
              <w:ind w:left="117" w:right="38" w:firstLine="2"/>
              <w:jc w:val="both"/>
              <w:rPr>
                <w:rFonts w:ascii="Times New Roman" w:eastAsia="Times New Roman" w:hAnsi="Times New Roman" w:cs="Times New Roman"/>
                <w:color w:val="000000"/>
                <w:sz w:val="28"/>
                <w:szCs w:val="28"/>
              </w:rPr>
            </w:pPr>
            <w:r w:rsidRPr="007325EF">
              <w:rPr>
                <w:rFonts w:ascii="Times New Roman" w:eastAsia="Times New Roman" w:hAnsi="Times New Roman" w:cs="Times New Roman"/>
                <w:color w:val="000000"/>
                <w:sz w:val="28"/>
                <w:szCs w:val="28"/>
              </w:rPr>
              <w:lastRenderedPageBreak/>
              <w:t xml:space="preserve">Thông tin về kết quả thực hiện hợp  đồng gói thầu xây lắp, EPC, EC, PC  của nhà thầu theo quy định tại Điều  17 và Điều 18 của Nghị định số  24/2024/NĐ-CP;  </w:t>
            </w:r>
          </w:p>
          <w:p w:rsidR="00F070EE" w:rsidRPr="007325EF" w:rsidRDefault="007325EF">
            <w:pPr>
              <w:pStyle w:val="normal0"/>
              <w:widowControl w:val="0"/>
              <w:pBdr>
                <w:top w:val="nil"/>
                <w:left w:val="nil"/>
                <w:bottom w:val="nil"/>
                <w:right w:val="nil"/>
                <w:between w:val="nil"/>
              </w:pBdr>
              <w:spacing w:before="71" w:line="229" w:lineRule="auto"/>
              <w:ind w:left="123" w:right="40" w:firstLine="6"/>
              <w:rPr>
                <w:rFonts w:ascii="Times New Roman" w:eastAsia="Times New Roman" w:hAnsi="Times New Roman" w:cs="Times New Roman"/>
                <w:color w:val="000000"/>
                <w:sz w:val="28"/>
                <w:szCs w:val="28"/>
              </w:rPr>
            </w:pPr>
            <w:r w:rsidRPr="007325EF">
              <w:rPr>
                <w:rFonts w:ascii="Times New Roman" w:eastAsia="Times New Roman" w:hAnsi="Times New Roman" w:cs="Times New Roman"/>
                <w:color w:val="000000"/>
                <w:sz w:val="28"/>
                <w:szCs w:val="28"/>
              </w:rPr>
              <w:t xml:space="preserve">(Tiêu chí này được đánh giá dựa  trên thông tin công bố “danh sách tổ </w:t>
            </w:r>
          </w:p>
        </w:tc>
        <w:tc>
          <w:tcPr>
            <w:tcW w:w="4035" w:type="dxa"/>
            <w:shd w:val="clear" w:color="auto" w:fill="auto"/>
            <w:tcMar>
              <w:top w:w="100" w:type="dxa"/>
              <w:left w:w="100" w:type="dxa"/>
              <w:bottom w:w="100" w:type="dxa"/>
              <w:right w:w="100" w:type="dxa"/>
            </w:tcMar>
          </w:tcPr>
          <w:p w:rsidR="00F070EE" w:rsidRPr="007325EF" w:rsidRDefault="007325EF">
            <w:pPr>
              <w:pStyle w:val="normal0"/>
              <w:widowControl w:val="0"/>
              <w:pBdr>
                <w:top w:val="nil"/>
                <w:left w:val="nil"/>
                <w:bottom w:val="nil"/>
                <w:right w:val="nil"/>
                <w:between w:val="nil"/>
              </w:pBdr>
              <w:spacing w:line="253" w:lineRule="auto"/>
              <w:ind w:left="98" w:right="40" w:hanging="5"/>
              <w:rPr>
                <w:rFonts w:ascii="Times New Roman" w:eastAsia="Times New Roman" w:hAnsi="Times New Roman" w:cs="Times New Roman"/>
                <w:color w:val="000000"/>
                <w:sz w:val="28"/>
                <w:szCs w:val="28"/>
              </w:rPr>
            </w:pPr>
            <w:r w:rsidRPr="007325EF">
              <w:rPr>
                <w:rFonts w:ascii="Times New Roman" w:eastAsia="Times New Roman" w:hAnsi="Times New Roman" w:cs="Times New Roman"/>
                <w:color w:val="000000"/>
                <w:sz w:val="28"/>
                <w:szCs w:val="28"/>
              </w:rPr>
              <w:t xml:space="preserve">Nhà thầu đáp ứng một trong các điều  kiện sau đây: </w:t>
            </w:r>
          </w:p>
          <w:p w:rsidR="00764375" w:rsidRDefault="007325EF">
            <w:pPr>
              <w:pStyle w:val="normal0"/>
              <w:widowControl w:val="0"/>
              <w:pBdr>
                <w:top w:val="nil"/>
                <w:left w:val="nil"/>
                <w:bottom w:val="nil"/>
                <w:right w:val="nil"/>
                <w:between w:val="nil"/>
              </w:pBdr>
              <w:spacing w:before="90" w:line="259" w:lineRule="auto"/>
              <w:ind w:left="92" w:right="40" w:firstLine="13"/>
              <w:rPr>
                <w:rFonts w:ascii="Times New Roman" w:eastAsia="Times New Roman" w:hAnsi="Times New Roman" w:cs="Times New Roman"/>
                <w:color w:val="000000"/>
                <w:sz w:val="28"/>
                <w:szCs w:val="28"/>
              </w:rPr>
            </w:pPr>
            <w:r w:rsidRPr="007325EF">
              <w:rPr>
                <w:rFonts w:ascii="Times New Roman" w:eastAsia="Times New Roman" w:hAnsi="Times New Roman" w:cs="Times New Roman"/>
                <w:color w:val="000000"/>
                <w:sz w:val="28"/>
                <w:szCs w:val="28"/>
              </w:rPr>
              <w:t xml:space="preserve">- Nhà thầu không có hành vi vi phạm  quy định tại khoản 1 Điều 18 của  Nghị định số 24/2024/NĐ-CP. </w:t>
            </w:r>
          </w:p>
          <w:p w:rsidR="00F070EE" w:rsidRPr="007325EF" w:rsidRDefault="007325EF">
            <w:pPr>
              <w:pStyle w:val="normal0"/>
              <w:widowControl w:val="0"/>
              <w:pBdr>
                <w:top w:val="nil"/>
                <w:left w:val="nil"/>
                <w:bottom w:val="nil"/>
                <w:right w:val="nil"/>
                <w:between w:val="nil"/>
              </w:pBdr>
              <w:spacing w:before="90" w:line="259" w:lineRule="auto"/>
              <w:ind w:left="92" w:right="40" w:firstLine="13"/>
              <w:rPr>
                <w:rFonts w:ascii="Times New Roman" w:eastAsia="Times New Roman" w:hAnsi="Times New Roman" w:cs="Times New Roman"/>
                <w:color w:val="000000"/>
                <w:sz w:val="28"/>
                <w:szCs w:val="28"/>
              </w:rPr>
            </w:pPr>
            <w:r w:rsidRPr="007325EF">
              <w:rPr>
                <w:rFonts w:ascii="Times New Roman" w:eastAsia="Times New Roman" w:hAnsi="Times New Roman" w:cs="Times New Roman"/>
                <w:color w:val="000000"/>
                <w:sz w:val="28"/>
                <w:szCs w:val="28"/>
              </w:rPr>
              <w:t xml:space="preserve">- Trong trường hợp nhà thầu vi phạm  nội dung trên và bị đăng tải lên trên </w:t>
            </w:r>
          </w:p>
        </w:tc>
        <w:tc>
          <w:tcPr>
            <w:tcW w:w="1346" w:type="dxa"/>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Đạt</w:t>
            </w:r>
          </w:p>
        </w:tc>
      </w:tr>
    </w:tbl>
    <w:p w:rsidR="00F070EE" w:rsidRDefault="00F070EE">
      <w:pPr>
        <w:pStyle w:val="normal0"/>
        <w:widowControl w:val="0"/>
        <w:pBdr>
          <w:top w:val="nil"/>
          <w:left w:val="nil"/>
          <w:bottom w:val="nil"/>
          <w:right w:val="nil"/>
          <w:between w:val="nil"/>
        </w:pBdr>
        <w:rPr>
          <w:color w:val="000000"/>
        </w:rPr>
      </w:pPr>
    </w:p>
    <w:p w:rsidR="00F070EE" w:rsidRDefault="00F070EE">
      <w:pPr>
        <w:pStyle w:val="normal0"/>
        <w:widowControl w:val="0"/>
        <w:pBdr>
          <w:top w:val="nil"/>
          <w:left w:val="nil"/>
          <w:bottom w:val="nil"/>
          <w:right w:val="nil"/>
          <w:between w:val="nil"/>
        </w:pBdr>
        <w:rPr>
          <w:color w:val="000000"/>
        </w:rPr>
      </w:pPr>
    </w:p>
    <w:tbl>
      <w:tblPr>
        <w:tblStyle w:val="a1"/>
        <w:tblW w:w="935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970"/>
        <w:gridCol w:w="4035"/>
        <w:gridCol w:w="1346"/>
      </w:tblGrid>
      <w:tr w:rsidR="00F070EE">
        <w:trPr>
          <w:cantSplit/>
          <w:trHeight w:val="1325"/>
          <w:tblHeader/>
        </w:trPr>
        <w:tc>
          <w:tcPr>
            <w:tcW w:w="8005" w:type="dxa"/>
            <w:gridSpan w:val="2"/>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Nội dung đánh giá</w:t>
            </w:r>
          </w:p>
        </w:tc>
        <w:tc>
          <w:tcPr>
            <w:tcW w:w="1346" w:type="dxa"/>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ind w:right="141"/>
              <w:jc w:val="right"/>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Sử dụng  </w:t>
            </w:r>
          </w:p>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tiêu chí  </w:t>
            </w:r>
          </w:p>
          <w:p w:rsidR="00F070EE" w:rsidRDefault="007325EF">
            <w:pPr>
              <w:pStyle w:val="normal0"/>
              <w:widowControl w:val="0"/>
              <w:pBdr>
                <w:top w:val="nil"/>
                <w:left w:val="nil"/>
                <w:bottom w:val="nil"/>
                <w:right w:val="nil"/>
                <w:between w:val="nil"/>
              </w:pBdr>
              <w:spacing w:line="240" w:lineRule="auto"/>
              <w:ind w:right="391"/>
              <w:jc w:val="right"/>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đạt,  </w:t>
            </w:r>
          </w:p>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không đạt</w:t>
            </w:r>
          </w:p>
        </w:tc>
      </w:tr>
      <w:tr w:rsidR="00F070EE">
        <w:trPr>
          <w:cantSplit/>
          <w:trHeight w:val="1267"/>
          <w:tblHeader/>
        </w:trPr>
        <w:tc>
          <w:tcPr>
            <w:tcW w:w="3970" w:type="dxa"/>
            <w:vMerge w:val="restart"/>
            <w:shd w:val="clear" w:color="auto" w:fill="auto"/>
            <w:tcMar>
              <w:top w:w="100" w:type="dxa"/>
              <w:left w:w="100" w:type="dxa"/>
              <w:bottom w:w="100" w:type="dxa"/>
              <w:right w:w="100" w:type="dxa"/>
            </w:tcMar>
          </w:tcPr>
          <w:p w:rsidR="00F070EE" w:rsidRPr="007325EF" w:rsidRDefault="007325EF" w:rsidP="007325EF">
            <w:pPr>
              <w:pStyle w:val="normal0"/>
              <w:widowControl w:val="0"/>
              <w:pBdr>
                <w:top w:val="nil"/>
                <w:left w:val="nil"/>
                <w:bottom w:val="nil"/>
                <w:right w:val="nil"/>
                <w:between w:val="nil"/>
              </w:pBdr>
              <w:spacing w:line="253" w:lineRule="auto"/>
              <w:ind w:left="117" w:right="38" w:firstLine="2"/>
              <w:jc w:val="both"/>
              <w:rPr>
                <w:rFonts w:ascii="Times New Roman" w:eastAsia="Times New Roman" w:hAnsi="Times New Roman" w:cs="Times New Roman"/>
                <w:color w:val="000000"/>
                <w:sz w:val="28"/>
                <w:szCs w:val="28"/>
              </w:rPr>
            </w:pPr>
            <w:r w:rsidRPr="007325EF">
              <w:rPr>
                <w:rFonts w:ascii="Times New Roman" w:eastAsia="Times New Roman" w:hAnsi="Times New Roman" w:cs="Times New Roman"/>
                <w:color w:val="000000"/>
                <w:sz w:val="28"/>
                <w:szCs w:val="28"/>
              </w:rPr>
              <w:t>chức, cá nhân vi phạm” tại hệ thống  mạng đấu thầu quốc gia  (http://muasamcong.mpi.gov.vn/)  hoặc các văn bản xử lý vi phạm do  Chủ đầu tư của nhà thầu, cơ quan  có thẩm quyền công bố).</w:t>
            </w:r>
          </w:p>
        </w:tc>
        <w:tc>
          <w:tcPr>
            <w:tcW w:w="4035" w:type="dxa"/>
            <w:shd w:val="clear" w:color="auto" w:fill="auto"/>
            <w:tcMar>
              <w:top w:w="100" w:type="dxa"/>
              <w:left w:w="100" w:type="dxa"/>
              <w:bottom w:w="100" w:type="dxa"/>
              <w:right w:w="100" w:type="dxa"/>
            </w:tcMar>
          </w:tcPr>
          <w:p w:rsidR="00F070EE" w:rsidRPr="007325EF" w:rsidRDefault="007325EF" w:rsidP="007325EF">
            <w:pPr>
              <w:pStyle w:val="normal0"/>
              <w:widowControl w:val="0"/>
              <w:pBdr>
                <w:top w:val="nil"/>
                <w:left w:val="nil"/>
                <w:bottom w:val="nil"/>
                <w:right w:val="nil"/>
                <w:between w:val="nil"/>
              </w:pBdr>
              <w:spacing w:line="253" w:lineRule="auto"/>
              <w:ind w:left="114" w:right="38" w:firstLine="2"/>
              <w:jc w:val="both"/>
              <w:rPr>
                <w:rFonts w:ascii="Times New Roman" w:eastAsia="Times New Roman" w:hAnsi="Times New Roman" w:cs="Times New Roman"/>
                <w:color w:val="000000"/>
                <w:sz w:val="28"/>
                <w:szCs w:val="28"/>
              </w:rPr>
            </w:pPr>
            <w:r w:rsidRPr="007325EF">
              <w:rPr>
                <w:rFonts w:ascii="Times New Roman" w:eastAsia="Times New Roman" w:hAnsi="Times New Roman" w:cs="Times New Roman"/>
                <w:color w:val="000000"/>
                <w:sz w:val="28"/>
                <w:szCs w:val="28"/>
              </w:rPr>
              <w:t>Hệ thống mạng đấu thầu quốc gia, thì  nhà thầu phải thực hiện theo quy định  tại khoản 2 Điều 18 của Nghị định số  24/2024/NĐ-CP)</w:t>
            </w:r>
          </w:p>
        </w:tc>
        <w:tc>
          <w:tcPr>
            <w:tcW w:w="1346" w:type="dxa"/>
            <w:shd w:val="clear" w:color="auto" w:fill="auto"/>
            <w:tcMar>
              <w:top w:w="100" w:type="dxa"/>
              <w:left w:w="100" w:type="dxa"/>
              <w:bottom w:w="100" w:type="dxa"/>
              <w:right w:w="100" w:type="dxa"/>
            </w:tcMar>
          </w:tcPr>
          <w:p w:rsidR="00F070EE" w:rsidRDefault="00F070EE">
            <w:pPr>
              <w:pStyle w:val="normal0"/>
              <w:widowControl w:val="0"/>
              <w:pBdr>
                <w:top w:val="nil"/>
                <w:left w:val="nil"/>
                <w:bottom w:val="nil"/>
                <w:right w:val="nil"/>
                <w:between w:val="nil"/>
              </w:pBdr>
              <w:rPr>
                <w:rFonts w:ascii="Times New Roman" w:eastAsia="Times New Roman" w:hAnsi="Times New Roman" w:cs="Times New Roman"/>
                <w:color w:val="000000"/>
                <w:sz w:val="25"/>
                <w:szCs w:val="25"/>
              </w:rPr>
            </w:pPr>
          </w:p>
        </w:tc>
      </w:tr>
      <w:tr w:rsidR="00F070EE" w:rsidTr="00862CEF">
        <w:trPr>
          <w:cantSplit/>
          <w:trHeight w:val="4506"/>
          <w:tblHeader/>
        </w:trPr>
        <w:tc>
          <w:tcPr>
            <w:tcW w:w="3970" w:type="dxa"/>
            <w:vMerge/>
            <w:shd w:val="clear" w:color="auto" w:fill="auto"/>
            <w:tcMar>
              <w:top w:w="100" w:type="dxa"/>
              <w:left w:w="100" w:type="dxa"/>
              <w:bottom w:w="100" w:type="dxa"/>
              <w:right w:w="100" w:type="dxa"/>
            </w:tcMar>
          </w:tcPr>
          <w:p w:rsidR="00F070EE" w:rsidRPr="007325EF" w:rsidRDefault="00F070EE" w:rsidP="007325EF">
            <w:pPr>
              <w:pStyle w:val="normal0"/>
              <w:widowControl w:val="0"/>
              <w:pBdr>
                <w:top w:val="nil"/>
                <w:left w:val="nil"/>
                <w:bottom w:val="nil"/>
                <w:right w:val="nil"/>
                <w:between w:val="nil"/>
              </w:pBdr>
              <w:spacing w:line="253" w:lineRule="auto"/>
              <w:ind w:left="117" w:right="38" w:firstLine="2"/>
              <w:jc w:val="both"/>
              <w:rPr>
                <w:rFonts w:ascii="Times New Roman" w:eastAsia="Times New Roman" w:hAnsi="Times New Roman" w:cs="Times New Roman"/>
                <w:color w:val="000000"/>
                <w:sz w:val="28"/>
                <w:szCs w:val="28"/>
              </w:rPr>
            </w:pPr>
          </w:p>
        </w:tc>
        <w:tc>
          <w:tcPr>
            <w:tcW w:w="4035" w:type="dxa"/>
            <w:shd w:val="clear" w:color="auto" w:fill="auto"/>
            <w:tcMar>
              <w:top w:w="100" w:type="dxa"/>
              <w:left w:w="100" w:type="dxa"/>
              <w:bottom w:w="100" w:type="dxa"/>
              <w:right w:w="100" w:type="dxa"/>
            </w:tcMar>
          </w:tcPr>
          <w:p w:rsidR="00F070EE" w:rsidRPr="007325EF" w:rsidRDefault="007325EF" w:rsidP="007325EF">
            <w:pPr>
              <w:pStyle w:val="normal0"/>
              <w:widowControl w:val="0"/>
              <w:pBdr>
                <w:top w:val="nil"/>
                <w:left w:val="nil"/>
                <w:bottom w:val="nil"/>
                <w:right w:val="nil"/>
                <w:between w:val="nil"/>
              </w:pBdr>
              <w:spacing w:line="253" w:lineRule="auto"/>
              <w:ind w:left="117" w:right="38" w:firstLine="2"/>
              <w:jc w:val="both"/>
              <w:rPr>
                <w:rFonts w:ascii="Times New Roman" w:eastAsia="Times New Roman" w:hAnsi="Times New Roman" w:cs="Times New Roman"/>
                <w:color w:val="000000"/>
                <w:sz w:val="28"/>
                <w:szCs w:val="28"/>
              </w:rPr>
            </w:pPr>
            <w:r w:rsidRPr="007325EF">
              <w:rPr>
                <w:rFonts w:ascii="Times New Roman" w:eastAsia="Times New Roman" w:hAnsi="Times New Roman" w:cs="Times New Roman"/>
                <w:color w:val="000000"/>
                <w:sz w:val="28"/>
                <w:szCs w:val="28"/>
              </w:rPr>
              <w:t xml:space="preserve">Nhà thầu vi phạm một trong các điều  kiện sau đây: </w:t>
            </w:r>
          </w:p>
          <w:p w:rsidR="00F070EE" w:rsidRPr="007325EF" w:rsidRDefault="007325EF" w:rsidP="007325EF">
            <w:pPr>
              <w:pStyle w:val="normal0"/>
              <w:widowControl w:val="0"/>
              <w:pBdr>
                <w:top w:val="nil"/>
                <w:left w:val="nil"/>
                <w:bottom w:val="nil"/>
                <w:right w:val="nil"/>
                <w:between w:val="nil"/>
              </w:pBdr>
              <w:spacing w:before="9" w:line="253" w:lineRule="auto"/>
              <w:ind w:left="117" w:right="38" w:firstLine="2"/>
              <w:jc w:val="both"/>
              <w:rPr>
                <w:rFonts w:ascii="Times New Roman" w:eastAsia="Times New Roman" w:hAnsi="Times New Roman" w:cs="Times New Roman"/>
                <w:color w:val="000000"/>
                <w:sz w:val="28"/>
                <w:szCs w:val="28"/>
              </w:rPr>
            </w:pPr>
            <w:r w:rsidRPr="007325EF">
              <w:rPr>
                <w:rFonts w:ascii="Times New Roman" w:eastAsia="Times New Roman" w:hAnsi="Times New Roman" w:cs="Times New Roman"/>
                <w:color w:val="000000"/>
                <w:sz w:val="28"/>
                <w:szCs w:val="28"/>
              </w:rPr>
              <w:t xml:space="preserve">- Nhà thầu không bị công bố trong  danh sách tổ chức, cá nhân vi phạm”  tại hệ thống mạng đấu thầu quốc gia  nhưng  bên mời thầu có bằng chứng cho thấy  nhà thầu có hành vi </w:t>
            </w:r>
            <w:r w:rsidR="00CB03BA" w:rsidRPr="007325EF">
              <w:rPr>
                <w:rFonts w:ascii="Times New Roman" w:eastAsia="Times New Roman" w:hAnsi="Times New Roman" w:cs="Times New Roman"/>
                <w:color w:val="000000"/>
                <w:sz w:val="28"/>
                <w:szCs w:val="28"/>
              </w:rPr>
              <w:t>phạm.</w:t>
            </w:r>
          </w:p>
          <w:p w:rsidR="00F070EE" w:rsidRPr="007325EF" w:rsidRDefault="007325EF" w:rsidP="007325EF">
            <w:pPr>
              <w:pStyle w:val="normal0"/>
              <w:widowControl w:val="0"/>
              <w:pBdr>
                <w:top w:val="nil"/>
                <w:left w:val="nil"/>
                <w:bottom w:val="nil"/>
                <w:right w:val="nil"/>
                <w:between w:val="nil"/>
              </w:pBdr>
              <w:spacing w:before="67" w:line="253" w:lineRule="auto"/>
              <w:ind w:left="117" w:right="38" w:firstLine="2"/>
              <w:jc w:val="both"/>
              <w:rPr>
                <w:rFonts w:ascii="Times New Roman" w:eastAsia="Times New Roman" w:hAnsi="Times New Roman" w:cs="Times New Roman"/>
                <w:color w:val="000000"/>
                <w:sz w:val="28"/>
                <w:szCs w:val="28"/>
              </w:rPr>
            </w:pPr>
            <w:r w:rsidRPr="007325EF">
              <w:rPr>
                <w:rFonts w:ascii="Times New Roman" w:eastAsia="Times New Roman" w:hAnsi="Times New Roman" w:cs="Times New Roman"/>
                <w:color w:val="000000"/>
                <w:sz w:val="28"/>
                <w:szCs w:val="28"/>
              </w:rPr>
              <w:t>- Nhà thầu xác định có hành vi vi  phạm quy định nhưng không thực hiện nộp bảo đảm  dự thầu theo quy định tại mục 18.2  CDNT</w:t>
            </w:r>
          </w:p>
        </w:tc>
        <w:tc>
          <w:tcPr>
            <w:tcW w:w="1346" w:type="dxa"/>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Không đạt</w:t>
            </w:r>
          </w:p>
        </w:tc>
      </w:tr>
      <w:tr w:rsidR="00F070EE">
        <w:trPr>
          <w:cantSplit/>
          <w:trHeight w:val="571"/>
          <w:tblHeader/>
        </w:trPr>
        <w:tc>
          <w:tcPr>
            <w:tcW w:w="8005" w:type="dxa"/>
            <w:gridSpan w:val="2"/>
            <w:shd w:val="clear" w:color="auto" w:fill="auto"/>
            <w:tcMar>
              <w:top w:w="100" w:type="dxa"/>
              <w:left w:w="100" w:type="dxa"/>
              <w:bottom w:w="100" w:type="dxa"/>
              <w:right w:w="100" w:type="dxa"/>
            </w:tcMar>
          </w:tcPr>
          <w:p w:rsidR="00F070EE" w:rsidRDefault="007325EF">
            <w:pPr>
              <w:pStyle w:val="normal0"/>
              <w:widowControl w:val="0"/>
              <w:pBdr>
                <w:top w:val="nil"/>
                <w:left w:val="nil"/>
                <w:bottom w:val="nil"/>
                <w:right w:val="nil"/>
                <w:between w:val="nil"/>
              </w:pBdr>
              <w:spacing w:line="240" w:lineRule="auto"/>
              <w:ind w:left="118"/>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Kết luận</w:t>
            </w:r>
          </w:p>
        </w:tc>
        <w:tc>
          <w:tcPr>
            <w:tcW w:w="1346" w:type="dxa"/>
            <w:shd w:val="clear" w:color="auto" w:fill="auto"/>
            <w:tcMar>
              <w:top w:w="100" w:type="dxa"/>
              <w:left w:w="100" w:type="dxa"/>
              <w:bottom w:w="100" w:type="dxa"/>
              <w:right w:w="100" w:type="dxa"/>
            </w:tcMar>
          </w:tcPr>
          <w:p w:rsidR="00F070EE" w:rsidRDefault="00F070EE">
            <w:pPr>
              <w:pStyle w:val="normal0"/>
              <w:widowControl w:val="0"/>
              <w:pBdr>
                <w:top w:val="nil"/>
                <w:left w:val="nil"/>
                <w:bottom w:val="nil"/>
                <w:right w:val="nil"/>
                <w:between w:val="nil"/>
              </w:pBdr>
              <w:rPr>
                <w:rFonts w:ascii="Times New Roman" w:eastAsia="Times New Roman" w:hAnsi="Times New Roman" w:cs="Times New Roman"/>
                <w:b/>
                <w:color w:val="000000"/>
                <w:sz w:val="25"/>
                <w:szCs w:val="25"/>
              </w:rPr>
            </w:pPr>
          </w:p>
        </w:tc>
      </w:tr>
    </w:tbl>
    <w:p w:rsidR="00F070EE" w:rsidRDefault="00F070EE">
      <w:pPr>
        <w:pStyle w:val="normal0"/>
        <w:widowControl w:val="0"/>
        <w:pBdr>
          <w:top w:val="nil"/>
          <w:left w:val="nil"/>
          <w:bottom w:val="nil"/>
          <w:right w:val="nil"/>
          <w:between w:val="nil"/>
        </w:pBdr>
        <w:rPr>
          <w:color w:val="000000"/>
        </w:rPr>
      </w:pPr>
    </w:p>
    <w:p w:rsidR="00F070EE" w:rsidRDefault="00F070EE">
      <w:pPr>
        <w:pStyle w:val="normal0"/>
        <w:widowControl w:val="0"/>
        <w:pBdr>
          <w:top w:val="nil"/>
          <w:left w:val="nil"/>
          <w:bottom w:val="nil"/>
          <w:right w:val="nil"/>
          <w:between w:val="nil"/>
        </w:pBdr>
        <w:rPr>
          <w:color w:val="000000"/>
        </w:rPr>
      </w:pPr>
    </w:p>
    <w:sectPr w:rsidR="00F070EE" w:rsidSect="00CB03BA">
      <w:pgSz w:w="11907" w:h="16840" w:code="9"/>
      <w:pgMar w:top="1134" w:right="851" w:bottom="1134" w:left="1701"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embedRegular r:id="rId1" w:fontKey="{4BA2330E-E4FD-4576-B1DA-019B5B7E77D5}"/>
    <w:embedItalic r:id="rId2" w:fontKey="{FE421F53-D507-4F75-99D4-BD31B3950E07}"/>
  </w:font>
  <w:font w:name="CIDFont+F1">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embedRegular r:id="rId3" w:fontKey="{7B52A606-61AA-4FBE-BD9F-235A8EF0BB15}"/>
  </w:font>
  <w:font w:name="Cambria">
    <w:panose1 w:val="02040503050406030204"/>
    <w:charset w:val="00"/>
    <w:family w:val="roman"/>
    <w:pitch w:val="variable"/>
    <w:sig w:usb0="A00002EF" w:usb1="4000004B" w:usb2="00000000" w:usb3="00000000" w:csb0="0000009F" w:csb1="00000000"/>
    <w:embedRegular r:id="rId4" w:fontKey="{81395560-8CBC-4395-B5B2-9035A72E7168}"/>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characterSpacingControl w:val="doNotCompress"/>
  <w:compat/>
  <w:rsids>
    <w:rsidRoot w:val="00F070EE"/>
    <w:rsid w:val="000D72D0"/>
    <w:rsid w:val="00147C2D"/>
    <w:rsid w:val="00192E3E"/>
    <w:rsid w:val="0035347C"/>
    <w:rsid w:val="003D4FC0"/>
    <w:rsid w:val="004574B1"/>
    <w:rsid w:val="00473B28"/>
    <w:rsid w:val="00574D6C"/>
    <w:rsid w:val="005B05F0"/>
    <w:rsid w:val="006A24B2"/>
    <w:rsid w:val="006A53E3"/>
    <w:rsid w:val="007325EF"/>
    <w:rsid w:val="00764375"/>
    <w:rsid w:val="00862CEF"/>
    <w:rsid w:val="00915BCD"/>
    <w:rsid w:val="0093772D"/>
    <w:rsid w:val="0096697C"/>
    <w:rsid w:val="009B1FD6"/>
    <w:rsid w:val="00A00098"/>
    <w:rsid w:val="00C35546"/>
    <w:rsid w:val="00CB03BA"/>
    <w:rsid w:val="00D00DE8"/>
    <w:rsid w:val="00D0398F"/>
    <w:rsid w:val="00D10A97"/>
    <w:rsid w:val="00D860DD"/>
    <w:rsid w:val="00DF29D6"/>
    <w:rsid w:val="00E02341"/>
    <w:rsid w:val="00F070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D0"/>
  </w:style>
  <w:style w:type="paragraph" w:styleId="Heading1">
    <w:name w:val="heading 1"/>
    <w:basedOn w:val="normal0"/>
    <w:next w:val="normal0"/>
    <w:rsid w:val="00F070EE"/>
    <w:pPr>
      <w:keepNext/>
      <w:keepLines/>
      <w:spacing w:before="480" w:after="120"/>
      <w:outlineLvl w:val="0"/>
    </w:pPr>
    <w:rPr>
      <w:b/>
      <w:sz w:val="48"/>
      <w:szCs w:val="48"/>
    </w:rPr>
  </w:style>
  <w:style w:type="paragraph" w:styleId="Heading2">
    <w:name w:val="heading 2"/>
    <w:basedOn w:val="normal0"/>
    <w:next w:val="normal0"/>
    <w:rsid w:val="00F070EE"/>
    <w:pPr>
      <w:keepNext/>
      <w:keepLines/>
      <w:spacing w:before="360" w:after="80"/>
      <w:outlineLvl w:val="1"/>
    </w:pPr>
    <w:rPr>
      <w:b/>
      <w:sz w:val="36"/>
      <w:szCs w:val="36"/>
    </w:rPr>
  </w:style>
  <w:style w:type="paragraph" w:styleId="Heading3">
    <w:name w:val="heading 3"/>
    <w:basedOn w:val="normal0"/>
    <w:next w:val="normal0"/>
    <w:rsid w:val="00F070EE"/>
    <w:pPr>
      <w:keepNext/>
      <w:keepLines/>
      <w:spacing w:before="280" w:after="80"/>
      <w:outlineLvl w:val="2"/>
    </w:pPr>
    <w:rPr>
      <w:b/>
      <w:sz w:val="28"/>
      <w:szCs w:val="28"/>
    </w:rPr>
  </w:style>
  <w:style w:type="paragraph" w:styleId="Heading4">
    <w:name w:val="heading 4"/>
    <w:basedOn w:val="normal0"/>
    <w:next w:val="normal0"/>
    <w:rsid w:val="00F070EE"/>
    <w:pPr>
      <w:keepNext/>
      <w:keepLines/>
      <w:spacing w:before="240" w:after="40"/>
      <w:outlineLvl w:val="3"/>
    </w:pPr>
    <w:rPr>
      <w:b/>
      <w:sz w:val="24"/>
      <w:szCs w:val="24"/>
    </w:rPr>
  </w:style>
  <w:style w:type="paragraph" w:styleId="Heading5">
    <w:name w:val="heading 5"/>
    <w:basedOn w:val="normal0"/>
    <w:next w:val="normal0"/>
    <w:rsid w:val="00F070EE"/>
    <w:pPr>
      <w:keepNext/>
      <w:keepLines/>
      <w:spacing w:before="220" w:after="40"/>
      <w:outlineLvl w:val="4"/>
    </w:pPr>
    <w:rPr>
      <w:b/>
    </w:rPr>
  </w:style>
  <w:style w:type="paragraph" w:styleId="Heading6">
    <w:name w:val="heading 6"/>
    <w:basedOn w:val="normal0"/>
    <w:next w:val="normal0"/>
    <w:rsid w:val="00F070E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F070EE"/>
    <w:tblPr>
      <w:tblCellMar>
        <w:top w:w="100" w:type="dxa"/>
        <w:left w:w="100" w:type="dxa"/>
        <w:bottom w:w="100" w:type="dxa"/>
        <w:right w:w="100" w:type="dxa"/>
      </w:tblCellMar>
    </w:tblPr>
  </w:style>
  <w:style w:type="paragraph" w:customStyle="1" w:styleId="normal0">
    <w:name w:val="normal"/>
    <w:rsid w:val="00F070EE"/>
  </w:style>
  <w:style w:type="paragraph" w:styleId="Title">
    <w:name w:val="Title"/>
    <w:basedOn w:val="normal0"/>
    <w:next w:val="normal0"/>
    <w:rsid w:val="00F070EE"/>
    <w:pPr>
      <w:keepNext/>
      <w:keepLines/>
      <w:spacing w:before="480" w:after="120"/>
    </w:pPr>
    <w:rPr>
      <w:b/>
      <w:sz w:val="72"/>
      <w:szCs w:val="72"/>
    </w:rPr>
  </w:style>
  <w:style w:type="paragraph" w:styleId="Subtitle">
    <w:name w:val="Subtitle"/>
    <w:basedOn w:val="normal0"/>
    <w:next w:val="normal0"/>
    <w:rsid w:val="00F070EE"/>
    <w:pPr>
      <w:keepNext/>
      <w:keepLines/>
      <w:spacing w:before="360" w:after="80"/>
    </w:pPr>
    <w:rPr>
      <w:rFonts w:ascii="Georgia" w:eastAsia="Georgia" w:hAnsi="Georgia" w:cs="Georgia"/>
      <w:i/>
      <w:color w:val="666666"/>
      <w:sz w:val="48"/>
      <w:szCs w:val="48"/>
    </w:rPr>
  </w:style>
  <w:style w:type="table" w:customStyle="1" w:styleId="a">
    <w:basedOn w:val="TableNormal0"/>
    <w:rsid w:val="00F070EE"/>
    <w:tblPr>
      <w:tblStyleRowBandSize w:val="1"/>
      <w:tblStyleColBandSize w:val="1"/>
      <w:tblCellMar>
        <w:top w:w="100" w:type="dxa"/>
        <w:left w:w="100" w:type="dxa"/>
        <w:bottom w:w="100" w:type="dxa"/>
        <w:right w:w="100" w:type="dxa"/>
      </w:tblCellMar>
    </w:tblPr>
  </w:style>
  <w:style w:type="table" w:customStyle="1" w:styleId="a0">
    <w:basedOn w:val="TableNormal0"/>
    <w:rsid w:val="00F070EE"/>
    <w:tblPr>
      <w:tblStyleRowBandSize w:val="1"/>
      <w:tblStyleColBandSize w:val="1"/>
      <w:tblCellMar>
        <w:top w:w="100" w:type="dxa"/>
        <w:left w:w="100" w:type="dxa"/>
        <w:bottom w:w="100" w:type="dxa"/>
        <w:right w:w="100" w:type="dxa"/>
      </w:tblCellMar>
    </w:tblPr>
  </w:style>
  <w:style w:type="table" w:customStyle="1" w:styleId="a1">
    <w:basedOn w:val="TableNormal0"/>
    <w:rsid w:val="00F070EE"/>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6A24B2"/>
    <w:rPr>
      <w:rFonts w:ascii="CIDFont+F1" w:hAnsi="CIDFont+F1"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443548365">
      <w:bodyDiv w:val="1"/>
      <w:marLeft w:val="0"/>
      <w:marRight w:val="0"/>
      <w:marTop w:val="0"/>
      <w:marBottom w:val="0"/>
      <w:divBdr>
        <w:top w:val="none" w:sz="0" w:space="0" w:color="auto"/>
        <w:left w:val="none" w:sz="0" w:space="0" w:color="auto"/>
        <w:bottom w:val="none" w:sz="0" w:space="0" w:color="auto"/>
        <w:right w:val="none" w:sz="0" w:space="0" w:color="auto"/>
      </w:divBdr>
    </w:div>
    <w:div w:id="1440298237">
      <w:bodyDiv w:val="1"/>
      <w:marLeft w:val="0"/>
      <w:marRight w:val="0"/>
      <w:marTop w:val="0"/>
      <w:marBottom w:val="0"/>
      <w:divBdr>
        <w:top w:val="none" w:sz="0" w:space="0" w:color="auto"/>
        <w:left w:val="none" w:sz="0" w:space="0" w:color="auto"/>
        <w:bottom w:val="none" w:sz="0" w:space="0" w:color="auto"/>
        <w:right w:val="none" w:sz="0" w:space="0" w:color="auto"/>
      </w:divBdr>
    </w:div>
    <w:div w:id="1473013694">
      <w:bodyDiv w:val="1"/>
      <w:marLeft w:val="0"/>
      <w:marRight w:val="0"/>
      <w:marTop w:val="0"/>
      <w:marBottom w:val="0"/>
      <w:divBdr>
        <w:top w:val="none" w:sz="0" w:space="0" w:color="auto"/>
        <w:left w:val="none" w:sz="0" w:space="0" w:color="auto"/>
        <w:bottom w:val="none" w:sz="0" w:space="0" w:color="auto"/>
        <w:right w:val="none" w:sz="0" w:space="0" w:color="auto"/>
      </w:divBdr>
    </w:div>
    <w:div w:id="1652366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DTD</cp:lastModifiedBy>
  <cp:revision>10</cp:revision>
  <dcterms:created xsi:type="dcterms:W3CDTF">2025-10-28T13:39:00Z</dcterms:created>
  <dcterms:modified xsi:type="dcterms:W3CDTF">2026-01-04T02:44:00Z</dcterms:modified>
</cp:coreProperties>
</file>