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12" w:rsidRPr="00190206" w:rsidRDefault="00190206" w:rsidP="00190206">
      <w:pPr>
        <w:jc w:val="center"/>
        <w:rPr>
          <w:b/>
          <w:sz w:val="28"/>
        </w:rPr>
      </w:pPr>
      <w:r w:rsidRPr="00190206">
        <w:rPr>
          <w:b/>
          <w:sz w:val="28"/>
        </w:rPr>
        <w:t>Chương III. TIÊU CHUẨN ĐÁNH GIÁ E-HSDT</w:t>
      </w:r>
    </w:p>
    <w:p w:rsidR="007D320B" w:rsidRPr="007D320B" w:rsidRDefault="007D320B" w:rsidP="007D320B">
      <w:pPr>
        <w:ind w:firstLine="567"/>
        <w:rPr>
          <w:b/>
        </w:rPr>
      </w:pPr>
      <w:r w:rsidRPr="007D320B">
        <w:rPr>
          <w:b/>
        </w:rPr>
        <w:t>Mục 3. Tiêu chuẩn đánh giá về kỹ thuật</w:t>
      </w:r>
    </w:p>
    <w:p w:rsidR="007D320B" w:rsidRPr="007D320B" w:rsidRDefault="007D320B" w:rsidP="007D320B">
      <w:pPr>
        <w:ind w:firstLine="567"/>
        <w:rPr>
          <w:b/>
        </w:rPr>
      </w:pPr>
      <w:r w:rsidRPr="007D320B">
        <w:rPr>
          <w:b/>
        </w:rPr>
        <w:t>3.2. Đánh giá theo phương pháp đạt/không đạt:</w:t>
      </w:r>
    </w:p>
    <w:p w:rsidR="00E36BCC" w:rsidRDefault="00E36BCC" w:rsidP="007D320B">
      <w:pPr>
        <w:ind w:firstLine="567"/>
      </w:pPr>
      <w:r w:rsidRPr="00E36BCC">
        <w:t>Tất cả các tài liệu nhà thầu cung cấp để chứng minh E-HSDT đáp ứng các tiêu chuẩn đánh giá về kỹ thuật phải còn hiệu lực đến thời điểm đóng thầu và là bản scan bản gốc hoặc bản sao y</w:t>
      </w:r>
      <w:r>
        <w:t xml:space="preserve"> hoặc bản sao y công ty</w:t>
      </w:r>
      <w:r w:rsidRPr="00E36BCC">
        <w:t>. Nhà thầu phải chuẩn bị sẵn sàng các tài liệu gốc để phục vụ việc xác minh khi có yêu cầu của Chủ đầu tư.</w:t>
      </w:r>
    </w:p>
    <w:tbl>
      <w:tblPr>
        <w:tblStyle w:val="TableGrid"/>
        <w:tblW w:w="0" w:type="auto"/>
        <w:tblLook w:val="04A0" w:firstRow="1" w:lastRow="0" w:firstColumn="1" w:lastColumn="0" w:noHBand="0" w:noVBand="1"/>
      </w:tblPr>
      <w:tblGrid>
        <w:gridCol w:w="5240"/>
        <w:gridCol w:w="1843"/>
        <w:gridCol w:w="1979"/>
      </w:tblGrid>
      <w:tr w:rsidR="008D79BC" w:rsidTr="00651B2F">
        <w:tc>
          <w:tcPr>
            <w:tcW w:w="5240" w:type="dxa"/>
            <w:vMerge w:val="restart"/>
            <w:vAlign w:val="center"/>
          </w:tcPr>
          <w:p w:rsidR="008D79BC" w:rsidRPr="008D79BC" w:rsidRDefault="008D79BC" w:rsidP="008D79BC">
            <w:pPr>
              <w:spacing w:before="60" w:after="60"/>
              <w:jc w:val="center"/>
              <w:rPr>
                <w:b/>
              </w:rPr>
            </w:pPr>
            <w:r w:rsidRPr="008D79BC">
              <w:rPr>
                <w:b/>
              </w:rPr>
              <w:t>Yêu cầu kỹ thuật</w:t>
            </w:r>
          </w:p>
        </w:tc>
        <w:tc>
          <w:tcPr>
            <w:tcW w:w="3822" w:type="dxa"/>
            <w:gridSpan w:val="2"/>
            <w:vAlign w:val="center"/>
          </w:tcPr>
          <w:p w:rsidR="008D79BC" w:rsidRPr="008D79BC" w:rsidRDefault="008D79BC" w:rsidP="008D79BC">
            <w:pPr>
              <w:spacing w:before="60" w:after="60"/>
              <w:jc w:val="center"/>
              <w:rPr>
                <w:b/>
              </w:rPr>
            </w:pPr>
            <w:r w:rsidRPr="008D79BC">
              <w:rPr>
                <w:b/>
              </w:rPr>
              <w:t>Đánh giá</w:t>
            </w:r>
          </w:p>
        </w:tc>
      </w:tr>
      <w:tr w:rsidR="008D79BC" w:rsidTr="00651B2F">
        <w:tc>
          <w:tcPr>
            <w:tcW w:w="5240" w:type="dxa"/>
            <w:vMerge/>
            <w:vAlign w:val="center"/>
          </w:tcPr>
          <w:p w:rsidR="008D79BC" w:rsidRPr="008D79BC" w:rsidRDefault="008D79BC" w:rsidP="008D79BC">
            <w:pPr>
              <w:spacing w:before="60" w:after="60"/>
              <w:jc w:val="center"/>
              <w:rPr>
                <w:b/>
              </w:rPr>
            </w:pPr>
          </w:p>
        </w:tc>
        <w:tc>
          <w:tcPr>
            <w:tcW w:w="1843" w:type="dxa"/>
            <w:vAlign w:val="center"/>
          </w:tcPr>
          <w:p w:rsidR="008D79BC" w:rsidRPr="008D79BC" w:rsidRDefault="008D79BC" w:rsidP="008D79BC">
            <w:pPr>
              <w:spacing w:before="60" w:after="60"/>
              <w:jc w:val="center"/>
              <w:rPr>
                <w:b/>
              </w:rPr>
            </w:pPr>
            <w:r w:rsidRPr="008D79BC">
              <w:rPr>
                <w:b/>
              </w:rPr>
              <w:t>Đạt</w:t>
            </w:r>
          </w:p>
        </w:tc>
        <w:tc>
          <w:tcPr>
            <w:tcW w:w="1979" w:type="dxa"/>
            <w:vAlign w:val="center"/>
          </w:tcPr>
          <w:p w:rsidR="008D79BC" w:rsidRPr="008D79BC" w:rsidRDefault="008D79BC" w:rsidP="008D79BC">
            <w:pPr>
              <w:spacing w:before="60" w:after="60"/>
              <w:jc w:val="center"/>
              <w:rPr>
                <w:b/>
              </w:rPr>
            </w:pPr>
            <w:r w:rsidRPr="008D79BC">
              <w:rPr>
                <w:b/>
              </w:rPr>
              <w:t>Không đạt</w:t>
            </w:r>
          </w:p>
        </w:tc>
      </w:tr>
      <w:tr w:rsidR="008D79BC" w:rsidTr="00F127BD">
        <w:tc>
          <w:tcPr>
            <w:tcW w:w="9062" w:type="dxa"/>
            <w:gridSpan w:val="3"/>
            <w:vAlign w:val="center"/>
          </w:tcPr>
          <w:p w:rsidR="008D79BC" w:rsidRPr="00BB75BA" w:rsidRDefault="008D79BC" w:rsidP="008D79BC">
            <w:pPr>
              <w:spacing w:before="60" w:after="60"/>
              <w:rPr>
                <w:b/>
              </w:rPr>
            </w:pPr>
            <w:r w:rsidRPr="00BB75BA">
              <w:rPr>
                <w:b/>
              </w:rPr>
              <w:t>I. Yêu cầu chung</w:t>
            </w:r>
          </w:p>
        </w:tc>
      </w:tr>
      <w:tr w:rsidR="00E04507" w:rsidTr="00651B2F">
        <w:tc>
          <w:tcPr>
            <w:tcW w:w="5240" w:type="dxa"/>
            <w:vAlign w:val="center"/>
          </w:tcPr>
          <w:p w:rsidR="00E04507" w:rsidRPr="00FB634C" w:rsidRDefault="00F7763E" w:rsidP="00F7763E">
            <w:pPr>
              <w:spacing w:before="60" w:after="60"/>
              <w:rPr>
                <w:b/>
              </w:rPr>
            </w:pPr>
            <w:r w:rsidRPr="00FB634C">
              <w:rPr>
                <w:b/>
              </w:rPr>
              <w:t>1. Nhà thầu dự thầu:</w:t>
            </w:r>
          </w:p>
          <w:p w:rsidR="00F7763E" w:rsidRDefault="00F7763E" w:rsidP="00F7763E">
            <w:pPr>
              <w:spacing w:before="60" w:after="60"/>
            </w:pPr>
            <w:r>
              <w:t xml:space="preserve">Nhà thầu phải </w:t>
            </w:r>
            <w:r w:rsidR="00422A15">
              <w:t xml:space="preserve">là cơ sở có </w:t>
            </w:r>
            <w:r>
              <w:t xml:space="preserve">đủ điều kiện </w:t>
            </w:r>
            <w:r w:rsidR="009A180C">
              <w:t xml:space="preserve">cung cấp </w:t>
            </w:r>
            <w:r w:rsidR="00422A15">
              <w:t>suấ</w:t>
            </w:r>
            <w:r w:rsidR="00651B2F">
              <w:t>t ăn</w:t>
            </w:r>
            <w:r w:rsidR="00C93B6A">
              <w:t>.</w:t>
            </w:r>
          </w:p>
          <w:p w:rsidR="00651B2F" w:rsidRDefault="00651B2F" w:rsidP="00FC0BAF">
            <w:pPr>
              <w:spacing w:before="60" w:after="60"/>
            </w:pPr>
            <w:r w:rsidRPr="008D72E9">
              <w:rPr>
                <w:b/>
                <w:i/>
              </w:rPr>
              <w:t>Tài liệu chứng minh:</w:t>
            </w:r>
            <w:r>
              <w:t xml:space="preserve"> Giấy</w:t>
            </w:r>
            <w:r w:rsidR="00BD5FA5">
              <w:t xml:space="preserve"> chứng nhận đăng ký doanh nghiệp</w:t>
            </w:r>
            <w:r w:rsidR="00FC0BAF">
              <w:t>;</w:t>
            </w:r>
            <w:r w:rsidR="00BD5FA5">
              <w:t xml:space="preserve"> Giấy chứng</w:t>
            </w:r>
            <w:r w:rsidR="00DC2C1F">
              <w:t xml:space="preserve"> nhận cơ sở đủ điều kiện an toàn thực phẩm</w:t>
            </w:r>
            <w:r w:rsidR="00FC0BAF">
              <w:t>;</w:t>
            </w:r>
            <w:r w:rsidR="00DC2C1F">
              <w:t xml:space="preserve"> </w:t>
            </w:r>
            <w:r w:rsidR="00FC0BAF">
              <w:t xml:space="preserve">Giấy chứng nhận đạt </w:t>
            </w:r>
            <w:r w:rsidR="00FC0BAF" w:rsidRPr="00FC0BAF">
              <w:t>tiêu chuẩn HACCP/ISO/Viet Gap/Global Gap hoặc tương đương</w:t>
            </w:r>
            <w:r w:rsidR="00FB634C">
              <w:t>; Các giấy tờ khác (nếu có)</w:t>
            </w:r>
            <w:r w:rsidR="002A470C">
              <w:t>.</w:t>
            </w:r>
          </w:p>
        </w:tc>
        <w:tc>
          <w:tcPr>
            <w:tcW w:w="1843" w:type="dxa"/>
            <w:vAlign w:val="center"/>
          </w:tcPr>
          <w:p w:rsidR="00E04507" w:rsidRDefault="00E249C1" w:rsidP="008D79BC">
            <w:pPr>
              <w:spacing w:before="60" w:after="60"/>
              <w:jc w:val="center"/>
            </w:pPr>
            <w:r>
              <w:t>Nhà thầu c</w:t>
            </w:r>
            <w:r w:rsidR="008B3C96">
              <w:t>ung cấp đầy đủ tài liệu chứng minh</w:t>
            </w:r>
          </w:p>
        </w:tc>
        <w:tc>
          <w:tcPr>
            <w:tcW w:w="1979" w:type="dxa"/>
            <w:vAlign w:val="center"/>
          </w:tcPr>
          <w:p w:rsidR="00E04507" w:rsidRDefault="00E334FB" w:rsidP="008D79BC">
            <w:pPr>
              <w:spacing w:before="60" w:after="60"/>
              <w:jc w:val="center"/>
            </w:pPr>
            <w:r>
              <w:t>Nhà thầu k</w:t>
            </w:r>
            <w:r w:rsidR="008B3C96">
              <w:t>hông cung cấp đầy đủ tài liệu chứng minh</w:t>
            </w:r>
          </w:p>
        </w:tc>
      </w:tr>
      <w:tr w:rsidR="008B3C96" w:rsidTr="00651B2F">
        <w:tc>
          <w:tcPr>
            <w:tcW w:w="5240" w:type="dxa"/>
            <w:vAlign w:val="center"/>
          </w:tcPr>
          <w:p w:rsidR="008B3C96" w:rsidRPr="008201BE" w:rsidRDefault="008B3C96" w:rsidP="008B3C96">
            <w:pPr>
              <w:spacing w:before="60" w:after="60"/>
              <w:rPr>
                <w:b/>
              </w:rPr>
            </w:pPr>
            <w:r w:rsidRPr="008201BE">
              <w:rPr>
                <w:b/>
              </w:rPr>
              <w:t xml:space="preserve">2. Nhân sự </w:t>
            </w:r>
            <w:r w:rsidR="001F08A5">
              <w:rPr>
                <w:b/>
              </w:rPr>
              <w:t>thực hiện</w:t>
            </w:r>
            <w:r w:rsidRPr="008201BE">
              <w:rPr>
                <w:b/>
              </w:rPr>
              <w:t>:</w:t>
            </w:r>
          </w:p>
          <w:p w:rsidR="008B3C96" w:rsidRDefault="00664386" w:rsidP="008B3C96">
            <w:pPr>
              <w:spacing w:before="60" w:after="60"/>
            </w:pPr>
            <w:r>
              <w:t>Nhà thầu thực hiện c</w:t>
            </w:r>
            <w:r w:rsidR="008B3C96">
              <w:t>am kết đáp ứng yêu cầu tại</w:t>
            </w:r>
            <w:r w:rsidR="00544FB3">
              <w:t xml:space="preserve"> Mục 2</w:t>
            </w:r>
            <w:r w:rsidR="008B3C96">
              <w:t xml:space="preserve"> Chương V</w:t>
            </w:r>
            <w:r w:rsidR="00C93B6A">
              <w:t>.</w:t>
            </w:r>
          </w:p>
          <w:p w:rsidR="001F08A5" w:rsidRDefault="008B3C96" w:rsidP="00993C8D">
            <w:pPr>
              <w:spacing w:before="60" w:after="60"/>
            </w:pPr>
            <w:r w:rsidRPr="008D72E9">
              <w:rPr>
                <w:b/>
                <w:i/>
              </w:rPr>
              <w:t>Tài liệu chứng minh:</w:t>
            </w:r>
            <w:r w:rsidR="00993C8D">
              <w:t xml:space="preserve"> </w:t>
            </w:r>
          </w:p>
          <w:p w:rsidR="001F08A5" w:rsidRDefault="001F08A5" w:rsidP="00993C8D">
            <w:pPr>
              <w:spacing w:before="60" w:after="60"/>
            </w:pPr>
            <w:r>
              <w:t>- Bản cam kết nhân sự thực hiện đáp ứng yêu cầu tại Chương V;</w:t>
            </w:r>
          </w:p>
          <w:p w:rsidR="008B3C96" w:rsidRDefault="001F08A5" w:rsidP="00993C8D">
            <w:pPr>
              <w:spacing w:before="60" w:after="60"/>
            </w:pPr>
            <w:r>
              <w:t xml:space="preserve">- </w:t>
            </w:r>
            <w:r w:rsidR="008B3C96">
              <w:t xml:space="preserve">Danh sách nhân sự tham gia (theo số lượng quy định tại điểm 4 Mục 2 Chương V) kèm theo Giấy khám sức khỏe; </w:t>
            </w:r>
            <w:r w:rsidR="008B3C96" w:rsidRPr="00C51075">
              <w:t>Giấy xác nhận đã được tập huấn kiến thức về an toàn vệ sinh thực phẩm</w:t>
            </w:r>
            <w:r w:rsidR="008B3C96">
              <w:t xml:space="preserve">; </w:t>
            </w:r>
            <w:r w:rsidR="008B3C96" w:rsidRPr="002A470C">
              <w:t>Giấy chứng nhận huấn luyện nghiệp vụ phòng cháy và chữa cháy</w:t>
            </w:r>
            <w:r w:rsidR="008B3C96">
              <w:t>; T</w:t>
            </w:r>
            <w:r w:rsidR="008B3C96" w:rsidRPr="002A470C">
              <w:t>hẻ an toàn lao động được huấn luyện kỹ thuật an toàn khí dầu mỏ hóa lỏng (LPG) hoặc Giấy chứng nhận huấn luyện an toàn trong sử dụng LPG công nghiệp</w:t>
            </w:r>
            <w:r w:rsidR="008B3C96">
              <w:t>; Các giấy tờ khác (nếu có).</w:t>
            </w:r>
          </w:p>
        </w:tc>
        <w:tc>
          <w:tcPr>
            <w:tcW w:w="1843" w:type="dxa"/>
            <w:vAlign w:val="center"/>
          </w:tcPr>
          <w:p w:rsidR="008B3C96" w:rsidRDefault="00E334FB" w:rsidP="008B3C96">
            <w:pPr>
              <w:spacing w:before="60" w:after="60"/>
              <w:jc w:val="center"/>
            </w:pPr>
            <w:r>
              <w:t>Nhà thầu c</w:t>
            </w:r>
            <w:r w:rsidR="008B3C96">
              <w:t>ung cấp đầy đủ tài liệu chứng minh</w:t>
            </w:r>
          </w:p>
        </w:tc>
        <w:tc>
          <w:tcPr>
            <w:tcW w:w="1979" w:type="dxa"/>
            <w:vAlign w:val="center"/>
          </w:tcPr>
          <w:p w:rsidR="008B3C96" w:rsidRDefault="00E334FB" w:rsidP="008B3C96">
            <w:pPr>
              <w:spacing w:before="60" w:after="60"/>
              <w:jc w:val="center"/>
            </w:pPr>
            <w:r>
              <w:t>Nhà thầu k</w:t>
            </w:r>
            <w:r w:rsidR="008B3C96">
              <w:t>hông cung cấp đầy đủ tài liệu chứng minh</w:t>
            </w:r>
          </w:p>
        </w:tc>
      </w:tr>
      <w:tr w:rsidR="00E04507" w:rsidTr="00651B2F">
        <w:tc>
          <w:tcPr>
            <w:tcW w:w="5240" w:type="dxa"/>
            <w:vAlign w:val="center"/>
          </w:tcPr>
          <w:p w:rsidR="00E04507" w:rsidRPr="001F08A5" w:rsidRDefault="0011207F" w:rsidP="00F7763E">
            <w:pPr>
              <w:spacing w:before="60" w:after="60"/>
              <w:rPr>
                <w:b/>
              </w:rPr>
            </w:pPr>
            <w:r w:rsidRPr="001F08A5">
              <w:rPr>
                <w:b/>
              </w:rPr>
              <w:t>3. Tiến độ cung cấp:</w:t>
            </w:r>
          </w:p>
          <w:p w:rsidR="0011207F" w:rsidRDefault="0011207F" w:rsidP="0011207F">
            <w:pPr>
              <w:spacing w:before="60" w:after="60"/>
            </w:pPr>
            <w:r w:rsidRPr="0011207F">
              <w:t>Đáp ứng yêu cầu tại Mẫu số 01</w:t>
            </w:r>
            <w:r>
              <w:t>B</w:t>
            </w:r>
            <w:r w:rsidRPr="0011207F">
              <w:t>: Phạm vi cung cấp tại Chương IV Biểu mẫu mời thầu của E-HSMT</w:t>
            </w:r>
            <w:r w:rsidR="00C93B6A">
              <w:t>.</w:t>
            </w:r>
          </w:p>
        </w:tc>
        <w:tc>
          <w:tcPr>
            <w:tcW w:w="1843" w:type="dxa"/>
            <w:vAlign w:val="center"/>
          </w:tcPr>
          <w:p w:rsidR="00E04507" w:rsidRDefault="00357C0D" w:rsidP="00FF12D2">
            <w:pPr>
              <w:spacing w:before="60" w:after="60"/>
              <w:jc w:val="center"/>
            </w:pPr>
            <w:r>
              <w:t xml:space="preserve">Ngày cung cấp do nhà thầu đề xuất tại </w:t>
            </w:r>
            <w:r w:rsidR="00FF12D2">
              <w:t>Mẫu số 10A đáp ứng yêu cầu tại</w:t>
            </w:r>
            <w:r w:rsidR="00FF12D2" w:rsidRPr="0011207F">
              <w:t xml:space="preserve"> </w:t>
            </w:r>
            <w:r w:rsidR="00FF12D2">
              <w:t>M</w:t>
            </w:r>
            <w:r w:rsidR="00FF12D2" w:rsidRPr="0011207F">
              <w:t>ẫu số 01</w:t>
            </w:r>
            <w:r w:rsidR="00FF12D2">
              <w:t>B</w:t>
            </w:r>
          </w:p>
        </w:tc>
        <w:tc>
          <w:tcPr>
            <w:tcW w:w="1979" w:type="dxa"/>
            <w:vAlign w:val="center"/>
          </w:tcPr>
          <w:p w:rsidR="00E04507" w:rsidRDefault="00FF12D2" w:rsidP="008D79BC">
            <w:pPr>
              <w:spacing w:before="60" w:after="60"/>
              <w:jc w:val="center"/>
            </w:pPr>
            <w:r>
              <w:t>Ngày cung cấp do nhà thầu đề xuất tại Mẫu số 10A không đáp ứng yêu cầu tại</w:t>
            </w:r>
            <w:r w:rsidRPr="0011207F">
              <w:t xml:space="preserve"> </w:t>
            </w:r>
            <w:r>
              <w:t>M</w:t>
            </w:r>
            <w:r w:rsidRPr="0011207F">
              <w:t>ẫu số 01</w:t>
            </w:r>
            <w:r>
              <w:t>B</w:t>
            </w:r>
          </w:p>
        </w:tc>
      </w:tr>
      <w:tr w:rsidR="00703417" w:rsidTr="00703417">
        <w:tc>
          <w:tcPr>
            <w:tcW w:w="5240" w:type="dxa"/>
            <w:vAlign w:val="center"/>
          </w:tcPr>
          <w:p w:rsidR="00703417" w:rsidRPr="00703417" w:rsidRDefault="00703417" w:rsidP="00703417">
            <w:pPr>
              <w:spacing w:before="60" w:after="60"/>
              <w:rPr>
                <w:b/>
              </w:rPr>
            </w:pPr>
            <w:r w:rsidRPr="00703417">
              <w:rPr>
                <w:b/>
              </w:rPr>
              <w:t>4. Phương án, quy trình thực hiện gói thầu:</w:t>
            </w:r>
          </w:p>
          <w:p w:rsidR="00703417" w:rsidRDefault="00703417" w:rsidP="00703417">
            <w:pPr>
              <w:spacing w:before="60" w:after="60"/>
            </w:pPr>
            <w:r>
              <w:lastRenderedPageBreak/>
              <w:t xml:space="preserve">Nhà thầu có </w:t>
            </w:r>
            <w:r w:rsidRPr="007206DE">
              <w:t>phương án</w:t>
            </w:r>
            <w:r>
              <w:t xml:space="preserve"> và quy trình</w:t>
            </w:r>
            <w:r w:rsidRPr="007206DE">
              <w:t xml:space="preserve"> chi tiết, cụ thể để triển khai thực hiện cung cấp suất ăn theo yêu cầu của E-HSMT</w:t>
            </w:r>
            <w:r>
              <w:t>.</w:t>
            </w:r>
          </w:p>
          <w:p w:rsidR="00703417" w:rsidRDefault="00703417" w:rsidP="00703417">
            <w:pPr>
              <w:spacing w:before="60" w:after="60"/>
            </w:pPr>
            <w:r w:rsidRPr="008D72E9">
              <w:rPr>
                <w:b/>
                <w:i/>
              </w:rPr>
              <w:t>Tài liệu chứng minh:</w:t>
            </w:r>
          </w:p>
          <w:p w:rsidR="00703417" w:rsidRDefault="00703417" w:rsidP="00703417">
            <w:pPr>
              <w:spacing w:before="60" w:after="60"/>
            </w:pPr>
            <w:r>
              <w:t>- Phương án triển khai, bao gồm các nội dung:</w:t>
            </w:r>
          </w:p>
          <w:p w:rsidR="00703417" w:rsidRDefault="00703417" w:rsidP="00703417">
            <w:pPr>
              <w:spacing w:before="60" w:after="60"/>
            </w:pPr>
            <w:r>
              <w:t xml:space="preserve">+ </w:t>
            </w:r>
            <w:r w:rsidR="000F07CC">
              <w:t>Về n</w:t>
            </w:r>
            <w:r>
              <w:t xml:space="preserve">hân sự: Kế </w:t>
            </w:r>
            <w:r w:rsidRPr="00324B7E">
              <w:t>hoạch phân công nhân sự (các vị trí: sơ chế, chế biến, chia suất, cung cấp...);</w:t>
            </w:r>
            <w:r>
              <w:t xml:space="preserve"> </w:t>
            </w:r>
            <w:r w:rsidRPr="00324B7E">
              <w:t>Kế hoạch đào tạo (giao tiếp, an toàn thực phẩm, an toàn gas, điện...);</w:t>
            </w:r>
            <w:r>
              <w:t>…</w:t>
            </w:r>
          </w:p>
          <w:p w:rsidR="00703417" w:rsidRDefault="00703417" w:rsidP="00703417">
            <w:pPr>
              <w:spacing w:before="60" w:after="60"/>
            </w:pPr>
            <w:r>
              <w:t xml:space="preserve">+ </w:t>
            </w:r>
            <w:r w:rsidR="000F07CC">
              <w:t>Về t</w:t>
            </w:r>
            <w:r>
              <w:t xml:space="preserve">rang thiết bị: </w:t>
            </w:r>
            <w:r w:rsidRPr="00886902">
              <w:t>Bảng kê trang thiết bị phù hợp để xử lý nguyên liệu, chế bi</w:t>
            </w:r>
            <w:r w:rsidR="00CA053E">
              <w:t>ế</w:t>
            </w:r>
            <w:r w:rsidRPr="00886902">
              <w:t>n, đóng gói, bảo quản và vận chuyển các loại thực phẩm khác nhau;</w:t>
            </w:r>
            <w:r>
              <w:t xml:space="preserve"> </w:t>
            </w:r>
            <w:r w:rsidRPr="00886902">
              <w:t>Bảng kê trang thiết bị, dụng cụ, phương tiện rửa và khử trùng, nước sát trùng,</w:t>
            </w:r>
            <w:bookmarkStart w:id="0" w:name="_GoBack"/>
            <w:bookmarkEnd w:id="0"/>
            <w:r w:rsidRPr="00886902">
              <w:t xml:space="preserve"> thiết bị phòng, chống côn trùng và động vật gây hạ</w:t>
            </w:r>
            <w:r>
              <w:t>i;…</w:t>
            </w:r>
          </w:p>
          <w:p w:rsidR="000F07CC" w:rsidRDefault="000F07CC" w:rsidP="00703417">
            <w:pPr>
              <w:spacing w:before="60" w:after="60"/>
            </w:pPr>
            <w:r>
              <w:t>+ Về xử lý tình huống khẩn cấp.</w:t>
            </w:r>
          </w:p>
          <w:p w:rsidR="00703417" w:rsidRDefault="00703417" w:rsidP="00703417">
            <w:pPr>
              <w:spacing w:before="60" w:after="60"/>
            </w:pPr>
            <w:r>
              <w:t>- Quy trình triển khai, bao gồm các nội dung:</w:t>
            </w:r>
          </w:p>
          <w:p w:rsidR="00703417" w:rsidRDefault="00703417" w:rsidP="00703417">
            <w:pPr>
              <w:spacing w:before="60" w:after="60"/>
            </w:pPr>
            <w:r>
              <w:t>+ Quy trình nhập nguyên liệu, sơ chế, chế biến suất ăn và bảo quản nguyên liệu, thực phẩm;</w:t>
            </w:r>
          </w:p>
          <w:p w:rsidR="00703417" w:rsidRDefault="00703417" w:rsidP="00703417">
            <w:pPr>
              <w:spacing w:before="60" w:after="60"/>
            </w:pPr>
            <w:r>
              <w:t>+ Quy trình tiếp nhận thông tin đặt suất của người bệnh và phương án đáp ứng khi có thay đổi tăng, hủy suất ăn;</w:t>
            </w:r>
          </w:p>
          <w:p w:rsidR="00703417" w:rsidRDefault="00703417" w:rsidP="00703417">
            <w:pPr>
              <w:spacing w:before="60" w:after="60"/>
            </w:pPr>
            <w:r>
              <w:t>+ Quy trình vận chuyển và phục vụ suất ăn cho người bệnh;</w:t>
            </w:r>
          </w:p>
          <w:p w:rsidR="00703417" w:rsidRDefault="00703417" w:rsidP="00703417">
            <w:pPr>
              <w:spacing w:before="60" w:after="60"/>
            </w:pPr>
            <w:r>
              <w:t>+ Quy trình lưu mẫu suất ăn hàng ngày;</w:t>
            </w:r>
          </w:p>
          <w:p w:rsidR="00703417" w:rsidRDefault="00703417" w:rsidP="00703417">
            <w:pPr>
              <w:spacing w:before="60" w:after="60"/>
            </w:pPr>
            <w:r>
              <w:t>+ Quy trình xử lý dụng cụ;</w:t>
            </w:r>
          </w:p>
          <w:p w:rsidR="00703417" w:rsidRDefault="00703417" w:rsidP="00703417">
            <w:pPr>
              <w:spacing w:before="60" w:after="60"/>
            </w:pPr>
            <w:r>
              <w:t>+ Quy trình tiếp nhận xử lý các phản ánh về chất lượng suất ăn của người bệnh;</w:t>
            </w:r>
          </w:p>
          <w:p w:rsidR="00703417" w:rsidRDefault="00703417" w:rsidP="00703417">
            <w:pPr>
              <w:spacing w:before="60" w:after="60"/>
            </w:pPr>
            <w:r>
              <w:t>+ Quy trình giải quyết sự cố liên quan đến an toàn vệ sinh thực phẩm;</w:t>
            </w:r>
          </w:p>
          <w:p w:rsidR="00703417" w:rsidRDefault="00703417" w:rsidP="00703417">
            <w:pPr>
              <w:spacing w:before="60" w:after="60"/>
            </w:pPr>
            <w:r>
              <w:t>+ Các quy trình có liên quan khác (nếu có).</w:t>
            </w:r>
          </w:p>
        </w:tc>
        <w:tc>
          <w:tcPr>
            <w:tcW w:w="1843" w:type="dxa"/>
            <w:vAlign w:val="center"/>
          </w:tcPr>
          <w:p w:rsidR="00703417" w:rsidRDefault="00703417" w:rsidP="00703417">
            <w:pPr>
              <w:spacing w:before="60" w:after="60"/>
              <w:jc w:val="center"/>
            </w:pPr>
            <w:r>
              <w:lastRenderedPageBreak/>
              <w:t xml:space="preserve">Nhà thầu cung cấp đầy đủ tài </w:t>
            </w:r>
            <w:r>
              <w:lastRenderedPageBreak/>
              <w:t>liệu chứng minh</w:t>
            </w:r>
          </w:p>
        </w:tc>
        <w:tc>
          <w:tcPr>
            <w:tcW w:w="1979" w:type="dxa"/>
            <w:vAlign w:val="center"/>
          </w:tcPr>
          <w:p w:rsidR="00703417" w:rsidRDefault="00703417" w:rsidP="00703417">
            <w:pPr>
              <w:spacing w:before="60" w:after="60"/>
              <w:jc w:val="center"/>
            </w:pPr>
            <w:r>
              <w:lastRenderedPageBreak/>
              <w:t xml:space="preserve">Nhà thầu không cung cấp đầy đủ </w:t>
            </w:r>
            <w:r>
              <w:lastRenderedPageBreak/>
              <w:t>tài liệu chứng minh</w:t>
            </w:r>
          </w:p>
        </w:tc>
      </w:tr>
      <w:tr w:rsidR="00F7763E" w:rsidTr="00651B2F">
        <w:tc>
          <w:tcPr>
            <w:tcW w:w="5240" w:type="dxa"/>
            <w:vAlign w:val="center"/>
          </w:tcPr>
          <w:p w:rsidR="00E11020" w:rsidRPr="00F607AC" w:rsidRDefault="005D6172" w:rsidP="00E11020">
            <w:pPr>
              <w:spacing w:before="60" w:after="60"/>
              <w:rPr>
                <w:b/>
              </w:rPr>
            </w:pPr>
            <w:r>
              <w:rPr>
                <w:b/>
              </w:rPr>
              <w:lastRenderedPageBreak/>
              <w:t xml:space="preserve">5. </w:t>
            </w:r>
            <w:r w:rsidR="00E11020" w:rsidRPr="00F607AC">
              <w:rPr>
                <w:b/>
              </w:rPr>
              <w:t xml:space="preserve">Kết quả thực hiện hợp đồng của nhà thầu theo quy định tại Điều 19 và Điều 20 của Nghị định 214/2025/NĐ-CP: </w:t>
            </w:r>
          </w:p>
          <w:p w:rsidR="00664386" w:rsidRDefault="00664386" w:rsidP="00E11020">
            <w:pPr>
              <w:spacing w:before="60" w:after="60"/>
            </w:pPr>
            <w:r>
              <w:t>Nhà thầu thực hiện cam kết:</w:t>
            </w:r>
          </w:p>
          <w:p w:rsidR="00E11020" w:rsidRDefault="00664386" w:rsidP="00E11020">
            <w:pPr>
              <w:spacing w:before="60" w:after="60"/>
            </w:pPr>
            <w:r>
              <w:t xml:space="preserve">- </w:t>
            </w:r>
            <w:r w:rsidR="00E11020">
              <w:t>Không bị ghi nhận vi phạm hợp đồng</w:t>
            </w:r>
            <w:r w:rsidR="00E249C1">
              <w:t xml:space="preserve"> </w:t>
            </w:r>
            <w:r w:rsidR="00E11020">
              <w:t xml:space="preserve">trong </w:t>
            </w:r>
            <w:r w:rsidR="00E249C1">
              <w:t>0</w:t>
            </w:r>
            <w:r w:rsidR="00E11020">
              <w:t>3 năm tính từ thời điểm đóng thầu trở về trước</w:t>
            </w:r>
            <w:r w:rsidR="00C93B6A">
              <w:t>;</w:t>
            </w:r>
          </w:p>
          <w:p w:rsidR="00F7763E" w:rsidRDefault="00664386" w:rsidP="00C93448">
            <w:pPr>
              <w:spacing w:before="60" w:after="60"/>
            </w:pPr>
            <w:r>
              <w:t>- N</w:t>
            </w:r>
            <w:r w:rsidR="00E11020">
              <w:t xml:space="preserve">ếu </w:t>
            </w:r>
            <w:r w:rsidR="00E249C1">
              <w:t>Chủ đầu tư</w:t>
            </w:r>
            <w:r w:rsidR="00E11020">
              <w:t xml:space="preserve"> phát hiện </w:t>
            </w:r>
            <w:r>
              <w:t>N</w:t>
            </w:r>
            <w:r w:rsidR="00E11020">
              <w:t xml:space="preserve">hà thầu có hợp đồng tương tự bị vi phạm thì </w:t>
            </w:r>
            <w:r w:rsidR="00C93448">
              <w:t>N</w:t>
            </w:r>
            <w:r w:rsidR="00E11020">
              <w:t>hà thầu được xem là có hành vi “gian lận” và HSDT sẽ bị loại.</w:t>
            </w:r>
          </w:p>
        </w:tc>
        <w:tc>
          <w:tcPr>
            <w:tcW w:w="1843" w:type="dxa"/>
            <w:vAlign w:val="center"/>
          </w:tcPr>
          <w:p w:rsidR="00F7763E" w:rsidRDefault="00E334FB" w:rsidP="008D79BC">
            <w:pPr>
              <w:spacing w:before="60" w:after="60"/>
              <w:jc w:val="center"/>
            </w:pPr>
            <w:r>
              <w:t>Nhà thầu có thực hiện cam kết</w:t>
            </w:r>
          </w:p>
        </w:tc>
        <w:tc>
          <w:tcPr>
            <w:tcW w:w="1979" w:type="dxa"/>
            <w:vAlign w:val="center"/>
          </w:tcPr>
          <w:p w:rsidR="00F7763E" w:rsidRDefault="00E334FB" w:rsidP="008D79BC">
            <w:pPr>
              <w:spacing w:before="60" w:after="60"/>
              <w:jc w:val="center"/>
            </w:pPr>
            <w:r>
              <w:t>Nhà thầu không thực hiện cam kết hoặc nhà thầu có vi phạm</w:t>
            </w:r>
          </w:p>
        </w:tc>
      </w:tr>
      <w:tr w:rsidR="00F7763E" w:rsidTr="00742D36">
        <w:tc>
          <w:tcPr>
            <w:tcW w:w="9062" w:type="dxa"/>
            <w:gridSpan w:val="3"/>
            <w:vAlign w:val="center"/>
          </w:tcPr>
          <w:p w:rsidR="00F7763E" w:rsidRPr="00C93448" w:rsidRDefault="00F7763E" w:rsidP="00F7763E">
            <w:pPr>
              <w:spacing w:before="60" w:after="60"/>
              <w:rPr>
                <w:b/>
              </w:rPr>
            </w:pPr>
            <w:r w:rsidRPr="00C93448">
              <w:rPr>
                <w:b/>
              </w:rPr>
              <w:t>II. Yêu cầu cụ thể</w:t>
            </w:r>
          </w:p>
        </w:tc>
      </w:tr>
      <w:tr w:rsidR="00C93448" w:rsidTr="00651B2F">
        <w:tc>
          <w:tcPr>
            <w:tcW w:w="5240" w:type="dxa"/>
            <w:vAlign w:val="center"/>
          </w:tcPr>
          <w:p w:rsidR="00C93448" w:rsidRPr="00C93448" w:rsidRDefault="00C93448" w:rsidP="00C93448">
            <w:pPr>
              <w:spacing w:before="60" w:after="60"/>
              <w:rPr>
                <w:b/>
              </w:rPr>
            </w:pPr>
            <w:r w:rsidRPr="00C93448">
              <w:rPr>
                <w:b/>
              </w:rPr>
              <w:lastRenderedPageBreak/>
              <w:t>1. Thanh toán:</w:t>
            </w:r>
          </w:p>
          <w:p w:rsidR="00C93448" w:rsidRDefault="00C93448" w:rsidP="00C93448">
            <w:pPr>
              <w:spacing w:before="60" w:after="60"/>
            </w:pPr>
            <w:r>
              <w:t>Nhà thầu thực hiện cam kết đáp ứng yêu cầu tại Mục 3 Chương V</w:t>
            </w:r>
            <w:r w:rsidR="00C93B6A">
              <w:t>.</w:t>
            </w:r>
          </w:p>
        </w:tc>
        <w:tc>
          <w:tcPr>
            <w:tcW w:w="1843" w:type="dxa"/>
            <w:vAlign w:val="center"/>
          </w:tcPr>
          <w:p w:rsidR="00C93448" w:rsidRDefault="00C93448" w:rsidP="00C93448">
            <w:pPr>
              <w:spacing w:before="60" w:after="60"/>
              <w:jc w:val="center"/>
            </w:pPr>
            <w:r>
              <w:t>Nhà thầu có thực hiện cam kết</w:t>
            </w:r>
          </w:p>
        </w:tc>
        <w:tc>
          <w:tcPr>
            <w:tcW w:w="1979" w:type="dxa"/>
            <w:vAlign w:val="center"/>
          </w:tcPr>
          <w:p w:rsidR="00C93448" w:rsidRDefault="00C93448" w:rsidP="00C93448">
            <w:pPr>
              <w:spacing w:before="60" w:after="60"/>
              <w:jc w:val="center"/>
            </w:pPr>
            <w:r>
              <w:t>Nhà thầu không thực hiện cam kết</w:t>
            </w:r>
          </w:p>
        </w:tc>
      </w:tr>
      <w:tr w:rsidR="00AE378F" w:rsidTr="00651B2F">
        <w:tc>
          <w:tcPr>
            <w:tcW w:w="5240" w:type="dxa"/>
            <w:vAlign w:val="center"/>
          </w:tcPr>
          <w:p w:rsidR="00AE378F" w:rsidRPr="00485C54" w:rsidRDefault="00AE378F" w:rsidP="00AE378F">
            <w:pPr>
              <w:spacing w:before="60" w:after="60"/>
              <w:rPr>
                <w:b/>
              </w:rPr>
            </w:pPr>
            <w:r w:rsidRPr="00485C54">
              <w:rPr>
                <w:b/>
              </w:rPr>
              <w:t>2. Yêu cầu về suất ăn:</w:t>
            </w:r>
          </w:p>
          <w:p w:rsidR="00AE378F" w:rsidRDefault="00AE378F" w:rsidP="00AE378F">
            <w:pPr>
              <w:spacing w:before="60" w:after="60"/>
            </w:pPr>
            <w:r>
              <w:t>Nhà thầu cung cấp suất ăn đảm bảo đúng theo yêu cầu kỹ thuật tại Mục 2 Chương V</w:t>
            </w:r>
          </w:p>
          <w:p w:rsidR="00AE378F" w:rsidRDefault="00AE378F" w:rsidP="00AE378F">
            <w:pPr>
              <w:spacing w:before="60" w:after="60"/>
            </w:pPr>
            <w:r w:rsidRPr="008D72E9">
              <w:rPr>
                <w:b/>
                <w:i/>
              </w:rPr>
              <w:t>Tài liệu chứng minh:</w:t>
            </w:r>
          </w:p>
          <w:p w:rsidR="00AE378F" w:rsidRDefault="00AE378F" w:rsidP="00AE378F">
            <w:pPr>
              <w:spacing w:before="60" w:after="60"/>
            </w:pPr>
            <w:r>
              <w:t>Cam kết cung cấp suất ăn đảm bảo đúng theo yêu cầu kỹ thuật tại Mục 2 Chương V (thành phần dinh dưỡng, thời gian cung cấp, nguyên liệu thực phẩm, chất lượng suất ăn, trang thiết bị, dụng cụ và các yêu cầu khác…)</w:t>
            </w:r>
          </w:p>
        </w:tc>
        <w:tc>
          <w:tcPr>
            <w:tcW w:w="1843" w:type="dxa"/>
            <w:vAlign w:val="center"/>
          </w:tcPr>
          <w:p w:rsidR="00AE378F" w:rsidRDefault="00AE378F" w:rsidP="00AE378F">
            <w:pPr>
              <w:spacing w:before="60" w:after="60"/>
              <w:jc w:val="center"/>
            </w:pPr>
            <w:r>
              <w:t>Nhà thầu cung cấp đầy đủ tài liệu chứng minh</w:t>
            </w:r>
          </w:p>
        </w:tc>
        <w:tc>
          <w:tcPr>
            <w:tcW w:w="1979" w:type="dxa"/>
            <w:vAlign w:val="center"/>
          </w:tcPr>
          <w:p w:rsidR="00AE378F" w:rsidRDefault="00AE378F" w:rsidP="00AE378F">
            <w:pPr>
              <w:spacing w:before="60" w:after="60"/>
              <w:jc w:val="center"/>
            </w:pPr>
            <w:r>
              <w:t>Nhà thầu không cung cấp đầy đủ tài liệu chứng minh</w:t>
            </w:r>
          </w:p>
        </w:tc>
      </w:tr>
      <w:tr w:rsidR="00AE378F" w:rsidTr="00651B2F">
        <w:tc>
          <w:tcPr>
            <w:tcW w:w="5240" w:type="dxa"/>
            <w:vAlign w:val="center"/>
          </w:tcPr>
          <w:p w:rsidR="00AE378F" w:rsidRPr="00D52AA0" w:rsidRDefault="00AE378F" w:rsidP="00AE378F">
            <w:pPr>
              <w:spacing w:before="60" w:after="60"/>
              <w:rPr>
                <w:b/>
              </w:rPr>
            </w:pPr>
            <w:r w:rsidRPr="00D52AA0">
              <w:rPr>
                <w:b/>
              </w:rPr>
              <w:t>3. Yêu cầu về giám sát chất lượng vệ sinh an toàn thực phẩm:</w:t>
            </w:r>
          </w:p>
          <w:p w:rsidR="00AE378F" w:rsidRDefault="00AE378F" w:rsidP="00AE378F">
            <w:pPr>
              <w:spacing w:before="60" w:after="60"/>
            </w:pPr>
            <w:r>
              <w:t>Nhà thầu cung cấp suất ăn đảm bảo đúng theo yêu cầu kỹ thuật tại Mục 2 Chương V</w:t>
            </w:r>
          </w:p>
          <w:p w:rsidR="00AE378F" w:rsidRDefault="00AE378F" w:rsidP="00AE378F">
            <w:pPr>
              <w:spacing w:before="60" w:after="60"/>
            </w:pPr>
            <w:r w:rsidRPr="008D72E9">
              <w:rPr>
                <w:b/>
                <w:i/>
              </w:rPr>
              <w:t>Tài liệu chứng minh:</w:t>
            </w:r>
          </w:p>
          <w:p w:rsidR="00AE378F" w:rsidRDefault="00AE378F" w:rsidP="00AE378F">
            <w:pPr>
              <w:spacing w:before="60" w:after="60"/>
            </w:pPr>
            <w:r>
              <w:t>Cam kết kiểm tra vệ sinh an toàn thực phẩm và chất lượng suất ăn đúng theo yêu cầu kỹ thuật tại Mục 2 Chương V (kiểm tra nguyên liệu nhập, kiểm tra khâu sơ chế, kiểm tra vệ sinh khâu chế biến, kiểm tra khâu chia suất ăn và chất lượng suất ăn, kiểm tra lưu mẫu,…)</w:t>
            </w:r>
          </w:p>
        </w:tc>
        <w:tc>
          <w:tcPr>
            <w:tcW w:w="1843" w:type="dxa"/>
            <w:vAlign w:val="center"/>
          </w:tcPr>
          <w:p w:rsidR="00AE378F" w:rsidRDefault="00AE378F" w:rsidP="00AE378F">
            <w:pPr>
              <w:spacing w:before="60" w:after="60"/>
              <w:jc w:val="center"/>
            </w:pPr>
            <w:r>
              <w:t>Nhà thầu cung cấp đầy đủ tài liệu chứng minh</w:t>
            </w:r>
          </w:p>
        </w:tc>
        <w:tc>
          <w:tcPr>
            <w:tcW w:w="1979" w:type="dxa"/>
            <w:vAlign w:val="center"/>
          </w:tcPr>
          <w:p w:rsidR="00AE378F" w:rsidRDefault="00AE378F" w:rsidP="00AE378F">
            <w:pPr>
              <w:spacing w:before="60" w:after="60"/>
              <w:jc w:val="center"/>
            </w:pPr>
            <w:r>
              <w:t>Nhà thầu không cung cấp đầy đủ tài liệu chứng minh</w:t>
            </w:r>
          </w:p>
        </w:tc>
      </w:tr>
      <w:tr w:rsidR="00F607AC" w:rsidTr="003B478C">
        <w:tc>
          <w:tcPr>
            <w:tcW w:w="5240" w:type="dxa"/>
            <w:vAlign w:val="center"/>
          </w:tcPr>
          <w:p w:rsidR="00F607AC" w:rsidRDefault="00F607AC" w:rsidP="00F7763E">
            <w:pPr>
              <w:spacing w:before="60" w:after="60"/>
            </w:pPr>
            <w:r w:rsidRPr="00F607AC">
              <w:rPr>
                <w:b/>
              </w:rPr>
              <w:t>Kết luận:</w:t>
            </w:r>
            <w:r w:rsidRPr="00F607AC">
              <w:t xml:space="preserve"> Nhà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p>
        </w:tc>
        <w:tc>
          <w:tcPr>
            <w:tcW w:w="3822" w:type="dxa"/>
            <w:gridSpan w:val="2"/>
            <w:vAlign w:val="center"/>
          </w:tcPr>
          <w:p w:rsidR="00F607AC" w:rsidRPr="00F607AC" w:rsidRDefault="00F607AC" w:rsidP="008D79BC">
            <w:pPr>
              <w:spacing w:before="60" w:after="60"/>
              <w:jc w:val="center"/>
              <w:rPr>
                <w:b/>
              </w:rPr>
            </w:pPr>
            <w:r w:rsidRPr="00F607AC">
              <w:rPr>
                <w:b/>
              </w:rPr>
              <w:t>ĐẠT/ KHÔNG ĐẠT</w:t>
            </w:r>
          </w:p>
        </w:tc>
      </w:tr>
    </w:tbl>
    <w:p w:rsidR="00E04507" w:rsidRDefault="00E04507" w:rsidP="00E04507"/>
    <w:sectPr w:rsidR="00E04507" w:rsidSect="00440F9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A22"/>
    <w:rsid w:val="000875D9"/>
    <w:rsid w:val="000F07CC"/>
    <w:rsid w:val="0011207F"/>
    <w:rsid w:val="0015136C"/>
    <w:rsid w:val="00190206"/>
    <w:rsid w:val="001A2C34"/>
    <w:rsid w:val="001F08A5"/>
    <w:rsid w:val="00212A49"/>
    <w:rsid w:val="002A470C"/>
    <w:rsid w:val="002A4D96"/>
    <w:rsid w:val="00321DC5"/>
    <w:rsid w:val="00324B7E"/>
    <w:rsid w:val="00357C0D"/>
    <w:rsid w:val="003F2A22"/>
    <w:rsid w:val="00422A15"/>
    <w:rsid w:val="00427828"/>
    <w:rsid w:val="00440F9C"/>
    <w:rsid w:val="00485C54"/>
    <w:rsid w:val="00544FB3"/>
    <w:rsid w:val="005B415D"/>
    <w:rsid w:val="005D6172"/>
    <w:rsid w:val="00603B19"/>
    <w:rsid w:val="00613F14"/>
    <w:rsid w:val="00624001"/>
    <w:rsid w:val="00651B2F"/>
    <w:rsid w:val="00664386"/>
    <w:rsid w:val="0067080B"/>
    <w:rsid w:val="00677DF3"/>
    <w:rsid w:val="006E511C"/>
    <w:rsid w:val="00703417"/>
    <w:rsid w:val="007206DE"/>
    <w:rsid w:val="007D320B"/>
    <w:rsid w:val="008201BE"/>
    <w:rsid w:val="0083212C"/>
    <w:rsid w:val="00856305"/>
    <w:rsid w:val="00886902"/>
    <w:rsid w:val="008B3C96"/>
    <w:rsid w:val="008D72E9"/>
    <w:rsid w:val="008D79BC"/>
    <w:rsid w:val="0093603E"/>
    <w:rsid w:val="00993C8D"/>
    <w:rsid w:val="009A180C"/>
    <w:rsid w:val="009B5F2A"/>
    <w:rsid w:val="00A03C0D"/>
    <w:rsid w:val="00AD5FFA"/>
    <w:rsid w:val="00AE378F"/>
    <w:rsid w:val="00B35F7B"/>
    <w:rsid w:val="00BB75BA"/>
    <w:rsid w:val="00BD5FA5"/>
    <w:rsid w:val="00BF4A4D"/>
    <w:rsid w:val="00C22EC2"/>
    <w:rsid w:val="00C374D8"/>
    <w:rsid w:val="00C51075"/>
    <w:rsid w:val="00C66166"/>
    <w:rsid w:val="00C93448"/>
    <w:rsid w:val="00C93B6A"/>
    <w:rsid w:val="00CA053E"/>
    <w:rsid w:val="00D06F0C"/>
    <w:rsid w:val="00D52AA0"/>
    <w:rsid w:val="00D66584"/>
    <w:rsid w:val="00D96ECE"/>
    <w:rsid w:val="00DC2C1F"/>
    <w:rsid w:val="00E04507"/>
    <w:rsid w:val="00E11020"/>
    <w:rsid w:val="00E249C1"/>
    <w:rsid w:val="00E334FB"/>
    <w:rsid w:val="00E36BCC"/>
    <w:rsid w:val="00E543D1"/>
    <w:rsid w:val="00EB7292"/>
    <w:rsid w:val="00F23AAF"/>
    <w:rsid w:val="00F60698"/>
    <w:rsid w:val="00F607AC"/>
    <w:rsid w:val="00F7763E"/>
    <w:rsid w:val="00FB634C"/>
    <w:rsid w:val="00FC0BAF"/>
    <w:rsid w:val="00FF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C3D8"/>
  <w15:chartTrackingRefBased/>
  <w15:docId w15:val="{8BE91D8D-6816-467D-8A7F-6000C442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50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Lý Phương Uyên</dc:creator>
  <cp:keywords/>
  <dc:description/>
  <cp:lastModifiedBy>Lý Phương Uyên</cp:lastModifiedBy>
  <cp:revision>5</cp:revision>
  <dcterms:created xsi:type="dcterms:W3CDTF">2026-01-14T10:11:00Z</dcterms:created>
  <dcterms:modified xsi:type="dcterms:W3CDTF">2026-01-29T10:55:00Z</dcterms:modified>
</cp:coreProperties>
</file>